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F36F23"/>
          <w:sz w:val="30"/>
          <w:szCs w:val="30"/>
        </w:rPr>
        <w:t xml:space="preserve">NexMoney Ltd</w:t>
      </w:r>
    </w:p>
    <w:p>
      <w:pPr>
        <w:pStyle w:val="Title"/>
        <w:spacing w:after="60"/>
      </w:pPr>
      <w:r>
        <w:t xml:space="preserve">Strategic Blueprint &amp;</w:t>
      </w:r>
    </w:p>
    <w:p>
      <w:pPr>
        <w:pStyle w:val="Title"/>
      </w:pPr>
      <w:r>
        <w:t xml:space="preserve">Red-Team Review</w:t>
      </w:r>
    </w:p>
    <w:p>
      <w:pPr>
        <w:spacing w:after="0" w:before="120"/>
      </w:pPr>
      <w:r>
        <w:rPr>
          <w:color w:val="555555"/>
          <w:sz w:val="24"/>
          <w:szCs w:val="24"/>
        </w:rPr>
        <w:t xml:space="preserve">Market • Website • Custom Backend (CRM, Diary, Email, Admin)</w:t>
      </w:r>
    </w:p>
    <w:p>
      <w:pPr>
        <w:pBdr>
          <w:top w:val="single" w:color="1F2A44" w:sz="6" w:space="6"/>
        </w:pBdr>
        <w:spacing w:before="700"/>
      </w:pPr>
    </w:p>
    <w:p>
      <w:pPr>
        <w:spacing w:after="140" w:line="276"/>
      </w:pPr>
      <w:r>
        <w:rPr>
          <w:b/>
          <w:bCs/>
        </w:rPr>
        <w:t xml:space="preserve">Prepared for: </w:t>
      </w:r>
      <w:r>
        <w:t xml:space="preserve">Daniel Potts, NexMoney Ltd</w:t>
      </w:r>
    </w:p>
    <w:p>
      <w:pPr>
        <w:spacing w:after="140" w:line="276"/>
      </w:pPr>
      <w:r>
        <w:rPr>
          <w:b/>
          <w:bCs/>
        </w:rPr>
        <w:t xml:space="preserve">Subject: </w:t>
      </w:r>
      <w:r>
        <w:t xml:space="preserve">Full development strategy for nexmoney.co.uk and a brokerage operating system</w:t>
      </w:r>
    </w:p>
    <w:p>
      <w:pPr>
        <w:spacing w:after="140" w:line="276"/>
      </w:pPr>
      <w:r>
        <w:rPr>
          <w:b/>
          <w:bCs/>
        </w:rPr>
        <w:t xml:space="preserve">Date: </w:t>
      </w:r>
      <w:r>
        <w:t xml:space="preserve">30 June 2026</w:t>
      </w:r>
    </w:p>
    <w:p>
      <w:pPr>
        <w:spacing w:after="140" w:line="276"/>
      </w:pPr>
      <w:r>
        <w:rPr>
          <w:b/>
          <w:bCs/>
        </w:rPr>
        <w:t xml:space="preserve">Regulatory status: </w:t>
      </w:r>
      <w:r>
        <w:t xml:space="preserve">Appointed Representative of Stonebridge Mortgage Solutions Ltd (FRN 610875)</w:t>
      </w:r>
    </w:p>
    <w:p>
      <w:pPr>
        <w:spacing w:before="360"/>
      </w:pPr>
      <w:r>
        <w:rPr>
          <w:i/>
          <w:iCs/>
          <w:color w:val="555555"/>
          <w:sz w:val="18"/>
          <w:szCs w:val="18"/>
        </w:rPr>
        <w:t xml:space="preserve">This document is an internal strategy and planning aid. It contains general market, technical and regulatory information — not formal legal, compliance or financial advice. Confirm all regulatory and data-protection points with Stonebridge’s compliance team before acting.</w:t>
      </w:r>
    </w:p>
    <w:p>
      <w:pPr>
        <w:spacing w:before="120"/>
      </w:pPr>
      <w:r>
        <w:rPr>
          <w:i/>
          <w:iCs/>
          <w:color w:val="555555"/>
          <w:sz w:val="18"/>
          <w:szCs w:val="18"/>
        </w:rPr>
        <w:t xml:space="preserve">Note: Section 4 reviews the local “New NexMoney Website” redesign files. A separate companion document (Live vs Redesign Gap Analysis) compares this to the current live site.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NexMoney has a fast, well-built, SEO-aware marketing website (in redesign) and a credible position as a whole-of-market mortgage and protection broker in Bournemouth. The brand basics are strong. But the business is leaving its single biggest growth lever unused, and is about to walk into one major strategic constraint that reshapes the whole “build a backend” plan.</w:t>
      </w:r>
    </w:p>
    <w:p>
      <w:pPr>
        <w:pStyle w:val="Heading2"/>
      </w:pPr>
      <w:r>
        <w:t xml:space="preserve">The three things that matter most</w:t>
      </w:r>
    </w:p>
    <w:p>
      <w:pPr>
        <w:spacing w:after="140" w:line="276"/>
      </w:pPr>
      <w:r/>
      <w:r/>
    </w:p>
    <w:p>
      <w:pPr>
        <w:spacing w:after="140" w:line="276"/>
      </w:pPr>
      <w:r/>
      <w:r/>
    </w:p>
    <w:p>
      <w:pPr>
        <w:spacing w:after="140" w:line="276"/>
      </w:pPr>
      <w:r/>
      <w:r/>
    </w:p>
    <w:p>
      <w:pPr>
        <w:pStyle w:val="Heading2"/>
      </w:pPr>
      <w:r>
        <w:t xml:space="preserve">The headline recommendation</w:t>
      </w:r>
    </w:p>
    <w:p>
      <w:pPr>
        <w:spacing w:after="140" w:line="276"/>
      </w:pPr>
      <w:r>
        <w:t xml:space="preserve">Adopt a hybrid model: fix the website lead leak before launch, build a small, owned lead-capture and CRM “seam” on infrastructure you already have connected (Supabase + Vercel + Cloudflare), and buy the commodity parts (booking, email marketing) rather than building everything from scratch. Run it all around — never replacing — Stonebridge’s Revolution system. Get written sign-off from Stonebridge before any system holds client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6F23" w:sz="6"/>
              <w:left w:val="single" w:color="F36F23" w:sz="6"/>
              <w:bottom w:val="single" w:color="F36F23" w:sz="6"/>
              <w:right w:val="single" w:color="F36F23" w:sz="6"/>
            </w:tcBorders>
            <w:shd w:fill="FBF1DD" w:val="clear"/>
            <w:tcMar>
              <w:top w:type="dxa" w:w="120"/>
              <w:left w:type="dxa" w:w="160"/>
              <w:bottom w:type="dxa" w:w="120"/>
              <w:right w:type="dxa" w:w="160"/>
            </w:tcMar>
          </w:tcPr>
          <w:p>
            <w:pPr>
              <w:spacing w:after="0" w:line="276"/>
            </w:pPr>
            <w:r>
              <w:rPr>
                <w:b/>
                <w:bCs/>
              </w:rPr>
              <w:t xml:space="preserve">Bottom line: </w:t>
            </w:r>
            <w:r>
              <w:t xml:space="preserve">The opportunity is real and mostly low-cost. The constraint is regulatory, not technical. Spend the first month plugging leaks and getting compliance clearance; build the custom system deliberately small and let real usage justify each next phase.</w:t>
            </w:r>
          </w:p>
        </w:tc>
      </w:tr>
    </w:tbl>
    <w:p>
      <w:r>
        <w:br w:type="page"/>
      </w:r>
    </w:p>
    <w:p>
      <w:pPr>
        <w:pStyle w:val="Heading1"/>
      </w:pPr>
      <w:r>
        <w:t xml:space="preserve">2. Market &amp; Competitive Red-Team</w:t>
      </w:r>
    </w:p>
    <w:p>
      <w:pPr>
        <w:pStyle w:val="Heading2"/>
      </w:pPr>
      <w:r>
        <w:t xml:space="preserve">2.1 The market is healthy — your share of it is the problem</w:t>
      </w:r>
    </w:p>
    <w:p>
      <w:pPr>
        <w:pStyle w:val="ListParagraph"/>
        <w:numPr>
          <w:ilvl w:val="0"/>
          <w:numId w:val="2"/>
        </w:numPr>
        <w:spacing w:after="60" w:line="268"/>
      </w:pPr>
      <w:r>
        <w:rPr>
          <w:b/>
          <w:bCs/>
        </w:rPr>
        <w:t xml:space="preserve">Broker channel dominance: </w:t>
      </w:r>
      <w:r>
        <w:t xml:space="preserve">intermediaries arrange ~84% of new UK mortgage sales, and the UK mortgage-broker market is ~$3.37bn in 2026, growing ~6.5% a year. The category is not the issue.</w:t>
      </w:r>
    </w:p>
    <w:p>
      <w:pPr>
        <w:pStyle w:val="ListParagraph"/>
        <w:numPr>
          <w:ilvl w:val="0"/>
          <w:numId w:val="2"/>
        </w:numPr>
        <w:spacing w:after="60" w:line="268"/>
      </w:pPr>
      <w:r>
        <w:rPr>
          <w:b/>
          <w:bCs/>
        </w:rPr>
        <w:t xml:space="preserve">Rate backdrop favours brokers: </w:t>
      </w:r>
      <w:r>
        <w:t xml:space="preserve">Bank of England base rate held at 3.75% (June 2026). Average SVR ~7.13% vs lowest 5-year fixes ~4.48% — a wide gap that makes the “you’re overpaying, let’s switch” remortgage pitch easy.</w:t>
      </w:r>
    </w:p>
    <w:p>
      <w:pPr>
        <w:pStyle w:val="ListParagraph"/>
        <w:numPr>
          <w:ilvl w:val="0"/>
          <w:numId w:val="2"/>
        </w:numPr>
        <w:spacing w:after="60" w:line="268"/>
      </w:pPr>
      <w:r>
        <w:rPr>
          <w:b/>
          <w:bCs/>
        </w:rPr>
        <w:t xml:space="preserve">Volumes resilient but not booming: </w:t>
      </w:r>
      <w:r>
        <w:t xml:space="preserve">2025 gross lending rose ~20% to £290.8bn; UK Finance forecasts only ~2% growth for 2026. Affordability and the harsher post-April-2025 stamp duty are the ceiling on purchase volume.</w:t>
      </w:r>
    </w:p>
    <w:p>
      <w:pPr>
        <w:pStyle w:val="Heading2"/>
      </w:pPr>
      <w:r>
        <w:t xml:space="preserve">2.2 Bournemouth / Poole / Christchurch (BCP) local market</w:t>
      </w:r>
    </w:p>
    <w:p>
      <w:pPr>
        <w:pStyle w:val="ListParagraph"/>
        <w:numPr>
          <w:ilvl w:val="0"/>
          <w:numId w:val="2"/>
        </w:numPr>
        <w:spacing w:after="60" w:line="268"/>
      </w:pPr>
      <w:r>
        <w:rPr>
          <w:b/>
          <w:bCs/>
        </w:rPr>
        <w:t xml:space="preserve">Prices are softening: </w:t>
      </w:r>
      <w:r>
        <w:t xml:space="preserve">BCP average ~£311,000 (April 2026, down 2.4% YoY); flats down 5.2% — relevant given BCP’s heavy flat stock. Average rent ~£1,404/mo (+3.7%), supporting an active buy-to-let and landlord segment.</w:t>
      </w:r>
    </w:p>
    <w:p>
      <w:pPr>
        <w:pStyle w:val="ListParagraph"/>
        <w:numPr>
          <w:ilvl w:val="0"/>
          <w:numId w:val="2"/>
        </w:numPr>
        <w:spacing w:after="60" w:line="268"/>
      </w:pPr>
      <w:r>
        <w:rPr>
          <w:b/>
          <w:bCs/>
        </w:rPr>
        <w:t xml:space="preserve">Read-through: </w:t>
      </w:r>
      <w:r>
        <w:t xml:space="preserve">a price-sensitive, contested purchase market, but resilient remortgage, protection and BTL demand. Lean into the resilient, higher-margin lines.</w:t>
      </w:r>
    </w:p>
    <w:p>
      <w:pPr>
        <w:pStyle w:val="Heading2"/>
      </w:pPr>
      <w:r>
        <w:t xml:space="preserve">2.3 Local competitors — you are currently out-featured</w:t>
      </w:r>
    </w:p>
    <w:p>
      <w:pPr>
        <w:spacing w:after="140" w:line="276"/>
      </w:pPr>
      <w:r>
        <w:t xml:space="preserve">Eight to ten credible whole-of-market rivals operate in the BCP area. Several out-equip NexMoney digitally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Competitor</w:t>
            </w:r>
          </w:p>
        </w:tc>
        <w:tc>
          <w:tcPr>
            <w:tcW w:type="dxa" w:w="32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Position</w:t>
            </w:r>
          </w:p>
        </w:tc>
        <w:tc>
          <w:tcPr>
            <w:tcW w:type="dxa" w:w="35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Digital edge over NexMoney</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Barrett Mortgages (Poole)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15+ yrs, named-adviser reviews, blog</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Deep Google/Yelp review base; content engine</w:t>
            </w:r>
          </w:p>
        </w:tc>
      </w:tr>
      <w:tr>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TFA Group / Mark Savill</w:t>
            </w:r>
          </w:p>
        </w:tc>
        <w:tc>
          <w:tcPr>
            <w:tcW w:type="dxa" w:w="32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Solo adviser, remote advice</w:t>
            </w:r>
          </w:p>
        </w:tc>
        <w:tc>
          <w:tcPr>
            <w:tcW w:type="dxa" w:w="3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Already has ONLINE BOOKING + video/phone advice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Alexander Southwell</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Fee-free positioning, 5-star</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Undercuts any fee-charging broker on price</w:t>
            </w:r>
          </w:p>
        </w:tc>
      </w:tr>
      <w:tr>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Delta Mortgages</w:t>
            </w:r>
          </w:p>
        </w:tc>
        <w:tc>
          <w:tcPr>
            <w:tcW w:type="dxa" w:w="32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Merged brand, 100+ lenders</w:t>
            </w:r>
          </w:p>
        </w:tc>
        <w:tc>
          <w:tcPr>
            <w:tcW w:type="dxa" w:w="3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Polished brand narrative, team pages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NEST Financial Solutions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Independent, testimonial-led</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Heavy review marketing, weekend availability</w:t>
            </w:r>
          </w:p>
        </w:tc>
      </w:tr>
      <w:tr>
        <w:tc>
          <w:tcPr>
            <w:tcW w:type="dxa" w:w="2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Bournemouth Mortgages</w:t>
            </w:r>
          </w:p>
        </w:tc>
        <w:tc>
          <w:tcPr>
            <w:tcW w:type="dxa" w:w="32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Exact-match domain</w:t>
            </w:r>
          </w:p>
        </w:tc>
        <w:tc>
          <w:tcPr>
            <w:tcW w:type="dxa" w:w="35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Structural local-SEO advantage</w:t>
            </w:r>
          </w:p>
        </w:tc>
      </w:tr>
    </w:tbl>
    <w:p>
      <w:pPr>
        <w:spacing w:after="140" w:line="276"/>
      </w:pPr>
      <w:r>
        <w:rPr>
          <w:i/>
          <w:iCs/>
        </w:rPr>
        <w:t xml:space="preserve">Every rival makes the identical claim — “whole-of-market, local, friendly.” NexMoney has no differentiation yet, and is the thinnest on reviews, booking and content.</w:t>
      </w:r>
    </w:p>
    <w:p>
      <w:pPr>
        <w:pStyle w:val="Heading2"/>
      </w:pPr>
      <w:r>
        <w:t xml:space="preserve">2.4 Where leads are leaking now</w:t>
      </w:r>
    </w:p>
    <w:p>
      <w:pPr>
        <w:pStyle w:val="ListParagraph"/>
        <w:numPr>
          <w:ilvl w:val="0"/>
          <w:numId w:val="2"/>
        </w:numPr>
        <w:spacing w:after="60" w:line="268"/>
      </w:pPr>
      <w:r>
        <w:rPr>
          <w:b/>
          <w:bCs/>
        </w:rPr>
        <w:t xml:space="preserve">Organic / local SEO: </w:t>
      </w:r>
      <w:r>
        <w:t xml:space="preserve">the highest-ROI channel, and where a static brochure site with no live reviews and broken trust pages loses ground to exact-match-domain rivals.</w:t>
      </w:r>
    </w:p>
    <w:p>
      <w:pPr>
        <w:pStyle w:val="ListParagraph"/>
        <w:numPr>
          <w:ilvl w:val="0"/>
          <w:numId w:val="2"/>
        </w:numPr>
        <w:spacing w:after="60" w:line="268"/>
      </w:pPr>
      <w:r>
        <w:rPr>
          <w:b/>
          <w:bCs/>
        </w:rPr>
        <w:t xml:space="preserve">Estate-agent &amp; conveyancer referrals: </w:t>
      </w:r>
      <w:r>
        <w:t xml:space="preserve">the most valuable first-time-buyer purchase leads are intercepted at point of sale by in-house brokers (agents charge brokers ~£500+ per referral). With no introducer relationships, NexMoney never sees these.</w:t>
      </w:r>
    </w:p>
    <w:p>
      <w:pPr>
        <w:pStyle w:val="ListParagraph"/>
        <w:numPr>
          <w:ilvl w:val="0"/>
          <w:numId w:val="2"/>
        </w:numPr>
        <w:spacing w:after="60" w:line="268"/>
      </w:pPr>
      <w:r>
        <w:rPr>
          <w:b/>
          <w:bCs/>
        </w:rPr>
        <w:t xml:space="preserve">Convenience / remote remortgage: </w:t>
      </w:r>
      <w:r>
        <w:t xml:space="preserve">robo-brokers now have distribution muscle — Habito was acquired by Monzo (Dec 2025), Trussle/Better by OneDome (2025), Mojo competes fee-free. They take the simple, vanilla cases.</w:t>
      </w:r>
    </w:p>
    <w:p>
      <w:pPr>
        <w:pStyle w:val="Heading2"/>
      </w:pPr>
      <w:r>
        <w:t xml:space="preserve">2.5 Highest-leverage market opportunities</w:t>
      </w:r>
    </w:p>
    <w:p>
      <w:pPr>
        <w:pStyle w:val="ListParagraph"/>
        <w:numPr>
          <w:ilvl w:val="0"/>
          <w:numId w:val="3"/>
        </w:numPr>
        <w:spacing w:after="60" w:line="268"/>
      </w:pPr>
      <w:r>
        <w:t xml:space="preserve">Fix the digital floor: online booking, Google Business Profile + a relentless review engine, and dedicated local-SEO pages for Bournemouth, Poole, Christchurch and Dorset.</w:t>
      </w:r>
    </w:p>
    <w:p>
      <w:pPr>
        <w:pStyle w:val="ListParagraph"/>
        <w:numPr>
          <w:ilvl w:val="0"/>
          <w:numId w:val="3"/>
        </w:numPr>
        <w:spacing w:after="60" w:line="268"/>
      </w:pPr>
      <w:r>
        <w:t xml:space="preserve">Build a referral moat: formal introducer agreements with independent BCP estate agents, conveyancers and new-build developers (with Consumer-Duty-compliant fee disclosure).</w:t>
      </w:r>
    </w:p>
    <w:p>
      <w:pPr>
        <w:pStyle w:val="ListParagraph"/>
        <w:numPr>
          <w:ilvl w:val="0"/>
          <w:numId w:val="3"/>
        </w:numPr>
        <w:spacing w:after="60" w:line="268"/>
      </w:pPr>
      <w:r>
        <w:t xml:space="preserve">Own the resilient, robo-resistant segments: remortgages, protection/life insurance (better, recurring commissions) and complex cases (self-employed, BTL, adverse credit).</w:t>
      </w:r>
    </w:p>
    <w:p>
      <w:pPr>
        <w:pStyle w:val="ListParagraph"/>
        <w:numPr>
          <w:ilvl w:val="0"/>
          <w:numId w:val="3"/>
        </w:numPr>
        <w:spacing w:after="60" w:line="268"/>
      </w:pPr>
      <w:r>
        <w:t xml:space="preserve">Add a hybrid/remote journey to capture out-of-area remortgage clients and defend against Monzo/Habito convenience.</w:t>
      </w:r>
    </w:p>
    <w:p>
      <w:pPr>
        <w:pStyle w:val="ListParagraph"/>
        <w:numPr>
          <w:ilvl w:val="0"/>
          <w:numId w:val="3"/>
        </w:numPr>
        <w:spacing w:after="60" w:line="268"/>
      </w:pPr>
      <w:r>
        <w:t xml:space="preserve">Use the Stonebridge brand and “regulated, advised, your-interest-first” as a positioning asset against AI/DIY tools.</w:t>
      </w:r>
    </w:p>
    <w:p>
      <w:r>
        <w:br w:type="page"/>
      </w:r>
    </w:p>
    <w:p>
      <w:pPr>
        <w:pStyle w:val="Heading1"/>
      </w:pPr>
      <w:r>
        <w:t xml:space="preserve">3. The Regulatory Reality (read this before building anything)</w:t>
      </w:r>
    </w:p>
    <w:p>
      <w:pPr>
        <w:spacing w:after="140" w:line="276"/>
      </w:pPr>
      <w:r>
        <w:t xml:space="preserve">This is the single most important section. It changes what the backend should be. (General information, not formal compliance advice — verify with Stonebridge.)</w:t>
      </w:r>
    </w:p>
    <w:p>
      <w:pPr>
        <w:pStyle w:val="Heading2"/>
      </w:pPr>
      <w:r>
        <w:t xml:space="preserve">3.1 As an AR, your principal controls the system of record</w:t>
      </w:r>
    </w:p>
    <w:p>
      <w:pPr>
        <w:spacing w:after="140" w:line="276"/>
      </w:pPr>
      <w:r>
        <w:t xml:space="preserve">Under FCA rules (SUP 12), Stonebridge is legally responsible for your regulated advice “as if it had done it itself.” It must be able to monitor, file-check and supervise you, and it discharges that duty through its own platform — Stonebridge’s “Revolution,” which bundles sourcing, fact-find, suitability letters, file checks, financial-promotion approval, CRM and case submission. A custom system that displaced Revolution would remove Stonebridge’s ability to supervise you — which no network will sign off.</w:t>
      </w:r>
    </w:p>
    <w:p>
      <w:pPr>
        <w:pStyle w:val="Heading2"/>
      </w:pPr>
      <w:r>
        <w:t xml:space="preserve">3.2 What this means for your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Belongs in Stonebridge / Revolution</w:t>
            </w:r>
          </w:p>
        </w:tc>
        <w:tc>
          <w:tcPr>
            <w:tcW w:type="dxa" w:w="624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Can live in your own custom backend</w:t>
            </w:r>
          </w:p>
        </w:tc>
      </w:tr>
      <w:tr>
        <w:tc>
          <w:tcPr>
            <w:tcW w:type="dxa" w:w="312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r>
              <w:t xml:space="preserve">Fact-find &amp; suitability / advice record</w:t>
            </w:r>
          </w:p>
        </w:tc>
        <w:tc>
          <w:tcPr>
            <w:tcW w:type="dxa" w:w="6240"/>
            <w:tcBorders>
              <w:top w:val="single" w:color="CCCCCC" w:sz="1"/>
              <w:left w:val="single" w:color="CCCCCC" w:sz="1"/>
              <w:bottom w:val="single" w:color="CCCCCC" w:sz="1"/>
              <w:right w:val="single" w:color="CCCCCC" w:sz="1"/>
            </w:tcBorders>
            <w:shd w:fill="E3F0E5" w:val="clear"/>
            <w:tcMar>
              <w:top w:type="dxa" w:w="70"/>
              <w:left w:type="dxa" w:w="110"/>
              <w:bottom w:type="dxa" w:w="70"/>
              <w:right w:type="dxa" w:w="110"/>
            </w:tcMar>
          </w:tcPr>
          <w:p>
            <w:r>
              <w:t xml:space="preserve">Website lead capture (the enquiry form)</w:t>
            </w:r>
          </w:p>
        </w:tc>
      </w:tr>
      <w:tr>
        <w:tc>
          <w:tcPr>
            <w:tcW w:type="dxa" w:w="312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r>
              <w:t xml:space="preserve">Mortgage/protection product sourcing</w:t>
            </w:r>
          </w:p>
        </w:tc>
        <w:tc>
          <w:tcPr>
            <w:tcW w:type="dxa" w:w="6240"/>
            <w:tcBorders>
              <w:top w:val="single" w:color="CCCCCC" w:sz="1"/>
              <w:left w:val="single" w:color="CCCCCC" w:sz="1"/>
              <w:bottom w:val="single" w:color="CCCCCC" w:sz="1"/>
              <w:right w:val="single" w:color="CCCCCC" w:sz="1"/>
            </w:tcBorders>
            <w:shd w:fill="E3F0E5" w:val="clear"/>
            <w:tcMar>
              <w:top w:type="dxa" w:w="70"/>
              <w:left w:type="dxa" w:w="110"/>
              <w:bottom w:type="dxa" w:w="70"/>
              <w:right w:type="dxa" w:w="110"/>
            </w:tcMar>
          </w:tcPr>
          <w:p>
            <w:r>
              <w:t xml:space="preserve">CRM pipeline: lead → contact → opportunity tracking</w:t>
            </w:r>
          </w:p>
        </w:tc>
      </w:tr>
      <w:tr>
        <w:tc>
          <w:tcPr>
            <w:tcW w:type="dxa" w:w="312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r>
              <w:t xml:space="preserve">Regulated advice-file document vault</w:t>
            </w:r>
          </w:p>
        </w:tc>
        <w:tc>
          <w:tcPr>
            <w:tcW w:type="dxa" w:w="6240"/>
            <w:tcBorders>
              <w:top w:val="single" w:color="CCCCCC" w:sz="1"/>
              <w:left w:val="single" w:color="CCCCCC" w:sz="1"/>
              <w:bottom w:val="single" w:color="CCCCCC" w:sz="1"/>
              <w:right w:val="single" w:color="CCCCCC" w:sz="1"/>
            </w:tcBorders>
            <w:shd w:fill="E3F0E5" w:val="clear"/>
            <w:tcMar>
              <w:top w:type="dxa" w:w="70"/>
              <w:left w:type="dxa" w:w="110"/>
              <w:bottom w:type="dxa" w:w="70"/>
              <w:right w:type="dxa" w:w="110"/>
            </w:tcMar>
          </w:tcPr>
          <w:p>
            <w:r>
              <w:t xml:space="preserve">Diary / online appointment booking</w:t>
            </w:r>
          </w:p>
        </w:tc>
      </w:tr>
      <w:tr>
        <w:tc>
          <w:tcPr>
            <w:tcW w:type="dxa" w:w="312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r>
              <w:t xml:space="preserve">KYC/AML decisioning as system of record</w:t>
            </w:r>
          </w:p>
        </w:tc>
        <w:tc>
          <w:tcPr>
            <w:tcW w:type="dxa" w:w="6240"/>
            <w:tcBorders>
              <w:top w:val="single" w:color="CCCCCC" w:sz="1"/>
              <w:left w:val="single" w:color="CCCCCC" w:sz="1"/>
              <w:bottom w:val="single" w:color="CCCCCC" w:sz="1"/>
              <w:right w:val="single" w:color="CCCCCC" w:sz="1"/>
            </w:tcBorders>
            <w:shd w:fill="E3F0E5" w:val="clear"/>
            <w:tcMar>
              <w:top w:type="dxa" w:w="70"/>
              <w:left w:type="dxa" w:w="110"/>
              <w:bottom w:type="dxa" w:w="70"/>
              <w:right w:type="dxa" w:w="110"/>
            </w:tcMar>
          </w:tcPr>
          <w:p>
            <w:r>
              <w:t xml:space="preserve">Email: confirmations, reminders, consented nurture</w:t>
            </w:r>
          </w:p>
        </w:tc>
      </w:tr>
      <w:tr>
        <w:tc>
          <w:tcPr>
            <w:tcW w:type="dxa" w:w="312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r>
              <w:t xml:space="preserve">Anything used to defend advice to FCA/FOS</w:t>
            </w:r>
          </w:p>
        </w:tc>
        <w:tc>
          <w:tcPr>
            <w:tcW w:type="dxa" w:w="6240"/>
            <w:tcBorders>
              <w:top w:val="single" w:color="CCCCCC" w:sz="1"/>
              <w:left w:val="single" w:color="CCCCCC" w:sz="1"/>
              <w:bottom w:val="single" w:color="CCCCCC" w:sz="1"/>
              <w:right w:val="single" w:color="CCCCCC" w:sz="1"/>
            </w:tcBorders>
            <w:shd w:fill="E3F0E5" w:val="clear"/>
            <w:tcMar>
              <w:top w:type="dxa" w:w="70"/>
              <w:left w:type="dxa" w:w="110"/>
              <w:bottom w:type="dxa" w:w="70"/>
              <w:right w:type="dxa" w:w="110"/>
            </w:tcMar>
          </w:tcPr>
          <w:p>
            <w:r>
              <w:t xml:space="preserve">Tasks, reminders, dashboards, source-ROI reporting</w:t>
            </w:r>
          </w:p>
        </w:tc>
      </w:tr>
    </w:tbl>
    <w:p>
      <w:pPr>
        <w:spacing w:after="140" w:line="276"/>
      </w:pPr>
      <w:r>
        <w:rPr>
          <w:b/>
          <w:bCs/>
        </w:rPr>
        <w:t xml:space="preserve">The rule of thumb: </w:t>
      </w:r>
      <w:r>
        <w:t xml:space="preserve">if a record is needed to defend the advice to the FCA or the Financial Ombudsman, it belongs in Revolution. If it is about running the business (who to call, when, where they came from, marketing), it can live in your own system — holding contact details plus a pointer to the Revolution case reference, not duplicated advice content.</w:t>
      </w:r>
    </w:p>
    <w:p>
      <w:pPr>
        <w:pStyle w:val="Heading2"/>
      </w:pPr>
      <w:r>
        <w:t xml:space="preserve">3.3 Data-protection must-haves (UK GDPR)</w:t>
      </w:r>
    </w:p>
    <w:p>
      <w:pPr>
        <w:pStyle w:val="ListParagraph"/>
        <w:numPr>
          <w:ilvl w:val="0"/>
          <w:numId w:val="2"/>
        </w:numPr>
        <w:spacing w:after="60" w:line="268"/>
      </w:pPr>
      <w:r>
        <w:rPr>
          <w:b/>
          <w:bCs/>
        </w:rPr>
        <w:t xml:space="preserve">ICO registration: </w:t>
      </w:r>
      <w:r>
        <w:t xml:space="preserve">mandatory; ~£60/year for an SME.</w:t>
      </w:r>
    </w:p>
    <w:p>
      <w:pPr>
        <w:pStyle w:val="ListParagraph"/>
        <w:numPr>
          <w:ilvl w:val="0"/>
          <w:numId w:val="2"/>
        </w:numPr>
        <w:spacing w:after="60" w:line="268"/>
      </w:pPr>
      <w:r>
        <w:rPr>
          <w:b/>
          <w:bCs/>
        </w:rPr>
        <w:t xml:space="preserve">UK data residency: </w:t>
      </w:r>
      <w:r>
        <w:t xml:space="preserve">host in a London/EU region (Supabase supports eu-west-2). Note US-owned cloud providers carry residual CLOUD Act exposure — a point Stonebridge’s compliance team may raise.</w:t>
      </w:r>
    </w:p>
    <w:p>
      <w:pPr>
        <w:pStyle w:val="ListParagraph"/>
        <w:numPr>
          <w:ilvl w:val="0"/>
          <w:numId w:val="2"/>
        </w:numPr>
        <w:spacing w:after="60" w:line="268"/>
      </w:pPr>
      <w:r>
        <w:rPr>
          <w:b/>
          <w:bCs/>
        </w:rPr>
        <w:t xml:space="preserve">Security: </w:t>
      </w:r>
      <w:r>
        <w:t xml:space="preserve">encryption in transit and at rest, MFA for all staff, least-privilege access, row-level security, append-only audit log, tested backups.</w:t>
      </w:r>
    </w:p>
    <w:p>
      <w:pPr>
        <w:pStyle w:val="ListParagraph"/>
        <w:numPr>
          <w:ilvl w:val="0"/>
          <w:numId w:val="2"/>
        </w:numPr>
        <w:spacing w:after="60" w:line="268"/>
      </w:pPr>
      <w:r>
        <w:rPr>
          <w:b/>
          <w:bCs/>
        </w:rPr>
        <w:t xml:space="preserve">Governance: </w:t>
      </w:r>
      <w:r>
        <w:t xml:space="preserve">DPIA, Record of Processing Activities, signed Data Processing Agreements with every processor (Supabase, Vercel, Cloudflare, email provider), a documented retention schedule (MCOB minimum 3 years; often 6+ post-completion), and a 72-hour breach process that also notifies Stonebridge.</w:t>
      </w:r>
    </w:p>
    <w:p>
      <w:pPr>
        <w:pStyle w:val="Heading2"/>
      </w:pPr>
      <w:r>
        <w:t xml:space="preserve">3.4 Red-team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6F23" w:sz="6"/>
              <w:left w:val="single" w:color="F36F23" w:sz="6"/>
              <w:bottom w:val="single" w:color="F36F23" w:sz="6"/>
              <w:right w:val="single" w:color="F36F23" w:sz="6"/>
            </w:tcBorders>
            <w:shd w:fill="FBF1DD" w:val="clear"/>
            <w:tcMar>
              <w:top w:type="dxa" w:w="120"/>
              <w:left w:type="dxa" w:w="160"/>
              <w:bottom w:type="dxa" w:w="120"/>
              <w:right w:type="dxa" w:w="160"/>
            </w:tcMar>
          </w:tcPr>
          <w:p>
            <w:pPr>
              <w:spacing w:after="0" w:line="276"/>
            </w:pPr>
            <w:r>
              <w:rPr>
                <w:i/>
                <w:iCs/>
              </w:rPr>
              <w:t xml:space="preserve">“Build my own CRM to run the regulated business” is not realistic for a Stonebridge AR — expect to integrate around Revolution, not replace it. A custom backend IS viable in a narrow, complementary lane, and only if: (1) Revolution stays the system of record; (2) Stonebridge gives written approval with an inspection right; (3) it holds minimal regulated data; (4) it is built to regulated-grade security from day one; and (5) ICO/data governance is in place. Treat Stonebridge sign-off as the first gate, not the last.</w:t>
            </w:r>
          </w:p>
        </w:tc>
      </w:tr>
    </w:tbl>
    <w:p>
      <w:r>
        <w:br w:type="page"/>
      </w:r>
    </w:p>
    <w:p>
      <w:pPr>
        <w:pStyle w:val="Heading1"/>
      </w:pPr>
      <w:r>
        <w:t xml:space="preserve">4. Website Technical &amp; Conversion Review</w:t>
      </w:r>
    </w:p>
    <w:p>
      <w:pPr>
        <w:spacing w:after="140" w:line="276"/>
      </w:pPr>
      <w:r>
        <w:rPr>
          <w:i/>
          <w:iCs/>
        </w:rPr>
        <w:t xml:space="preserve">This section reviews the local “New NexMoney Website” redesign files. The current live site differs and is covered in the companion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BE3E0" w:val="clear"/>
            <w:tcMar>
              <w:top w:type="dxa" w:w="120"/>
              <w:left w:type="dxa" w:w="160"/>
              <w:bottom w:type="dxa" w:w="120"/>
              <w:right w:type="dxa" w:w="160"/>
            </w:tcMar>
          </w:tcPr>
          <w:p>
            <w:pPr>
              <w:spacing w:after="0" w:line="276"/>
            </w:pPr>
            <w:r>
              <w:rPr>
                <w:b/>
                <w:bCs/>
                <w:color w:val="C0392B"/>
              </w:rPr>
              <w:t xml:space="preserve">CRITICAL: The redesign’s enquiry form does not work. </w:t>
            </w:r>
            <w:r>
              <w:t xml:space="preserve">On submit it runs preventDefault(), hides the form and shows a success message — with no action, no fetch, no email service anywhere. Every name, email, phone and financial detail a prospect types is silently discarded, while they are told an adviser will call within the hour. No one will. Fix this before launch.</w:t>
            </w:r>
          </w:p>
        </w:tc>
      </w:tr>
    </w:tbl>
    <w:p>
      <w:pPr>
        <w:pStyle w:val="Heading2"/>
      </w:pPr>
      <w:r>
        <w:t xml:space="preserve">4.1 What’s genuinely strong</w:t>
      </w:r>
    </w:p>
    <w:p>
      <w:pPr>
        <w:pStyle w:val="ListParagraph"/>
        <w:numPr>
          <w:ilvl w:val="0"/>
          <w:numId w:val="2"/>
        </w:numPr>
        <w:spacing w:after="60" w:line="268"/>
      </w:pPr>
      <w:r>
        <w:t xml:space="preserve">Fast and lightweight: clean HTML5, shared CSS with design tokens, inline SVG icons, no web fonts or JS libraries — effectively one or two requests per page. This is a real SEO/performance asset worth preserving.</w:t>
      </w:r>
    </w:p>
    <w:p>
      <w:pPr>
        <w:pStyle w:val="ListParagraph"/>
        <w:numPr>
          <w:ilvl w:val="0"/>
          <w:numId w:val="2"/>
        </w:numPr>
        <w:spacing w:after="60" w:line="268"/>
      </w:pPr>
      <w:r>
        <w:t xml:space="preserve">Good SEO foundations: unique titles/meta/canonicals, OpenGraph/Twitter cards, rich JSON-LD (LocalBusiness, Service, FAQ), geo tags, clean heading hierarchy and local keyword targeting.</w:t>
      </w:r>
    </w:p>
    <w:p>
      <w:pPr>
        <w:pStyle w:val="ListParagraph"/>
        <w:numPr>
          <w:ilvl w:val="0"/>
          <w:numId w:val="2"/>
        </w:numPr>
        <w:spacing w:after="60" w:line="268"/>
      </w:pPr>
      <w:r>
        <w:t xml:space="preserve">Conversion basics present: phone number everywhere with tel: links, intent-segmented hero, calculators that end in a call-to-action.</w:t>
      </w:r>
    </w:p>
    <w:p>
      <w:pPr>
        <w:pStyle w:val="Heading2"/>
      </w:pPr>
      <w:r>
        <w:t xml:space="preserve">4.2 What’s broken or missing</w:t>
      </w:r>
    </w:p>
    <w:p>
      <w:pPr>
        <w:pStyle w:val="ListParagraph"/>
        <w:numPr>
          <w:ilvl w:val="0"/>
          <w:numId w:val="2"/>
        </w:numPr>
        <w:spacing w:after="60" w:line="268"/>
      </w:pPr>
      <w:r>
        <w:rPr>
          <w:b/>
          <w:bCs/>
        </w:rPr>
        <w:t xml:space="preserve">Dead lead form </w:t>
      </w:r>
      <w:r>
        <w:t xml:space="preserve">(above) — priority #1.</w:t>
      </w:r>
    </w:p>
    <w:p>
      <w:pPr>
        <w:pStyle w:val="ListParagraph"/>
        <w:numPr>
          <w:ilvl w:val="0"/>
          <w:numId w:val="2"/>
        </w:numPr>
        <w:spacing w:after="60" w:line="268"/>
      </w:pPr>
      <w:r>
        <w:rPr>
          <w:b/>
          <w:bCs/>
        </w:rPr>
        <w:t xml:space="preserve">Missing pages and assets shipped as live links: </w:t>
      </w:r>
      <w:r>
        <w:t xml:space="preserve">privacy.html, cookies.html, testimonials.html, og-image.jpg and apple-touch-icon.png are all referenced but do not exist — every footer ships 404s and social shares render with no image.</w:t>
      </w:r>
    </w:p>
    <w:p>
      <w:pPr>
        <w:pStyle w:val="ListParagraph"/>
        <w:numPr>
          <w:ilvl w:val="0"/>
          <w:numId w:val="2"/>
        </w:numPr>
        <w:spacing w:after="60" w:line="268"/>
      </w:pPr>
      <w:r>
        <w:rPr>
          <w:b/>
          <w:bCs/>
        </w:rPr>
        <w:t xml:space="preserve">No privacy or cookie policy: </w:t>
      </w:r>
      <w:r>
        <w:t xml:space="preserve">the form’s consent checkbox points to a non-existent privacy notice while collecting personal and financial data — a UK GDPR exposure.</w:t>
      </w:r>
    </w:p>
    <w:p>
      <w:pPr>
        <w:pStyle w:val="ListParagraph"/>
        <w:numPr>
          <w:ilvl w:val="0"/>
          <w:numId w:val="2"/>
        </w:numPr>
        <w:spacing w:after="60" w:line="268"/>
      </w:pPr>
      <w:r>
        <w:rPr>
          <w:b/>
          <w:bCs/>
        </w:rPr>
        <w:t xml:space="preserve">Unverifiable “5.0 / 47 reviews” in schema: </w:t>
      </w:r>
      <w:r>
        <w:t xml:space="preserve">no on-page source. For an FCA firm this is a financial-promotions risk; back it with a live review feed or remove it.</w:t>
      </w:r>
    </w:p>
    <w:p>
      <w:pPr>
        <w:pStyle w:val="ListParagraph"/>
        <w:numPr>
          <w:ilvl w:val="0"/>
          <w:numId w:val="2"/>
        </w:numPr>
        <w:spacing w:after="60" w:line="268"/>
      </w:pPr>
      <w:r>
        <w:rPr>
          <w:b/>
          <w:bCs/>
        </w:rPr>
        <w:t xml:space="preserve">No analytics: </w:t>
      </w:r>
      <w:r>
        <w:t xml:space="preserve">zero visibility into traffic or conversions. No GA4, no conversion event.</w:t>
      </w:r>
    </w:p>
    <w:p>
      <w:pPr>
        <w:pStyle w:val="ListParagraph"/>
        <w:numPr>
          <w:ilvl w:val="0"/>
          <w:numId w:val="2"/>
        </w:numPr>
        <w:spacing w:after="60" w:line="268"/>
      </w:pPr>
      <w:r>
        <w:rPr>
          <w:b/>
          <w:bCs/>
        </w:rPr>
        <w:t xml:space="preserve">No online booking, live chat/WhatsApp, blog or client portal; </w:t>
      </w:r>
      <w:r>
        <w:t xml:space="preserve">calculator results and ?type= parameters are captured but never used to pre-fill the form (lost warm-lead context).</w:t>
      </w:r>
    </w:p>
    <w:p>
      <w:pPr>
        <w:pStyle w:val="ListParagraph"/>
        <w:numPr>
          <w:ilvl w:val="0"/>
          <w:numId w:val="2"/>
        </w:numPr>
        <w:spacing w:after="60" w:line="268"/>
      </w:pPr>
      <w:r>
        <w:rPr>
          <w:b/>
          <w:bCs/>
        </w:rPr>
        <w:t xml:space="preserve">Maintainability: </w:t>
      </w:r>
      <w:r>
        <w:t xml:space="preserve">header/nav/footer/disclaimer are copy-pasted across 7 pages with inline styles — already drifting (emoji vs SVG phone icons; inconsistent FCA footer wording).</w:t>
      </w:r>
    </w:p>
    <w:p>
      <w:pPr>
        <w:pStyle w:val="Heading2"/>
      </w:pPr>
      <w:r>
        <w:t xml:space="preserve">4.3 Top 10 fixes, highest impact first</w:t>
      </w:r>
    </w:p>
    <w:p>
      <w:pPr>
        <w:pStyle w:val="ListParagraph"/>
        <w:numPr>
          <w:ilvl w:val="0"/>
          <w:numId w:val="3"/>
        </w:numPr>
        <w:spacing w:after="60" w:line="268"/>
      </w:pPr>
      <w:r>
        <w:t xml:space="preserve">Wire the contact form to a real endpoint (serverless → email + CRM) with spam protection and genuine success/error states.</w:t>
      </w:r>
    </w:p>
    <w:p>
      <w:pPr>
        <w:pStyle w:val="ListParagraph"/>
        <w:numPr>
          <w:ilvl w:val="0"/>
          <w:numId w:val="3"/>
        </w:numPr>
        <w:spacing w:after="60" w:line="268"/>
      </w:pPr>
      <w:r>
        <w:t xml:space="preserve">Create and publish Privacy Policy + Cookie Policy pages.</w:t>
      </w:r>
    </w:p>
    <w:p>
      <w:pPr>
        <w:pStyle w:val="ListParagraph"/>
        <w:numPr>
          <w:ilvl w:val="0"/>
          <w:numId w:val="3"/>
        </w:numPr>
        <w:spacing w:after="60" w:line="268"/>
      </w:pPr>
      <w:r>
        <w:t xml:space="preserve">Fix broken links and add missing assets (testimonials page, OG image, touch icon).</w:t>
      </w:r>
    </w:p>
    <w:p>
      <w:pPr>
        <w:pStyle w:val="ListParagraph"/>
        <w:numPr>
          <w:ilvl w:val="0"/>
          <w:numId w:val="3"/>
        </w:numPr>
        <w:spacing w:after="60" w:line="268"/>
      </w:pPr>
      <w:r>
        <w:t xml:space="preserve">Install GA4 with a form-submit conversion event (+ cookie consent banner once trackers are live).</w:t>
      </w:r>
    </w:p>
    <w:p>
      <w:pPr>
        <w:pStyle w:val="ListParagraph"/>
        <w:numPr>
          <w:ilvl w:val="0"/>
          <w:numId w:val="3"/>
        </w:numPr>
        <w:spacing w:after="60" w:line="268"/>
      </w:pPr>
      <w:r>
        <w:t xml:space="preserve">Substantiate or remove the 5.0/47-review schema; add a live Google/VouchedFor feed.</w:t>
      </w:r>
    </w:p>
    <w:p>
      <w:pPr>
        <w:pStyle w:val="ListParagraph"/>
        <w:numPr>
          <w:ilvl w:val="0"/>
          <w:numId w:val="3"/>
        </w:numPr>
        <w:spacing w:after="60" w:line="268"/>
      </w:pPr>
      <w:r>
        <w:t xml:space="preserve">Add online booking as a primary call-to-action alongside the phone.</w:t>
      </w:r>
    </w:p>
    <w:p>
      <w:pPr>
        <w:pStyle w:val="ListParagraph"/>
        <w:numPr>
          <w:ilvl w:val="0"/>
          <w:numId w:val="3"/>
        </w:numPr>
        <w:spacing w:after="60" w:line="268"/>
      </w:pPr>
      <w:r>
        <w:t xml:space="preserve">Make calculators and ?type= params hand off context into the enquiry form.</w:t>
      </w:r>
    </w:p>
    <w:p>
      <w:pPr>
        <w:pStyle w:val="ListParagraph"/>
        <w:numPr>
          <w:ilvl w:val="0"/>
          <w:numId w:val="3"/>
        </w:numPr>
        <w:spacing w:after="60" w:line="268"/>
      </w:pPr>
      <w:r>
        <w:t xml:space="preserve">Standardise and complete FCA disclosures (registered company number, registered office, FOS/complaints reference).</w:t>
      </w:r>
    </w:p>
    <w:p>
      <w:pPr>
        <w:pStyle w:val="ListParagraph"/>
        <w:numPr>
          <w:ilvl w:val="0"/>
          <w:numId w:val="3"/>
        </w:numPr>
        <w:spacing w:after="60" w:line="268"/>
      </w:pPr>
      <w:r>
        <w:t xml:space="preserve">Accessibility pass (calculator label associations, disclaimer/footer contrast, aria states).</w:t>
      </w:r>
    </w:p>
    <w:p>
      <w:pPr>
        <w:pStyle w:val="ListParagraph"/>
        <w:numPr>
          <w:ilvl w:val="0"/>
          <w:numId w:val="3"/>
        </w:numPr>
        <w:spacing w:after="60" w:line="268"/>
      </w:pPr>
      <w:r>
        <w:t xml:space="preserve">De-duplicate page chrome via a lightweight templating/build step.</w:t>
      </w:r>
    </w:p>
    <w:p>
      <w:pPr>
        <w:pStyle w:val="Heading2"/>
      </w:pPr>
      <w:r>
        <w:t xml:space="preserve">4.4 Evolve or rebuild?</w:t>
      </w:r>
    </w:p>
    <w:p>
      <w:pPr>
        <w:spacing w:after="140" w:line="276"/>
      </w:pPr>
      <w:r>
        <w:t xml:space="preserve">Keep it static but add a lightweight build step (Astro or Eleventy) for reusable header/footer/disclaimer and a Markdown blog, hosted on a platform with serverless functions (Vercel / Cloudflare Pages / Netlify) so the form works and security headers/analytics/consent are possible. A full React/Next SPA is only justified once an authenticated client portal is on the roadmap — don’t sacrifice the site’s standout speed for a brochure.</w:t>
      </w:r>
    </w:p>
    <w:p>
      <w:r>
        <w:br w:type="page"/>
      </w:r>
    </w:p>
    <w:p>
      <w:pPr>
        <w:pStyle w:val="Heading1"/>
      </w:pPr>
      <w:r>
        <w:t xml:space="preserve">5. Custom Backend Blueprint</w:t>
      </w:r>
    </w:p>
    <w:p>
      <w:pPr>
        <w:spacing w:after="140" w:line="276"/>
      </w:pPr>
      <w:r>
        <w:t xml:space="preserve">Scoped to the complementary lane defined in Section 3: capture and run the business’s own leads, pipeline, diary, email and admin — around Revolution, not replacing it.</w:t>
      </w:r>
    </w:p>
    <w:p>
      <w:pPr>
        <w:pStyle w:val="Heading2"/>
      </w:pPr>
      <w:r>
        <w:t xml:space="preserve">5.1 Recommended stack (uses tools you already have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Layer</w:t>
            </w:r>
          </w:p>
        </w:tc>
        <w:tc>
          <w:tcPr>
            <w:tcW w:type="dxa" w:w="69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Choice &amp; why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App / hosting</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Next.js on Vercel — serverless functions for the form endpoint and webhooks, preview deploys, zero-config hosting.</w:t>
            </w:r>
          </w:p>
        </w:tc>
      </w:tr>
      <w:tr>
        <w:tc>
          <w:tcPr>
            <w:tcW w:type="dxa" w:w="24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Database &amp; auth</w:t>
            </w:r>
          </w:p>
        </w:tc>
        <w:tc>
          <w:tcPr>
            <w:tcW w:type="dxa" w:w="69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Supabase Postgres (London / eu-west-2) with Row-Level Security + Supabase Auth (staff login, MFA). ~$25/mo base.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File storage</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Supabase Storage (RLS buckets) for general admin docs only; Cloudflare R2 if volume grows.</w:t>
            </w:r>
          </w:p>
        </w:tc>
      </w:tr>
      <w:tr>
        <w:tc>
          <w:tcPr>
            <w:tcW w:type="dxa" w:w="24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Email</w:t>
            </w:r>
          </w:p>
        </w:tc>
        <w:tc>
          <w:tcPr>
            <w:tcW w:type="dxa" w:w="69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Resend for transactional (confirmations, reminders) + inbound logging; keep a marketing tool (Brevo/Mailchimp) only if the list grows.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Booking</w:t>
            </w:r>
          </w:p>
        </w:tc>
        <w:tc>
          <w:tcPr>
            <w:tcW w:type="dxa" w:w="69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Embed Cal.com / Calendly for MVP and store the resulting appointment; build a native slot model later with Google/Microsoft calendar sync.</w:t>
            </w:r>
          </w:p>
        </w:tc>
      </w:tr>
      <w:tr>
        <w:tc>
          <w:tcPr>
            <w:tcW w:type="dxa" w:w="24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Edge / security</w:t>
            </w:r>
          </w:p>
        </w:tc>
        <w:tc>
          <w:tcPr>
            <w:tcW w:type="dxa" w:w="69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Cloudflare for DNS, WAF, Turnstile bot-protection on the public form, and caching.</w:t>
            </w:r>
          </w:p>
        </w:tc>
      </w:tr>
    </w:tbl>
    <w:p>
      <w:pPr>
        <w:pStyle w:val="Heading2"/>
      </w:pPr>
      <w:r>
        <w:t xml:space="preserve">5.2 Core data model (the business layer)</w:t>
      </w:r>
    </w:p>
    <w:p>
      <w:pPr>
        <w:spacing w:after="140" w:line="276"/>
      </w:pPr>
      <w:r>
        <w:t xml:space="preserve">Key tables, each with RLS and an append-only audit trail: contacts, leads (enquiry events with UTM/source), sources, opportunities/cases (pipeline view holding a network_case_ref pointer — not advice content), appointments + availability, tasks, communications (unified in/out log), documents (general admin), email_templates, sequences, staff/users, audit_log.</w:t>
      </w:r>
    </w:p>
    <w:p>
      <w:pPr>
        <w:pStyle w:val="Heading2"/>
      </w:pPr>
      <w:r>
        <w:t xml:space="preserve">5.3 Build phases, effort and running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1500"/>
        <w:gridCol w:w="1500"/>
        <w:gridCol w:w="1600"/>
      </w:tblGrid>
      <w:tr>
        <w:trPr>
          <w:tblHeader/>
        </w:trPr>
        <w:tc>
          <w:tcPr>
            <w:tcW w:type="dxa" w:w="15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Phase</w:t>
            </w:r>
          </w:p>
        </w:tc>
        <w:tc>
          <w:tcPr>
            <w:tcW w:type="dxa" w:w="32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Scope</w:t>
            </w:r>
          </w:p>
        </w:tc>
        <w:tc>
          <w:tcPr>
            <w:tcW w:type="dxa" w:w="15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Effort</w:t>
            </w:r>
          </w:p>
        </w:tc>
        <w:tc>
          <w:tcPr>
            <w:tcW w:type="dxa" w:w="15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Infra cost</w:t>
            </w:r>
          </w:p>
        </w:tc>
        <w:tc>
          <w:tcPr>
            <w:tcW w:type="dxa" w:w="16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Outcome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000000"/>
                <w:sz w:val="19"/>
                <w:szCs w:val="19"/>
              </w:rPr>
              <w:t xml:space="preserve">0</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Wire the website form → Supabase + adviser alert + auto-acknowledgement + Turnstile</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~1 week</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Free tier</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Stops lead loss</w:t>
            </w:r>
          </w:p>
        </w:tc>
      </w:tr>
      <w:tr>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1 (MVP)</w:t>
            </w:r>
          </w:p>
        </w:tc>
        <w:tc>
          <w:tcPr>
            <w:tcW w:type="dxa" w:w="32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Auth + RLS, contacts/leads, simple pipeline, lead inbox, basic booking + reminders, audit log, backups</w:t>
            </w:r>
          </w:p>
        </w:tc>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~3–6 wks</w:t>
            </w:r>
          </w:p>
        </w:tc>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~£35–70/mo</w:t>
            </w:r>
          </w:p>
        </w:tc>
        <w:tc>
          <w:tcPr>
            <w:tcW w:type="dxa" w:w="1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One place to see &amp; work leads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bCs/>
                <w:color w:val="000000"/>
                <w:sz w:val="19"/>
                <w:szCs w:val="19"/>
              </w:rPr>
              <w:t xml:space="preserve">2</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Email templates + consented nurture sequences, inbound logging, task automations, dashboard + core reports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~3–5 wks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~£50–80/mo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Follow-up on autopilot</w:t>
            </w:r>
          </w:p>
        </w:tc>
      </w:tr>
      <w:tr>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3</w:t>
            </w:r>
          </w:p>
        </w:tc>
        <w:tc>
          <w:tcPr>
            <w:tcW w:type="dxa" w:w="32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Calendar sync, document handling + retention jobs, source-ROI reporting, protection-renewal nudges</w:t>
            </w:r>
          </w:p>
        </w:tc>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~3–6 wks</w:t>
            </w:r>
          </w:p>
        </w:tc>
        <w:tc>
          <w:tcPr>
            <w:tcW w:type="dxa" w:w="15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~£50–90/mo</w:t>
            </w:r>
          </w:p>
        </w:tc>
        <w:tc>
          <w:tcPr>
            <w:tcW w:type="dxa" w:w="16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Full operating system</w:t>
            </w:r>
          </w:p>
        </w:tc>
      </w:tr>
    </w:tbl>
    <w:p>
      <w:pPr>
        <w:spacing w:after="140" w:line="276"/>
      </w:pPr>
      <w:r>
        <w:rPr>
          <w:i/>
          <w:iCs/>
        </w:rPr>
        <w:t xml:space="preserve">First value in a week; a usable MVP in ~1–1.5 months; full system in ~3–4 months of development — infrastructure well under £100/month at small-broker volume, plus your or a contractor’s time.</w:t>
      </w:r>
    </w:p>
    <w:p>
      <w:pPr>
        <w:pStyle w:val="Heading2"/>
      </w:pPr>
      <w:r>
        <w:t xml:space="preserve">5.4 Custom vs buy — the honest verdict</w:t>
      </w:r>
    </w:p>
    <w:p>
      <w:pPr>
        <w:spacing w:after="140" w:line="276"/>
      </w:pPr>
      <w:r>
        <w:t xml:space="preserve">Building the lead-capture + lightweight CRM seam yourself is sensible and high-value: you own the data, no per-seat fees, exact fit. Building a full booking/email/automation platform from scratch is where a small broker over-invests — buy those and integrate them. The biggest risks of going fully custom are the bus factor (one developer), perpetual maintenance, and compliance sign-off resting on you, not a vendor. Recommendation: hybrid, starting as small as possible (Phase 0 + minimal Phase 1), with two hard preconditions — written Stonebridge approval to hold the data, and a maintenance plan that survives one person.</w:t>
      </w:r>
    </w:p>
    <w:p>
      <w:r>
        <w:br w:type="page"/>
      </w:r>
    </w:p>
    <w:p>
      <w:pPr>
        <w:pStyle w:val="Heading1"/>
      </w:pPr>
      <w:r>
        <w:t xml:space="preserve">6. Prioritised Action Roadmap</w:t>
      </w:r>
    </w:p>
    <w:p>
      <w:pPr>
        <w:spacing w:after="140" w:line="276"/>
      </w:pPr>
      <w:r>
        <w:t xml:space="preserve">Sequenced by impact and dependency. P0 items are this week and unblock everything else. Nothing past Phase 0 of the backend should start before Stonebridge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750"/>
        <w:gridCol w:w="4060"/>
        <w:gridCol w:w="1300"/>
        <w:gridCol w:w="1000"/>
      </w:tblGrid>
      <w:tr>
        <w:trPr>
          <w:tblHeader/>
        </w:trPr>
        <w:tc>
          <w:tcPr>
            <w:tcW w:type="dxa" w:w="125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When</w:t>
            </w:r>
          </w:p>
        </w:tc>
        <w:tc>
          <w:tcPr>
            <w:tcW w:type="dxa" w:w="175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Theme</w:t>
            </w:r>
          </w:p>
        </w:tc>
        <w:tc>
          <w:tcPr>
            <w:tcW w:type="dxa" w:w="40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Action</w:t>
            </w:r>
          </w:p>
        </w:tc>
        <w:tc>
          <w:tcPr>
            <w:tcW w:type="dxa" w:w="13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Owner</w:t>
            </w:r>
          </w:p>
        </w:tc>
        <w:tc>
          <w:tcPr>
            <w:tcW w:type="dxa" w:w="10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pPr>
            <w:r>
              <w:rPr>
                <w:b/>
                <w:bCs/>
                <w:color w:val="FFFFFF"/>
                <w:sz w:val="19"/>
                <w:szCs w:val="19"/>
              </w:rPr>
              <w:t xml:space="preserve">Pri</w:t>
            </w:r>
          </w:p>
        </w:tc>
      </w:tr>
      <w:tr>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NOW — Wk 1</w:t>
            </w:r>
          </w:p>
        </w:tc>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Stop the bleeding</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Replace dead form with working endpoint OR an interim “call/email us” panel; publish Privacy + Cookie policies; fix 404 links &amp; missing assets</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Daniel / web dev</w:t>
            </w:r>
          </w:p>
        </w:tc>
        <w:tc>
          <w:tcPr>
            <w:tcW w:type="dxa" w:w="100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pPr>
              <w:spacing w:after="0" w:line="252"/>
            </w:pPr>
            <w:r>
              <w:rPr>
                <w:b/>
                <w:bCs/>
                <w:color w:val="000000"/>
                <w:sz w:val="19"/>
                <w:szCs w:val="19"/>
              </w:rPr>
              <w:t xml:space="preserve">P0</w:t>
            </w:r>
          </w:p>
        </w:tc>
      </w:tr>
      <w:tr>
        <w:tc>
          <w:tcPr>
            <w:tcW w:type="dxa" w:w="12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NOW — Wk 1–2</w:t>
            </w:r>
          </w:p>
        </w:tc>
        <w:tc>
          <w:tcPr>
            <w:tcW w:type="dxa" w:w="17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Compliance gate</w:t>
            </w:r>
          </w:p>
        </w:tc>
        <w:tc>
          <w:tcPr>
            <w:tcW w:type="dxa" w:w="40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Email Stonebridge: written approval to run a complementary CRM/diary holding client contact data; confirm permitted processors &amp; data rules</w:t>
            </w:r>
          </w:p>
        </w:tc>
        <w:tc>
          <w:tcPr>
            <w:tcW w:type="dxa" w:w="1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Daniel</w:t>
            </w:r>
          </w:p>
        </w:tc>
        <w:tc>
          <w:tcPr>
            <w:tcW w:type="dxa" w:w="1000"/>
            <w:tcBorders>
              <w:top w:val="single" w:color="CCCCCC" w:sz="1"/>
              <w:left w:val="single" w:color="CCCCCC" w:sz="1"/>
              <w:bottom w:val="single" w:color="CCCCCC" w:sz="1"/>
              <w:right w:val="single" w:color="CCCCCC" w:sz="1"/>
            </w:tcBorders>
            <w:shd w:fill="FBE3E0" w:val="clear"/>
            <w:tcMar>
              <w:top w:type="dxa" w:w="70"/>
              <w:left w:type="dxa" w:w="110"/>
              <w:bottom w:type="dxa" w:w="70"/>
              <w:right w:type="dxa" w:w="110"/>
            </w:tcMar>
          </w:tcPr>
          <w:p>
            <w:pPr>
              <w:spacing w:after="0" w:line="252"/>
            </w:pPr>
            <w:r>
              <w:rPr>
                <w:b/>
                <w:bCs/>
                <w:color w:val="000000"/>
                <w:sz w:val="19"/>
                <w:szCs w:val="19"/>
              </w:rPr>
              <w:t xml:space="preserve">P0</w:t>
            </w:r>
          </w:p>
        </w:tc>
      </w:tr>
      <w:tr>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Wk 2–3</w:t>
            </w:r>
          </w:p>
        </w:tc>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See your traffic</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Install GA4 + form-submit conversion event; add cookie consent banner; register/verify Google Business Profile</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Web dev</w:t>
            </w:r>
          </w:p>
        </w:tc>
        <w:tc>
          <w:tcPr>
            <w:tcW w:type="dxa" w:w="1000"/>
            <w:tcBorders>
              <w:top w:val="single" w:color="CCCCCC" w:sz="1"/>
              <w:left w:val="single" w:color="CCCCCC" w:sz="1"/>
              <w:bottom w:val="single" w:color="CCCCCC" w:sz="1"/>
              <w:right w:val="single" w:color="CCCCCC" w:sz="1"/>
            </w:tcBorders>
            <w:shd w:fill="FBF1DD" w:val="clear"/>
            <w:tcMar>
              <w:top w:type="dxa" w:w="70"/>
              <w:left w:type="dxa" w:w="110"/>
              <w:bottom w:type="dxa" w:w="70"/>
              <w:right w:type="dxa" w:w="110"/>
            </w:tcMar>
          </w:tcPr>
          <w:p>
            <w:pPr>
              <w:spacing w:after="0" w:line="252"/>
            </w:pPr>
            <w:r>
              <w:rPr>
                <w:b/>
                <w:bCs/>
                <w:color w:val="000000"/>
                <w:sz w:val="19"/>
                <w:szCs w:val="19"/>
              </w:rPr>
              <w:t xml:space="preserve">P1</w:t>
            </w:r>
          </w:p>
        </w:tc>
      </w:tr>
      <w:tr>
        <w:tc>
          <w:tcPr>
            <w:tcW w:type="dxa" w:w="12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Wk 2–4</w:t>
            </w:r>
          </w:p>
        </w:tc>
        <w:tc>
          <w:tcPr>
            <w:tcW w:type="dxa" w:w="17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Capture leads properly</w:t>
            </w:r>
          </w:p>
        </w:tc>
        <w:tc>
          <w:tcPr>
            <w:tcW w:type="dxa" w:w="40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Phase 0 backend: form → Supabase (London) + adviser alert + auto-reply + Turnstile; ICO registration; sign DPAs</w:t>
            </w:r>
          </w:p>
        </w:tc>
        <w:tc>
          <w:tcPr>
            <w:tcW w:type="dxa" w:w="1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Dev</w:t>
            </w:r>
          </w:p>
        </w:tc>
        <w:tc>
          <w:tcPr>
            <w:tcW w:type="dxa" w:w="1000"/>
            <w:tcBorders>
              <w:top w:val="single" w:color="CCCCCC" w:sz="1"/>
              <w:left w:val="single" w:color="CCCCCC" w:sz="1"/>
              <w:bottom w:val="single" w:color="CCCCCC" w:sz="1"/>
              <w:right w:val="single" w:color="CCCCCC" w:sz="1"/>
            </w:tcBorders>
            <w:shd w:fill="FBF1DD" w:val="clear"/>
            <w:tcMar>
              <w:top w:type="dxa" w:w="70"/>
              <w:left w:type="dxa" w:w="110"/>
              <w:bottom w:type="dxa" w:w="70"/>
              <w:right w:type="dxa" w:w="110"/>
            </w:tcMar>
          </w:tcPr>
          <w:p>
            <w:pPr>
              <w:spacing w:after="0" w:line="252"/>
            </w:pPr>
            <w:r>
              <w:rPr>
                <w:b/>
                <w:bCs/>
                <w:color w:val="000000"/>
                <w:sz w:val="19"/>
                <w:szCs w:val="19"/>
              </w:rPr>
              <w:t xml:space="preserve">P1</w:t>
            </w:r>
          </w:p>
        </w:tc>
      </w:tr>
      <w:tr>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Wk 3–6</w:t>
            </w:r>
          </w:p>
        </w:tc>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Win the booking gap</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Add online booking as a primary CTA (match TFA/Savill); embed live Google/VouchedFor reviews; substantiate or remove schema rating</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Dev / Daniel</w:t>
            </w:r>
          </w:p>
        </w:tc>
        <w:tc>
          <w:tcPr>
            <w:tcW w:type="dxa" w:w="1000"/>
            <w:tcBorders>
              <w:top w:val="single" w:color="CCCCCC" w:sz="1"/>
              <w:left w:val="single" w:color="CCCCCC" w:sz="1"/>
              <w:bottom w:val="single" w:color="CCCCCC" w:sz="1"/>
              <w:right w:val="single" w:color="CCCCCC" w:sz="1"/>
            </w:tcBorders>
            <w:shd w:fill="FBF1DD" w:val="clear"/>
            <w:tcMar>
              <w:top w:type="dxa" w:w="70"/>
              <w:left w:type="dxa" w:w="110"/>
              <w:bottom w:type="dxa" w:w="70"/>
              <w:right w:type="dxa" w:w="110"/>
            </w:tcMar>
          </w:tcPr>
          <w:p>
            <w:pPr>
              <w:spacing w:after="0" w:line="252"/>
            </w:pPr>
            <w:r>
              <w:rPr>
                <w:b/>
                <w:bCs/>
                <w:color w:val="000000"/>
                <w:sz w:val="19"/>
                <w:szCs w:val="19"/>
              </w:rPr>
              <w:t xml:space="preserve">P1</w:t>
            </w:r>
          </w:p>
        </w:tc>
      </w:tr>
      <w:tr>
        <w:tc>
          <w:tcPr>
            <w:tcW w:type="dxa" w:w="12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Mth 2–3</w:t>
            </w:r>
          </w:p>
        </w:tc>
        <w:tc>
          <w:tcPr>
            <w:tcW w:type="dxa" w:w="17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Light CRM (MVP)</w:t>
            </w:r>
          </w:p>
        </w:tc>
        <w:tc>
          <w:tcPr>
            <w:tcW w:type="dxa" w:w="40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Phase 1: auth + RLS pipeline, lead inbox, basic diary, audit log, backups; migrate site to Astro/Eleventy + serverless host</w:t>
            </w:r>
          </w:p>
        </w:tc>
        <w:tc>
          <w:tcPr>
            <w:tcW w:type="dxa" w:w="1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Dev</w:t>
            </w:r>
          </w:p>
        </w:tc>
        <w:tc>
          <w:tcPr>
            <w:tcW w:type="dxa" w:w="1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P2</w:t>
            </w:r>
          </w:p>
        </w:tc>
      </w:tr>
      <w:tr>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Mth 2–4</w:t>
            </w:r>
          </w:p>
        </w:tc>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Referral moat</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Sign introducer agreements with 3–5 independent BCP estate agents / conveyancers (Consumer-Duty fee disclosure)</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Daniel</w:t>
            </w:r>
          </w:p>
        </w:tc>
        <w:tc>
          <w:tcPr>
            <w:tcW w:type="dxa" w:w="1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P2</w:t>
            </w:r>
          </w:p>
        </w:tc>
      </w:tr>
      <w:tr>
        <w:tc>
          <w:tcPr>
            <w:tcW w:type="dxa" w:w="12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Mth 3–5</w:t>
            </w:r>
          </w:p>
        </w:tc>
        <w:tc>
          <w:tcPr>
            <w:tcW w:type="dxa" w:w="17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Follow-up on autopilot</w:t>
            </w:r>
          </w:p>
        </w:tc>
        <w:tc>
          <w:tcPr>
            <w:tcW w:type="dxa" w:w="40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Phase 2: email templates + consented nurture sequences, inbound logging, reminders, dashboard &amp; source-ROI reporting</w:t>
            </w:r>
          </w:p>
        </w:tc>
        <w:tc>
          <w:tcPr>
            <w:tcW w:type="dxa" w:w="1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Dev</w:t>
            </w:r>
          </w:p>
        </w:tc>
        <w:tc>
          <w:tcPr>
            <w:tcW w:type="dxa" w:w="1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P3</w:t>
            </w:r>
          </w:p>
        </w:tc>
      </w:tr>
      <w:tr>
        <w:tc>
          <w:tcPr>
            <w:tcW w:type="dxa" w:w="12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Mth 3–6</w:t>
            </w:r>
          </w:p>
        </w:tc>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Own the niches</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Content/local-SEO pages for Bournemouth/Poole/Christchurch + remortgage, protection &amp; self-employed/BTL guides</w:t>
            </w:r>
          </w:p>
        </w:tc>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line="252"/>
            </w:pPr>
            <w:r>
              <w:rPr>
                <w:b w:val="false"/>
                <w:bCs w:val="false"/>
                <w:color w:val="000000"/>
                <w:sz w:val="19"/>
                <w:szCs w:val="19"/>
              </w:rPr>
              <w:t xml:space="preserve">Daniel / writer</w:t>
            </w:r>
          </w:p>
        </w:tc>
        <w:tc>
          <w:tcPr>
            <w:tcW w:type="dxa" w:w="1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P3</w:t>
            </w:r>
          </w:p>
        </w:tc>
      </w:tr>
      <w:tr>
        <w:tc>
          <w:tcPr>
            <w:tcW w:type="dxa" w:w="12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Mth 5–7</w:t>
            </w:r>
          </w:p>
        </w:tc>
        <w:tc>
          <w:tcPr>
            <w:tcW w:type="dxa" w:w="175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Full operating system</w:t>
            </w:r>
          </w:p>
        </w:tc>
        <w:tc>
          <w:tcPr>
            <w:tcW w:type="dxa" w:w="406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Phase 3: calendar sync, document handling + retention, protection-renewal nudges, hybrid/remote client journey</w:t>
            </w:r>
          </w:p>
        </w:tc>
        <w:tc>
          <w:tcPr>
            <w:tcW w:type="dxa" w:w="13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val="false"/>
                <w:bCs w:val="false"/>
                <w:color w:val="000000"/>
                <w:sz w:val="19"/>
                <w:szCs w:val="19"/>
              </w:rPr>
              <w:t xml:space="preserve">Dev</w:t>
            </w:r>
          </w:p>
        </w:tc>
        <w:tc>
          <w:tcPr>
            <w:tcW w:type="dxa" w:w="1000"/>
            <w:tcBorders>
              <w:top w:val="single" w:color="CCCCCC" w:sz="1"/>
              <w:left w:val="single" w:color="CCCCCC" w:sz="1"/>
              <w:bottom w:val="single" w:color="CCCCCC" w:sz="1"/>
              <w:right w:val="single" w:color="CCCCCC" w:sz="1"/>
            </w:tcBorders>
            <w:shd w:fill="EEF2F7" w:val="clear"/>
            <w:tcMar>
              <w:top w:type="dxa" w:w="70"/>
              <w:left w:type="dxa" w:w="110"/>
              <w:bottom w:type="dxa" w:w="70"/>
              <w:right w:type="dxa" w:w="110"/>
            </w:tcMar>
          </w:tcPr>
          <w:p>
            <w:pPr>
              <w:spacing w:after="0" w:line="252"/>
            </w:pPr>
            <w:r>
              <w:rPr>
                <w:b/>
                <w:bCs/>
                <w:color w:val="000000"/>
                <w:sz w:val="19"/>
                <w:szCs w:val="19"/>
              </w:rPr>
              <w:t xml:space="preserve">P4</w:t>
            </w:r>
          </w:p>
        </w:tc>
      </w:tr>
    </w:tbl>
    <w:p>
      <w:pPr>
        <w:pStyle w:val="Heading2"/>
      </w:pPr>
      <w:r>
        <w:t xml:space="preserve">The four rules that keep this on track</w:t>
      </w:r>
    </w:p>
    <w:p>
      <w:pPr>
        <w:pStyle w:val="ListParagraph"/>
        <w:numPr>
          <w:ilvl w:val="0"/>
          <w:numId w:val="3"/>
        </w:numPr>
        <w:spacing w:after="60" w:line="268"/>
      </w:pPr>
      <w:r>
        <w:t xml:space="preserve">Fix the lead leak before anything else — every other improvement sends traffic into a broken funnel until it’s done.</w:t>
      </w:r>
    </w:p>
    <w:p>
      <w:pPr>
        <w:pStyle w:val="ListParagraph"/>
        <w:numPr>
          <w:ilvl w:val="0"/>
          <w:numId w:val="3"/>
        </w:numPr>
        <w:spacing w:after="60" w:line="268"/>
      </w:pPr>
      <w:r>
        <w:t xml:space="preserve">Stonebridge sign-off is gate zero — no system holds client data without written approval.</w:t>
      </w:r>
    </w:p>
    <w:p>
      <w:pPr>
        <w:pStyle w:val="ListParagraph"/>
        <w:numPr>
          <w:ilvl w:val="0"/>
          <w:numId w:val="3"/>
        </w:numPr>
        <w:spacing w:after="60" w:line="268"/>
      </w:pPr>
      <w:r>
        <w:t xml:space="preserve">Buy commodity, build the seam — own lead capture + CRM data; rent booking and email marketing.</w:t>
      </w:r>
    </w:p>
    <w:p>
      <w:pPr>
        <w:pStyle w:val="ListParagraph"/>
        <w:numPr>
          <w:ilvl w:val="0"/>
          <w:numId w:val="3"/>
        </w:numPr>
        <w:spacing w:after="60" w:line="268"/>
      </w:pPr>
      <w:r>
        <w:t xml:space="preserve">Let real usage justify each phase — validate the MVP in live use before building automation.</w:t>
      </w:r>
    </w:p>
    <w:p>
      <w:r>
        <w:br w:type="page"/>
      </w:r>
    </w:p>
    <w:p>
      <w:pPr>
        <w:pStyle w:val="Heading1"/>
      </w:pPr>
      <w:r>
        <w:t xml:space="preserve">7. Sources</w:t>
      </w:r>
    </w:p>
    <w:p>
      <w:pPr>
        <w:spacing w:after="140" w:line="276"/>
      </w:pPr>
      <w:r>
        <w:t xml:space="preserve">Key references underpinning this review (full lists were gathered across market, regulatory, technical and architecture research):</w:t>
      </w:r>
    </w:p>
    <w:p>
      <w:pPr>
        <w:pStyle w:val="ListParagraph"/>
        <w:numPr>
          <w:ilvl w:val="0"/>
          <w:numId w:val="2"/>
        </w:numPr>
        <w:spacing w:after="50"/>
      </w:pPr>
      <w:r>
        <w:t xml:space="preserve">UK Finance — 2026 mortgage lending forecast — </w:t>
      </w:r>
      <w:hyperlink w:history="1" r:id="rIdtnpuqdowtzy8a6r3u8ulv">
        <w:r>
          <w:rPr>
            <w:rStyle w:val="Hyperlink"/>
            <w:sz w:val="18"/>
            <w:szCs w:val="18"/>
          </w:rPr>
          <w:t xml:space="preserve">https://www.ukfinance.org.uk/news-and-insight/press-release/modest-growth-forecast-mortgage-lending-in-2026</w:t>
        </w:r>
      </w:hyperlink>
    </w:p>
    <w:p>
      <w:pPr>
        <w:pStyle w:val="ListParagraph"/>
        <w:numPr>
          <w:ilvl w:val="0"/>
          <w:numId w:val="2"/>
        </w:numPr>
        <w:spacing w:after="50"/>
      </w:pPr>
      <w:r>
        <w:t xml:space="preserve">FCA — Mortgage lending statistics — </w:t>
      </w:r>
      <w:hyperlink w:history="1" r:id="rIdc2l0lloywikbv6jhzevtu">
        <w:r>
          <w:rPr>
            <w:rStyle w:val="Hyperlink"/>
            <w:sz w:val="18"/>
            <w:szCs w:val="18"/>
          </w:rPr>
          <w:t xml:space="preserve">https://www.fca.org.uk/data/mortgage-lending-statistics</w:t>
        </w:r>
      </w:hyperlink>
    </w:p>
    <w:p>
      <w:pPr>
        <w:pStyle w:val="ListParagraph"/>
        <w:numPr>
          <w:ilvl w:val="0"/>
          <w:numId w:val="2"/>
        </w:numPr>
        <w:spacing w:after="50"/>
      </w:pPr>
      <w:r>
        <w:t xml:space="preserve">ONS — BCP local house prices — </w:t>
      </w:r>
      <w:hyperlink w:history="1" r:id="rIdcwoglatd19kh_sanh8kqh">
        <w:r>
          <w:rPr>
            <w:rStyle w:val="Hyperlink"/>
            <w:sz w:val="18"/>
            <w:szCs w:val="18"/>
          </w:rPr>
          <w:t xml:space="preserve">https://www.ons.gov.uk/visualisations/housingpriceslocal/E06000058/</w:t>
        </w:r>
      </w:hyperlink>
    </w:p>
    <w:p>
      <w:pPr>
        <w:pStyle w:val="ListParagraph"/>
        <w:numPr>
          <w:ilvl w:val="0"/>
          <w:numId w:val="2"/>
        </w:numPr>
        <w:spacing w:after="50"/>
      </w:pPr>
      <w:r>
        <w:t xml:space="preserve">FCA Handbook — SUP 12 Appointed Representatives — </w:t>
      </w:r>
      <w:hyperlink w:history="1" r:id="rId_hcoue7n5makwceojzwjr">
        <w:r>
          <w:rPr>
            <w:rStyle w:val="Hyperlink"/>
            <w:sz w:val="18"/>
            <w:szCs w:val="18"/>
          </w:rPr>
          <w:t xml:space="preserve">https://handbook.fca.org.uk/handbook/sup12</w:t>
        </w:r>
      </w:hyperlink>
    </w:p>
    <w:p>
      <w:pPr>
        <w:pStyle w:val="ListParagraph"/>
        <w:numPr>
          <w:ilvl w:val="0"/>
          <w:numId w:val="2"/>
        </w:numPr>
        <w:spacing w:after="50"/>
      </w:pPr>
      <w:r>
        <w:t xml:space="preserve">FCA — Responsibilities for overseeing ARs — </w:t>
      </w:r>
      <w:hyperlink w:history="1" r:id="rIdrohwpgjv76gzbidikdeau">
        <w:r>
          <w:rPr>
            <w:rStyle w:val="Hyperlink"/>
            <w:sz w:val="18"/>
            <w:szCs w:val="18"/>
          </w:rPr>
          <w:t xml:space="preserve">https://www.fca.org.uk/firms/principals-appointed-representatives/responsibilities-how-to-oversee</w:t>
        </w:r>
      </w:hyperlink>
    </w:p>
    <w:p>
      <w:pPr>
        <w:pStyle w:val="ListParagraph"/>
        <w:numPr>
          <w:ilvl w:val="0"/>
          <w:numId w:val="2"/>
        </w:numPr>
        <w:spacing w:after="50"/>
      </w:pPr>
      <w:r>
        <w:t xml:space="preserve">Stonebridge — Technology / Revolution platform — </w:t>
      </w:r>
      <w:hyperlink w:history="1" r:id="rId6qd9d8dutzcj0agtcgiiy">
        <w:r>
          <w:rPr>
            <w:rStyle w:val="Hyperlink"/>
            <w:sz w:val="18"/>
            <w:szCs w:val="18"/>
          </w:rPr>
          <w:t xml:space="preserve">https://stonebridgegroup.co.uk/technology/</w:t>
        </w:r>
      </w:hyperlink>
    </w:p>
    <w:p>
      <w:pPr>
        <w:pStyle w:val="ListParagraph"/>
        <w:numPr>
          <w:ilvl w:val="0"/>
          <w:numId w:val="2"/>
        </w:numPr>
        <w:spacing w:after="50"/>
      </w:pPr>
      <w:r>
        <w:t xml:space="preserve">FCA Handbook — MCOB 2.8 Record keeping — </w:t>
      </w:r>
      <w:hyperlink w:history="1" r:id="rId5tvmyebwn3dlydizt5css">
        <w:r>
          <w:rPr>
            <w:rStyle w:val="Hyperlink"/>
            <w:sz w:val="18"/>
            <w:szCs w:val="18"/>
          </w:rPr>
          <w:t xml:space="preserve">https://handbook.fca.org.uk/handbook/MCOB/2/8.html</w:t>
        </w:r>
      </w:hyperlink>
    </w:p>
    <w:p>
      <w:pPr>
        <w:pStyle w:val="ListParagraph"/>
        <w:numPr>
          <w:ilvl w:val="0"/>
          <w:numId w:val="2"/>
        </w:numPr>
        <w:spacing w:after="50"/>
      </w:pPr>
      <w:r>
        <w:t xml:space="preserve">ICO — Data protection fee — </w:t>
      </w:r>
      <w:hyperlink w:history="1" r:id="rIdrzzwvky3i2ilffwhj8s6n">
        <w:r>
          <w:rPr>
            <w:rStyle w:val="Hyperlink"/>
            <w:sz w:val="18"/>
            <w:szCs w:val="18"/>
          </w:rPr>
          <w:t xml:space="preserve">https://ico.org.uk/for-organisations/data-protection-fee/</w:t>
        </w:r>
      </w:hyperlink>
    </w:p>
    <w:p>
      <w:pPr>
        <w:pStyle w:val="ListParagraph"/>
        <w:numPr>
          <w:ilvl w:val="0"/>
          <w:numId w:val="2"/>
        </w:numPr>
        <w:spacing w:after="50"/>
      </w:pPr>
      <w:r>
        <w:t xml:space="preserve">ICO — Personal data breaches guide — </w:t>
      </w:r>
      <w:hyperlink w:history="1" r:id="rId-wqvix5regythzzev8s3q">
        <w:r>
          <w:rPr>
            <w:rStyle w:val="Hyperlink"/>
            <w:sz w:val="18"/>
            <w:szCs w:val="18"/>
          </w:rPr>
          <w:t xml:space="preserve">https://ico.org.uk/for-organisations/report-a-breach/personal-data-breach/personal-data-breaches-a-guide/</w:t>
        </w:r>
      </w:hyperlink>
    </w:p>
    <w:p>
      <w:pPr>
        <w:pStyle w:val="ListParagraph"/>
        <w:numPr>
          <w:ilvl w:val="0"/>
          <w:numId w:val="2"/>
        </w:numPr>
        <w:spacing w:after="50"/>
      </w:pPr>
      <w:r>
        <w:t xml:space="preserve">FCA — FG16/5 outsourcing to the cloud (PDF) — </w:t>
      </w:r>
      <w:hyperlink w:history="1" r:id="rIdpct4qnxcymcm8r2mznolr">
        <w:r>
          <w:rPr>
            <w:rStyle w:val="Hyperlink"/>
            <w:sz w:val="18"/>
            <w:szCs w:val="18"/>
          </w:rPr>
          <w:t xml:space="preserve">https://www.fca.org.uk/publication/finalised-guidance/fg16-5.pdf</w:t>
        </w:r>
      </w:hyperlink>
    </w:p>
    <w:p>
      <w:pPr>
        <w:pStyle w:val="ListParagraph"/>
        <w:numPr>
          <w:ilvl w:val="0"/>
          <w:numId w:val="2"/>
        </w:numPr>
        <w:spacing w:after="50"/>
      </w:pPr>
      <w:r>
        <w:t xml:space="preserve">Supabase — pricing — </w:t>
      </w:r>
      <w:hyperlink w:history="1" r:id="rIdydgmptzngmez-ncyfpdsz">
        <w:r>
          <w:rPr>
            <w:rStyle w:val="Hyperlink"/>
            <w:sz w:val="18"/>
            <w:szCs w:val="18"/>
          </w:rPr>
          <w:t xml:space="preserve">https://supabase.com/pricing</w:t>
        </w:r>
      </w:hyperlink>
    </w:p>
    <w:p>
      <w:pPr>
        <w:pStyle w:val="ListParagraph"/>
        <w:numPr>
          <w:ilvl w:val="0"/>
          <w:numId w:val="2"/>
        </w:numPr>
        <w:spacing w:after="50"/>
      </w:pPr>
      <w:r>
        <w:t xml:space="preserve">Resend — pricing — </w:t>
      </w:r>
      <w:hyperlink w:history="1" r:id="rIdf3zmew96a3bzvwdrieoux">
        <w:r>
          <w:rPr>
            <w:rStyle w:val="Hyperlink"/>
            <w:sz w:val="18"/>
            <w:szCs w:val="18"/>
          </w:rPr>
          <w:t xml:space="preserve">https://resend.com/pricing</w:t>
        </w:r>
      </w:hyperlink>
    </w:p>
    <w:p>
      <w:pPr>
        <w:pStyle w:val="ListParagraph"/>
        <w:numPr>
          <w:ilvl w:val="0"/>
          <w:numId w:val="2"/>
        </w:numPr>
        <w:spacing w:after="50"/>
      </w:pPr>
      <w:r>
        <w:t xml:space="preserve">Habito acquired by Monzo — review — </w:t>
      </w:r>
      <w:hyperlink w:history="1" r:id="rIdvcyg1n3hkcgpynjf93ngg">
        <w:r>
          <w:rPr>
            <w:rStyle w:val="Hyperlink"/>
            <w:sz w:val="18"/>
            <w:szCs w:val="18"/>
          </w:rPr>
          <w:t xml:space="preserve">https://moneytothemasses.com/owning-a-home/mortgages/habito-review-the-best-online-mortgage-broker-for-you</w:t>
        </w:r>
      </w:hyperlink>
    </w:p>
    <w:p>
      <w:pPr>
        <w:pStyle w:val="ListParagraph"/>
        <w:numPr>
          <w:ilvl w:val="0"/>
          <w:numId w:val="2"/>
        </w:numPr>
        <w:spacing w:after="50"/>
      </w:pPr>
      <w:r>
        <w:t xml:space="preserve">Barrett Mortgages (local competitor) — </w:t>
      </w:r>
      <w:hyperlink w:history="1" r:id="rIdlmrfp9s-rzlkxzbjv_r3m">
        <w:r>
          <w:rPr>
            <w:rStyle w:val="Hyperlink"/>
            <w:sz w:val="18"/>
            <w:szCs w:val="18"/>
          </w:rPr>
          <w:t xml:space="preserve">https://barrettmortgages.com/</w:t>
        </w:r>
      </w:hyperlink>
    </w:p>
    <w:p>
      <w:pPr>
        <w:pStyle w:val="ListParagraph"/>
        <w:numPr>
          <w:ilvl w:val="0"/>
          <w:numId w:val="2"/>
        </w:numPr>
        <w:spacing w:after="50"/>
      </w:pPr>
      <w:r>
        <w:t xml:space="preserve">TFA Group / Mark Savill — online booking — </w:t>
      </w:r>
      <w:hyperlink w:history="1" r:id="rIdohwqqpibqy-holdypt8hu">
        <w:r>
          <w:rPr>
            <w:rStyle w:val="Hyperlink"/>
            <w:sz w:val="18"/>
            <w:szCs w:val="18"/>
          </w:rPr>
          <w:t xml:space="preserve">https://tfagroup.co.uk/our-people/mark-savill-mortgage-adviser/</w:t>
        </w:r>
      </w:hyperlink>
    </w:p>
    <w:p>
      <w:pPr>
        <w:spacing w:before="200"/>
      </w:pPr>
      <w:r>
        <w:rPr>
          <w:i/>
          <w:iCs/>
          <w:color w:val="555555"/>
          <w:sz w:val="18"/>
          <w:szCs w:val="18"/>
        </w:rPr>
        <w:t xml:space="preserve">Prepared 30 June 2026. General information for planning purposes only — not legal, compliance or financial advice. Verify all regulatory and data-protection points with Stonebridge before acting.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internal planning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55555"/>
        <w:sz w:val="16"/>
        <w:szCs w:val="16"/>
      </w:rPr>
      <w:t xml:space="preserve">NexMoney Ltd — Strategic Blueprint &amp; Red-Team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2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2A44"/>
      <w:sz w:val="52"/>
      <w:szCs w:val="52"/>
    </w:rPr>
  </w:style>
  <w:style w:type="paragraph" w:styleId="Heading1">
    <w:name w:val="Heading 1"/>
    <w:basedOn w:val="Normal"/>
    <w:next w:val="Normal"/>
    <w:qFormat/>
    <w:pPr>
      <w:pBdr>
        <w:bottom w:val="single" w:color="F36F23" w:sz="8" w:space="4"/>
      </w:pBdr>
      <w:spacing w:after="160" w:before="32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F2A44"/>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F36F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npuqdowtzy8a6r3u8ulv" Type="http://schemas.openxmlformats.org/officeDocument/2006/relationships/hyperlink" Target="https://www.ukfinance.org.uk/news-and-insight/press-release/modest-growth-forecast-mortgage-lending-in-2026" TargetMode="External"/><Relationship Id="rIdc2l0lloywikbv6jhzevtu" Type="http://schemas.openxmlformats.org/officeDocument/2006/relationships/hyperlink" Target="https://www.fca.org.uk/data/mortgage-lending-statistics" TargetMode="External"/><Relationship Id="rIdcwoglatd19kh_sanh8kqh" Type="http://schemas.openxmlformats.org/officeDocument/2006/relationships/hyperlink" Target="https://www.ons.gov.uk/visualisations/housingpriceslocal/E06000058/" TargetMode="External"/><Relationship Id="rId_hcoue7n5makwceojzwjr" Type="http://schemas.openxmlformats.org/officeDocument/2006/relationships/hyperlink" Target="https://handbook.fca.org.uk/handbook/sup12" TargetMode="External"/><Relationship Id="rIdrohwpgjv76gzbidikdeau" Type="http://schemas.openxmlformats.org/officeDocument/2006/relationships/hyperlink" Target="https://www.fca.org.uk/firms/principals-appointed-representatives/responsibilities-how-to-oversee" TargetMode="External"/><Relationship Id="rId6qd9d8dutzcj0agtcgiiy" Type="http://schemas.openxmlformats.org/officeDocument/2006/relationships/hyperlink" Target="https://stonebridgegroup.co.uk/technology/" TargetMode="External"/><Relationship Id="rId5tvmyebwn3dlydizt5css" Type="http://schemas.openxmlformats.org/officeDocument/2006/relationships/hyperlink" Target="https://handbook.fca.org.uk/handbook/MCOB/2/8.html" TargetMode="External"/><Relationship Id="rIdrzzwvky3i2ilffwhj8s6n" Type="http://schemas.openxmlformats.org/officeDocument/2006/relationships/hyperlink" Target="https://ico.org.uk/for-organisations/data-protection-fee/" TargetMode="External"/><Relationship Id="rId-wqvix5regythzzev8s3q" Type="http://schemas.openxmlformats.org/officeDocument/2006/relationships/hyperlink" Target="https://ico.org.uk/for-organisations/report-a-breach/personal-data-breach/personal-data-breaches-a-guide/" TargetMode="External"/><Relationship Id="rIdpct4qnxcymcm8r2mznolr" Type="http://schemas.openxmlformats.org/officeDocument/2006/relationships/hyperlink" Target="https://www.fca.org.uk/publication/finalised-guidance/fg16-5.pdf" TargetMode="External"/><Relationship Id="rIdydgmptzngmez-ncyfpdsz" Type="http://schemas.openxmlformats.org/officeDocument/2006/relationships/hyperlink" Target="https://supabase.com/pricing" TargetMode="External"/><Relationship Id="rIdf3zmew96a3bzvwdrieoux" Type="http://schemas.openxmlformats.org/officeDocument/2006/relationships/hyperlink" Target="https://resend.com/pricing" TargetMode="External"/><Relationship Id="rIdvcyg1n3hkcgpynjf93ngg" Type="http://schemas.openxmlformats.org/officeDocument/2006/relationships/hyperlink" Target="https://moneytothemasses.com/owning-a-home/mortgages/habito-review-the-best-online-mortgage-broker-for-you" TargetMode="External"/><Relationship Id="rIdlmrfp9s-rzlkxzbjv_r3m" Type="http://schemas.openxmlformats.org/officeDocument/2006/relationships/hyperlink" Target="https://barrettmortgages.com/" TargetMode="External"/><Relationship Id="rIdohwqqpibqy-holdypt8hu" Type="http://schemas.openxmlformats.org/officeDocument/2006/relationships/hyperlink" Target="https://tfagroup.co.uk/our-people/mark-savill-mortgage-adviser/"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2026-06-30T07:31:29.011Z</dcterms:created>
  <dcterms:modified xsi:type="dcterms:W3CDTF">2026-06-30T07:31:29.033Z</dcterms:modified>
</cp:coreProperties>
</file>

<file path=docProps/custom.xml><?xml version="1.0" encoding="utf-8"?>
<Properties xmlns="http://schemas.openxmlformats.org/officeDocument/2006/custom-properties" xmlns:vt="http://schemas.openxmlformats.org/officeDocument/2006/docPropsVTypes"/>
</file>