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</w:pPr>
      <w:r>
        <w:rPr>
          <w:b/>
          <w:bCs/>
          <w:color w:val="F36F23"/>
          <w:sz w:val="24"/>
          <w:szCs w:val="24"/>
        </w:rPr>
        <w:t xml:space="preserve">NexMoney Ltd — Companion to the Strategic Blueprint</w:t>
      </w:r>
    </w:p>
    <w:p>
      <w:pPr>
        <w:pStyle w:val="Title"/>
        <w:spacing w:after="60"/>
      </w:pPr>
      <w:r>
        <w:t xml:space="preserve">Live Site vs Redesign:</w:t>
      </w:r>
    </w:p>
    <w:p>
      <w:pPr>
        <w:pStyle w:val="Title"/>
      </w:pPr>
      <w:r>
        <w:t xml:space="preserve">Pre-Launch Gap Analysis</w:t>
      </w:r>
    </w:p>
    <w:p>
      <w:pPr>
        <w:spacing w:before="120"/>
      </w:pPr>
      <w:r>
        <w:rPr>
          <w:color w:val="555555"/>
          <w:sz w:val="23"/>
          <w:szCs w:val="23"/>
        </w:rPr>
        <w:t xml:space="preserve">What the current live site does that the redesign must carry across before go-live</w:t>
      </w:r>
    </w:p>
    <w:p>
      <w:pPr>
        <w:pBdr>
          <w:top w:val="single" w:color="1F2A44" w:sz="6" w:space="6"/>
        </w:pBdr>
        <w:spacing w:before="600"/>
      </w:pPr>
    </w:p>
    <w:p>
      <w:pPr>
        <w:spacing w:after="140" w:line="276"/>
      </w:pPr>
      <w:r>
        <w:rPr>
          <w:b/>
          <w:bCs/>
        </w:rPr>
        <w:t xml:space="preserve">Live site reviewed: </w:t>
      </w:r>
      <w:r>
        <w:t xml:space="preserve">www.nexmoney.co.uk (home, contact, about, testimonials, guides)</w:t>
      </w:r>
    </w:p>
    <w:p>
      <w:pPr>
        <w:spacing w:after="140" w:line="276"/>
      </w:pPr>
      <w:r>
        <w:rPr>
          <w:b/>
          <w:bCs/>
        </w:rPr>
        <w:t xml:space="preserve">Redesign reviewed: </w:t>
      </w:r>
      <w:r>
        <w:t xml:space="preserve">“New NexMoney Website” local files (index, about, services, mortgages, calculators, contact, faq)</w:t>
      </w:r>
    </w:p>
    <w:p>
      <w:pPr>
        <w:spacing w:after="140" w:line="276"/>
      </w:pPr>
      <w:r>
        <w:rPr>
          <w:b/>
          <w:bCs/>
        </w:rPr>
        <w:t xml:space="preserve">Date: </w:t>
      </w:r>
      <w:r>
        <w:t xml:space="preserve">30 June 2026</w:t>
      </w:r>
    </w:p>
    <w:p>
      <w:r>
        <w:br w:type="page"/>
      </w:r>
    </w:p>
    <w:p>
      <w:pPr>
        <w:pStyle w:val="Heading1"/>
      </w:pPr>
      <w:r>
        <w:t xml:space="preserve">1. The headline: these are two different websites</w:t>
      </w:r>
    </w:p>
    <w:p>
      <w:pPr>
        <w:spacing w:after="140" w:line="276"/>
      </w:pPr>
      <w:r>
        <w:t xml:space="preserve">Your earlier report’s Section 4 reviewed the local redesign files, not the live site. Having now fetched both, they are clearly separate builds — the redesign is a modern from-scratch replacement for an ageing live site, and it is not yet deployed.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6F23" w:sz="6"/>
              <w:left w:val="single" w:color="F36F23" w:sz="6"/>
              <w:bottom w:val="single" w:color="F36F23" w:sz="6"/>
              <w:right w:val="single" w:color="F36F23" w:sz="6"/>
            </w:tcBorders>
            <w:shd w:fill="FBF1D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Why this matters: </w:t>
            </w:r>
            <w:r>
              <w:t xml:space="preserve">the live site is dated and worth replacing — but it already does several things the redesign doesn’t. Launch the new site as-is and you would lose real assets (14 published reviews, a working client portal, two office addresses, a wider service range) and ship with the wrong company details. This document is the port-before-launch list.</w:t>
            </w:r>
          </w:p>
        </w:tc>
      </w:tr>
    </w:tbl>
    <w:p>
      <w:pPr>
        <w:pStyle w:val="Heading2"/>
      </w:pPr>
      <w:r>
        <w:t xml:space="preserve">Live site character (the thing being replaced)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Older CMS-driven site, visibly dated: a dead Google+ link, a 2016 Google-map embed, an iPromote tracking pixel, mixed http/https asset URLs, and viewport “user-scalable=no” (an accessibility problem).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Orphaned HubSpot CTAs: </w:t>
      </w:r>
      <w:r>
        <w:t xml:space="preserve">the homepage buttons are HubSpot-hosted (portal 455523), but you no longer have HubSpot access — so those CTAs are now legacy dead-ends that must not be carried over. A client portal also exists — “NexLogin” plus ClientHub (clienthub.org.uk?id=288); confirm whether ClientHub is still active.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Relies on phone + email for enquiries — the contact page has no form, just admin@ / enquiries@ and the Bournemouth phone number.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 “Guides” section that was never finished — still says “Currently being worked on — Coming March 19.”</w:t>
      </w:r>
    </w:p>
    <w:p>
      <w:r>
        <w:br w:type="page"/>
      </w:r>
    </w:p>
    <w:p>
      <w:pPr>
        <w:pStyle w:val="Heading1"/>
      </w:pPr>
      <w:r>
        <w:t xml:space="preserve">2. Side-by-side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505"/>
        <w:gridCol w:w="3505"/>
      </w:tblGrid>
      <w:tr>
        <w:trPr>
          <w:tblHeader/>
        </w:trP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Live site (current)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Redesign (local files)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Platform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Older CMS, server-rendered, /path URLs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Modern static HTML/CSS, .html pages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Design / mobile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Dated; user-scalable=no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Clean, fast, responsive, rich JSON-LD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Enquiry form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 — email &amp; phone only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Form present but DEAD (discards data)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Privacy / Cookies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Live: /privacy, /cookies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Missing (linked but 404)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Testimonials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 real named reviews (Luke &amp; Dan)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Page linked but missing; only hard-coded schema rating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 portal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NexLogin + ClientHub (id 288)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None (robots blocks /portal but no page)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HubSpot / CRM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Legacy CTAs only — access now lost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wired in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Offices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Lists Bournemouth (BH8 8EZ) + Surrey — but Surrey is now closed (outdated)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Bournemouth-only (correct) but schema postcode “BH1” is wrong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Adviser identity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Luke Richards (VouchedFor) &amp; Dan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Generic / unnamed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Service range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Wide: 9 mortgage types, protection, general insurance, bridging/secured/development/commercial, conveyancing, “Recycle a Mortgage”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Narrower subset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Memberships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0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AMI member logo, VouchedFor badge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shown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Social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Twitter @NexMoney, Facebook, YouTube (+ dead G+)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prominent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Guides / content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Section exists but unfinished (“Coming March 19”)</w:t>
            </w:r>
          </w:p>
        </w:tc>
        <w:tc>
          <w:tcPr>
            <w:tcW w:type="dxa" w:w="35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FAQ page only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Port-before-launch checklist</w:t>
      </w:r>
    </w:p>
    <w:p>
      <w:pPr>
        <w:spacing w:after="140" w:line="276"/>
      </w:pPr>
      <w:r>
        <w:t xml:space="preserve">Everything the live site already does that the redesign needs before it can safely replace it. MUST items are launch-blockers.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5510"/>
        <w:gridCol w:w="1500"/>
      </w:tblGrid>
      <w:tr>
        <w:trPr>
          <w:tblHeader/>
        </w:trP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Real company details</w:t>
            </w:r>
          </w:p>
        </w:tc>
        <w:tc>
          <w:tcPr>
            <w:tcW w:type="dxa" w:w="5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Fix BH1 → Avalon, 26–32 Oxford Road, Bournemouth, BH8 8EZ. Single Bournemouth office only — Surrey is now closed, so make sure neither the redesign nor any old content still lists it. Use real emails admin@ / enquiries@.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Privacy + Cookies pages</w:t>
            </w:r>
          </w:p>
        </w:tc>
        <w:tc>
          <w:tcPr>
            <w:tcW w:type="dxa" w:w="5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Port the live /privacy and /cookies content into the redesign (it currently 404s these while collecting data).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Working enquiry capture</w:t>
            </w:r>
          </w:p>
        </w:tc>
        <w:tc>
          <w:tcPr>
            <w:tcW w:type="dxa" w:w="5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Replace the dead form with a real endpoint (and/or carry over the phone+email approach) so no enquiry is lost.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 testimonials + VouchedFor</w:t>
            </w:r>
          </w:p>
        </w:tc>
        <w:tc>
          <w:tcPr>
            <w:tcW w:type="dxa" w:w="5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Rebuild the testimonials page from the live reviews; link/embed Luke Richards’ VouchedFor profile to substantiate the star rating.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Adviser identity</w:t>
            </w:r>
          </w:p>
        </w:tc>
        <w:tc>
          <w:tcPr>
            <w:tcW w:type="dxa" w:w="5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 the advisers (Luke Richards &amp; Daniel Potts) with the VouchedFor link — people buy from people, and the reviews are tied to Luke.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 portal links</w:t>
            </w:r>
          </w:p>
        </w:tc>
        <w:tc>
          <w:tcPr>
            <w:tcW w:type="dxa" w:w="5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Carry over NexLogin (/portal) and ClientHub (clienthub.org.uk?id=288) so existing clients can still log in.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Full service range</w:t>
            </w:r>
          </w:p>
        </w:tc>
        <w:tc>
          <w:tcPr>
            <w:tcW w:type="dxa" w:w="5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the missing services (capital raising, self build, help/right to buy, shared ownership, critical illness, general insurance lines, bridging/secured/development/commercial finance, conveyancing, Recycle a Mortgage) — each is an SEO landing page.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Trust badges</w:t>
            </w:r>
          </w:p>
        </w:tc>
        <w:tc>
          <w:tcPr>
            <w:tcW w:type="dxa" w:w="5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the AMI membership logo and VouchedFor badge to the redesign.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301 redirect map</w:t>
            </w:r>
          </w:p>
        </w:tc>
        <w:tc>
          <w:tcPr>
            <w:tcW w:type="dxa" w:w="5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Live URLs are /path (no .html). Map every old URL to its redesign equivalent so rankings and inbound links survive the switch.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Social profiles</w:t>
            </w:r>
          </w:p>
        </w:tc>
        <w:tc>
          <w:tcPr>
            <w:tcW w:type="dxa" w:w="5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Carry over Twitter/Facebook/YouTube; drop the dead Google+ link.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MED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Brand assets / copy</w:t>
            </w:r>
          </w:p>
        </w:tc>
        <w:tc>
          <w:tcPr>
            <w:tcW w:type="dxa" w:w="5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Reuse the Nexmoney Promise, Service Guarantee, “Share the Love” £50 referral, and the warm “pop in for a coffee” voice.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Do NOT carry over (leave behind)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The dead Google+ link, the 2016 map embed, and the iPromote tracking pixel.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“user-scalable=no” on the viewport — it blocks pinch-zoom and fails accessibility.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Mixed http/https asset URLs — serve everything over https.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The unfinished “Guides — Coming March 19” placeholder. Either finish the guides as real content (good for SEO) or omit the section until it’s ready — don’t ship a years-old “coming soon”.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The unverifiable hard-coded “5.0 / 47 reviews” schema in the redesign — replace it with the real VouchedFor feed so the rating is substantiated.</w:t>
      </w:r>
    </w:p>
    <w:p>
      <w:pPr>
        <w:pStyle w:val="Heading1"/>
      </w:pPr>
      <w:r>
        <w:t xml:space="preserve">5. Backend implication — the HubSpot gap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6F23" w:sz="6"/>
              <w:left w:val="single" w:color="F36F23" w:sz="6"/>
              <w:bottom w:val="single" w:color="F36F23" w:sz="6"/>
              <w:right w:val="single" w:color="F36F23" w:sz="6"/>
            </w:tcBorders>
            <w:shd w:fill="FBF1D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76"/>
            </w:pPr>
            <w:r>
              <w:rPr>
                <w:b/>
                <w:bCs/>
              </w:rPr>
              <w:t xml:space="preserve">Important for the custom-build decision: </w:t>
            </w:r>
            <w:r>
              <w:t xml:space="preserve">the live site’s lead-capture CTAs run through HubSpot — but you no longer have HubSpot access. So the current site is effectively pointing prospects at a system you can’t see into, and any leads it once captured are now stranded. This makes the case for a replacement stronger, not weaker: the redesign needs its own working lead capture (the “seam” from the main report) precisely because the HubSpot layer is gone.</w:t>
            </w:r>
          </w:p>
        </w:tc>
      </w:tr>
    </w:tbl>
    <w:p>
      <w:pPr>
        <w:spacing w:after="140" w:line="276"/>
      </w:pPr>
      <w:r>
        <w:t xml:space="preserve">Practical next steps: (a) export or recover any historic HubSpot data before the account lapses entirely, if still possible; (b) confirm whether the ClientHub portal (id 288) is still active for existing clients; and (c) stand up the new lead-capture seam (form → your own database + email alert) so enquiries land somewhere you control. This still sits around Stonebridge’s Revolution, not replacing it.</w:t>
      </w:r>
    </w:p>
    <w:p>
      <w:pPr>
        <w:spacing w:before="200"/>
      </w:pPr>
      <w:r>
        <w:rPr>
          <w:i/>
          <w:iCs/>
          <w:color w:val="555555"/>
          <w:sz w:val="18"/>
          <w:szCs w:val="18"/>
        </w:rPr>
        <w:t xml:space="preserve">Companion to “NexMoney_Strategic_Blueprint.docx”, 30 June 2026. Based on live pages fetched 30 June 2026 and the local redesign files. General planning information, not legal/compliance advice.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Confidential — internal planning  •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color w:val="555555"/>
        <w:sz w:val="16"/>
        <w:szCs w:val="16"/>
      </w:rPr>
      <w:t xml:space="preserve">NexMoney — Live vs Redesign Gap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Calibri" w:cs="Calibri" w:eastAsia="Calibri" w:hAnsi="Calibri"/>
      <w:b/>
      <w:bCs/>
      <w:color w:val="1F2A44"/>
      <w:sz w:val="46"/>
      <w:szCs w:val="46"/>
    </w:rPr>
  </w:style>
  <w:style w:type="paragraph" w:styleId="Heading1">
    <w:name w:val="Heading 1"/>
    <w:basedOn w:val="Normal"/>
    <w:next w:val="Normal"/>
    <w:qFormat/>
    <w:pPr>
      <w:pBdr>
        <w:bottom w:val="single" w:color="F36F23" w:sz="8" w:space="4"/>
      </w:pBdr>
      <w:spacing w:after="150" w:before="300"/>
      <w:outlineLvl w:val="0"/>
    </w:pPr>
    <w:rPr>
      <w:rFonts w:ascii="Calibri" w:cs="Calibri" w:eastAsia="Calibri" w:hAnsi="Calibri"/>
      <w:b/>
      <w:bCs/>
      <w:color w:val="1F2A44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F2A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2026-06-30T07:32:53.155Z</dcterms:created>
  <dcterms:modified xsi:type="dcterms:W3CDTF">2026-06-30T07:32:53.160Z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