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20D60">
      <w:pPr>
        <w:pStyle w:val="4"/>
        <w:keepNext w:val="0"/>
        <w:keepLines w:val="0"/>
        <w:widowControl/>
        <w:suppressLineNumbers w:val="0"/>
      </w:pPr>
      <w:r>
        <w:t>Финтех-компании всё чаще смещают фокус с быстрого роста на устойчивую экономику продукта. В условиях дорогого капитала и снижения венчурного финансирования ключевыми становятся показатели юнит-экономики, такие как CAC, LTV и срок окупаемости клиента. Бизнес-модели, ориентированные только на масштабирование без контроля издержек, теряют инвестиционную привлекательность.</w:t>
      </w:r>
    </w:p>
    <w:p w14:paraId="290C7D17">
      <w:pPr>
        <w:pStyle w:val="4"/>
        <w:keepNext w:val="0"/>
        <w:keepLines w:val="0"/>
        <w:widowControl/>
        <w:suppressLineNumbers w:val="0"/>
      </w:pPr>
      <w:r>
        <w:t>Одним из центральных направлений финтеха остаётся цифровизация платежей. Распространение мгновенных платежных систем, embedded-финансов и BNPL-моделей приводит к росту конкуренции между банками и небанковскими игроками. В результате ценность смещается от самого платежа к дополнительным сервисам, таким как аналитика транзакций, персонализация предложений и управление финансовым поведением пользователей.</w:t>
      </w:r>
    </w:p>
    <w:p w14:paraId="0426D7E5">
      <w:pPr>
        <w:pStyle w:val="4"/>
        <w:keepNext w:val="0"/>
        <w:keepLines w:val="0"/>
        <w:widowControl/>
        <w:suppressLineNumbers w:val="0"/>
      </w:pPr>
      <w:r>
        <w:t>Машинное обучение активно используется в финтехе для скоринга и управления рисками. Современные модели учитывают не только кредитную историю, но и поведенческие данные, транзакционные паттерны и косвенные признаки платежеспособности. При этом возрастает значение интерпретируемости моделей, так как регуляторы требуют прозрачности решений и возможности объяснить отказ или изменение условий клиенту.</w:t>
      </w:r>
    </w:p>
    <w:p w14:paraId="735FC59A">
      <w:pPr>
        <w:pStyle w:val="4"/>
        <w:keepNext w:val="0"/>
        <w:keepLines w:val="0"/>
        <w:widowControl/>
        <w:suppressLineNumbers w:val="0"/>
      </w:pPr>
      <w:r>
        <w:t>Антифрод-системы становятся более сложными из-за роста онлайн-платежей и трансграничных операций. Финтех-компании внедряют гибридные подходы, сочетающие правила, машинное обучение и поведенческий анализ в реальном времени. Эффективность антифрода измеряется не только уровнем предотвращённых потерь, но и влиянием на пользовательский опыт и конверсию.</w:t>
      </w:r>
    </w:p>
    <w:p w14:paraId="1B2C922C">
      <w:pPr>
        <w:pStyle w:val="4"/>
        <w:keepNext w:val="0"/>
        <w:keepLines w:val="0"/>
        <w:widowControl/>
        <w:suppressLineNumbers w:val="0"/>
      </w:pPr>
      <w:r>
        <w:t>Регуляторное давление остаётся важным фактором развития отрасли. Требования KYC, AML и защите персональных данных напрямую влияют на архитектуру финтех-продуктов. Компании вынуждены проектировать системы с учётом compliance-ограничений с самого начала, так как последующая доработка инфраструктуры обходится значительно дороже.</w:t>
      </w:r>
    </w:p>
    <w:p w14:paraId="40A6BF26">
      <w:pPr>
        <w:pStyle w:val="4"/>
        <w:keepNext w:val="0"/>
        <w:keepLines w:val="0"/>
        <w:widowControl/>
        <w:suppressLineNumbers w:val="0"/>
      </w:pPr>
      <w:r>
        <w:t>В ближайшие годы конкурентное преимущество финтех-продуктов будет определяться качеством данных и способностью быстро превращать их в управленческие решения. Аналитика в реальном времени, автоматизация отчётности и интеграция AI-ассистентов для внутренних команд становятся стандартом, а не экспериментом.</w:t>
      </w:r>
    </w:p>
    <w:p w14:paraId="708850E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1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2026-02-08T09:52:52Z</dcterms:created>
  <dc:creator>User</dc:creator>
  <cp:lastModifiedBy>User</cp:lastModifiedBy>
  <dcterms:modified xsi:type="dcterms:W3CDTF">2026-02-08T09:52:57Z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eyJoZGlkIjoiM2Q0YzIzN2U0MzYyZmExNjYzZmNmYWFmZTFmZGRiNzEifQ==</vt:lpwstr>
  </property>
  <property fmtid="{D5CDD505-2E9C-101B-9397-08002B2CF9AE}" pid="4" name="ICV">
    <vt:lpwstr>D2F9FACB16DA43D0BA04319CA8811CD8_12</vt:lpwstr>
  </property>
</Properties>
</file>