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Status Report: AI Identity</w:t>
      </w:r>
    </w:p>
    <w:p>
      <w:pPr>
        <w:spacing w:after="60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Week of March 30 – April 5, 2026</w:t>
      </w:r>
    </w:p>
    <w:p>
      <w:pPr>
        <w:spacing w:after="200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Author: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Jeff</w:t>
      </w:r>
      <w:r>
        <w:rPr>
          <w:rFonts w:ascii="Arial" w:cs="Arial" w:eastAsia="Arial" w:hAnsi="Arial"/>
          <w:color w:val="616161"/>
          <w:sz w:val="22"/>
          <w:szCs w:val="22"/>
        </w:rPr>
        <w:t xml:space="preserve">  |  Date: April 6, 2026</w:t>
      </w:r>
    </w:p>
    <w:p>
      <w:pPr>
        <w:pBdr>
          <w:bottom w:val="single" w:color="2E8B8B" w:sz="8" w:space="1"/>
        </w:pBd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Strong execution week for AI Identity. The v0.2.0 milestone was completed with AI Forensics elevated to a first-class product pillar, the Four Pillars governance framework launched, and industry-specific pages for Healthcare and Finance shipped. The landing page was fully migrated from Vite/React to Next.js (all 17 pages ported) for improved SEO and performance. Shadow agent detection UX received significant polish. The project remains on track for the May 5 Product Hunt launch.</w:t>
      </w:r>
    </w:p>
    <w:p>
      <w:pPr>
        <w:spacing w:after="200" w:before="120"/>
        <w:jc w:val="left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ON TRACK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Commits this week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15+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37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↑ Up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Pages migrated (Next.js)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17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17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Complete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Sentry unresolved issues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Low severity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Blog posts (SEO-ready)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Complete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Days to Product Hunt launch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29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↓ Counting down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ON TRACK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Accomplishments This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AI Forensics elevated to first-class product pillar — new landing page live with Four Pillars governance framework (Provenance, Access, Forensics, Compliance).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Full Next.js migration completed — scaffolded App Router, ported all 17 pages (home, blog, pricing, how-it-works, SDKs, industry verticals, etc.), dynamic sitemap/robots, cleaned up Vite artifacts.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Healthcare and Finance industry pages added to Solutions dropdown, expanding vertical market positioning.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Shadow agent detection UX overhaul — deep-links from shadow agent drawer to Forensics with agent_id and date range, expandable request metadata, actionable flows (Register, Block, Dismiss).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5 blog posts expanded to 1,800+ words each for SEO/GEO performance; code splitting and Product schema added to pricing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Automated 90-day inactive user cleanup with test script; audit_log trigger properly disabled during user_id nullification.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Public changelog page, ROADMAP.md, and sitemap entry shipped for transparency.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About page with founder story and homepage mission section launched.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QA smoke test cleanup hardened with retry logic and HTTP status verification.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In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60"/>
        <w:gridCol w:w="1500"/>
        <w:gridCol w:w="200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 Hunt launch prep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Jeff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May 5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Copy drafted, assets in progress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Welcome email series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Jeff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Drafted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Apr 14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3-email post-signup nurture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LinkedIn content campaign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Jeff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Active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Ongoing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Carousel posted, daily engagement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EU AI Act compliance guide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Jeff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Apr 20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Week 2 content piece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Agent purge with retention policy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Jeff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Apr 12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 endpoint + dashboard UI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Risks and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800"/>
        <w:gridCol w:w="21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Issue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Sentry: Worker SIGTERM signals (PYTHON-FASTAPI-3)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Low — no user impact, 16 events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Seer rates as super-low actionability. Monitor; likely Render platform restarts.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Jeff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Solo founder capacity for May 5 launch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Medium — launch timeline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Prioritize launch-critical items (PH assets, email series, landing page polish). Defer non-critical features.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Jeff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SEO indexing lag after Next.js migration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Low — organic traffic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Dynamic sitemap and robots.txt shipped. Monitor GSC for crawl issues this week.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Jeff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560"/>
        <w:gridCol w:w="26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Design partner pricing tier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Founder Rate (50% off Pro for 6 months) for first 5-10 customers with case study commitment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Apr 20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Lock in Founder Rate offer; include in PH launch materials.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SOC 2 Type II timing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Architecture ready; need policies, pen test, vendor risk. Estimated $20-50K.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Q2 review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Defer until post-launch revenue validates spend. Revisit after 10+ paying customers.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Next Period Priorities (April 6–12)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Finalize Product Hunt launch assets (hero image, maker comment, first-day strategy).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Ship agent purge with retention policy (admin endpoint + dashboard button).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Complete and test welcome email series (3-email post-signup nurture).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Draft EU AI Act compliance guide content piece.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Continue LinkedIn engagement campaign and daily posting cadence.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Monitor Sentry for any new issues post-Next.js migration.</w:t>
      </w:r>
    </w:p>
    <w:p>
      <w:pPr>
        <w:spacing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right"/>
    </w:pPr>
    <w:r>
      <w:rPr>
        <w:rFonts w:ascii="Arial" w:cs="Arial" w:eastAsia="Arial" w:hAnsi="Arial"/>
        <w:color w:val="9E9E9E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AI Identity</w:t>
    </w:r>
    <w:r>
      <w:rPr>
        <w:rFonts w:ascii="Arial" w:cs="Arial" w:eastAsia="Arial" w:hAnsi="Arial"/>
        <w:color w:val="757575"/>
        <w:sz w:val="18"/>
        <w:szCs w:val="18"/>
      </w:rPr>
      <w:t xml:space="preserve">	Weekly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2026-04-06T21:20:15.873Z</dcterms:created>
  <dcterms:modified xsi:type="dcterms:W3CDTF">2026-04-06T21:20:15.873Z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