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LinkedIn Reply — Megan (Cardinal Health)</w:t>
      </w:r>
    </w:p>
    <w:p>
      <w:r>
        <w:t>Hi Megan — thank you, I'll pass that along. She'll appreciate it.</w:t>
      </w:r>
    </w:p>
    <w:p>
      <w:r>
        <w:t>Great question, and it's exactly the seam most healthcare teams are grappling with right now. The short version: AI Identity sits between the agent and any downstream system — including a legacy patient database — and enforces three things at runtime.</w:t>
      </w:r>
    </w:p>
    <w:p>
      <w:r>
        <w:rPr>
          <w:b/>
        </w:rPr>
        <w:t xml:space="preserve">1. Identity, not shared keys. </w:t>
      </w:r>
      <w:r>
        <w:t>Every agent gets its own cryptographic credential. Nothing in our platform — or the agent itself — ever holds the database password in plaintext. Upstream credentials live in a Fernet-encrypted vault and are injected per request, scoped to that agent.</w:t>
      </w:r>
    </w:p>
    <w:p>
      <w:r>
        <w:rPr>
          <w:b/>
        </w:rPr>
        <w:t xml:space="preserve">2. Fail-closed policy enforcement. </w:t>
      </w:r>
      <w:r>
        <w:t>Every query an agent issues passes through our gateway first. If a policy doesn't explicitly permit that action — that dataset, that field, that volume — it doesn't happen. No PHI leaves the legacy system unless the policy says it can.</w:t>
      </w:r>
    </w:p>
    <w:p>
      <w:r>
        <w:rPr>
          <w:b/>
        </w:rPr>
        <w:t xml:space="preserve">3. Tamper-evident audit. </w:t>
      </w:r>
      <w:r>
        <w:t>Every decision is written to an HMAC-SHA256 hash-chained log with PII redacted at capture. When your compliance team (or an auditor) asks "which agent touched that record, when, and was it authorized?" — there's a verifiable answer, not a vendor's word.</w:t>
      </w:r>
    </w:p>
    <w:p>
      <w:r>
        <w:t>That's the layer between your governance documentation and your agents actually following it. Happy to walk through a healthcare-specific scenario if useful.</w:t>
      </w:r>
    </w:p>
    <w:p>
      <w:r>
        <w:t>Best,</w:t>
      </w:r>
    </w:p>
    <w:p>
      <w:r>
        <w:t>Jeff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