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9d5ce970c668920439f486035ca718c96e75b21"/>
    <w:p>
      <w:pPr>
        <w:pStyle w:val="Heading1"/>
      </w:pPr>
      <w:r>
        <w:t xml:space="preserve">AI Identity 90-day pilot — scoping doc for {{ Customer }}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Jeff Leva (Founder &amp; CEO)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{{ YYYY-MM-DD }}</w:t>
      </w:r>
      <w:r>
        <w:t xml:space="preserve"> </w:t>
      </w:r>
      <w:r>
        <w:rPr>
          <w:b/>
          <w:bCs/>
        </w:rPr>
        <w:t xml:space="preserve">Pilot start (target):</w:t>
      </w:r>
      <w:r>
        <w:t xml:space="preserve"> </w:t>
      </w:r>
      <w:r>
        <w:t xml:space="preserve">{{ YYYY-MM-DD }}</w:t>
      </w:r>
      <w:r>
        <w:t xml:space="preserve"> </w:t>
      </w:r>
      <w:r>
        <w:rPr>
          <w:b/>
          <w:bCs/>
        </w:rPr>
        <w:t xml:space="preserve">Pilot end (day 90):</w:t>
      </w:r>
      <w:r>
        <w:t xml:space="preserve"> </w:t>
      </w:r>
      <w:r>
        <w:t xml:space="preserve">{{ YYYY-MM-DD }}</w:t>
      </w:r>
    </w:p>
    <w:p>
      <w:r>
        <w:pict>
          <v:rect style="width:0;height:1.5pt" o:hralign="center" o:hrstd="t" o:hr="t"/>
        </w:pict>
      </w:r>
    </w:p>
    <w:bookmarkStart w:id="9" w:name="pilot-summary"/>
    <w:p>
      <w:pPr>
        <w:pStyle w:val="Heading2"/>
      </w:pPr>
      <w:r>
        <w:t xml:space="preserve">Pilot summary</w:t>
      </w:r>
    </w:p>
    <w:p>
      <w:pPr>
        <w:pStyle w:val="FirstParagraph"/>
      </w:pPr>
      <w:r>
        <w:t xml:space="preserve">A 90-day founding-partner pilot of AI Identity at {{ Customer }}, covering</w:t>
      </w:r>
      <w:r>
        <w:t xml:space="preserve"> </w:t>
      </w:r>
      <w:r>
        <w:t xml:space="preserve">{{ N }} agents across {{ team / department }}. The pilot is</w:t>
      </w:r>
      <w:r>
        <w:t xml:space="preserve"> </w:t>
      </w:r>
      <w:r>
        <w:rPr>
          <w:b/>
          <w:bCs/>
        </w:rPr>
        <w:t xml:space="preserve">free for 90</w:t>
      </w:r>
      <w:r>
        <w:rPr>
          <w:b/>
          <w:bCs/>
        </w:rPr>
        <w:t xml:space="preserve"> </w:t>
      </w:r>
      <w:r>
        <w:rPr>
          <w:b/>
          <w:bCs/>
        </w:rPr>
        <w:t xml:space="preserve">days</w:t>
      </w:r>
      <w:r>
        <w:t xml:space="preserve"> </w:t>
      </w:r>
      <w:r>
        <w:t xml:space="preserve">under the founding-partner offer. After day 90, {{ Customer }} can</w:t>
      </w:r>
      <w:r>
        <w:t xml:space="preserve"> </w:t>
      </w:r>
      <w:r>
        <w:t xml:space="preserve">continue at $1,500/mo (multi-tenant) or $3,000/mo (dedicated VPC) with a</w:t>
      </w:r>
      <w:r>
        <w:t xml:space="preserve"> </w:t>
      </w:r>
      <w:r>
        <w:t xml:space="preserve">24-month rate lock at today’s published rates, step down to a Pro / Business</w:t>
      </w:r>
      <w:r>
        <w:t xml:space="preserve"> </w:t>
      </w:r>
      <w:r>
        <w:t xml:space="preserve">/ Business+ tier, or walk away with no contractual penalty.</w:t>
      </w:r>
    </w:p>
    <w:bookmarkEnd w:id="9"/>
    <w:bookmarkStart w:id="10" w:name="agents-in-scope"/>
    <w:p>
      <w:pPr>
        <w:pStyle w:val="Heading2"/>
      </w:pPr>
      <w:r>
        <w:t xml:space="preserve">Agents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AI Identity 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 name }}</w:t>
            </w:r>
          </w:p>
        </w:tc>
        <w:tc>
          <w:tcPr/>
          <w:p>
            <w:pPr>
              <w:pStyle w:val="Compact"/>
            </w:pPr>
            <w:r>
              <w:t xml:space="preserve">{{ team }}</w:t>
            </w:r>
          </w:p>
        </w:tc>
        <w:tc>
          <w:tcPr/>
          <w:p>
            <w:pPr>
              <w:pStyle w:val="Compact"/>
            </w:pPr>
            <w:r>
              <w:t xml:space="preserve">{{ what }}</w:t>
            </w:r>
          </w:p>
        </w:tc>
        <w:tc>
          <w:tcPr/>
          <w:p>
            <w:pPr>
              <w:pStyle w:val="Compact"/>
            </w:pPr>
            <w:r>
              <w:t xml:space="preserve">runtime key + policy +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 of scope for this pilot</w:t>
      </w:r>
      <w:r>
        <w:t xml:space="preserve"> </w:t>
      </w:r>
      <w:r>
        <w:t xml:space="preserve">(will not be onboarded to AI Identity in 90 days):</w:t>
      </w:r>
    </w:p>
    <w:p>
      <w:pPr>
        <w:pStyle w:val="Compact"/>
        <w:numPr>
          <w:ilvl w:val="0"/>
          <w:numId w:val="1001"/>
        </w:numPr>
      </w:pPr>
      <w:r>
        <w:t xml:space="preserve">{{ agent / system → reason it’s deferred. }}</w:t>
      </w:r>
    </w:p>
    <w:bookmarkEnd w:id="10"/>
    <w:bookmarkStart w:id="14" w:name="policies-to-author-first-three"/>
    <w:p>
      <w:pPr>
        <w:pStyle w:val="Heading2"/>
      </w:pPr>
      <w:r>
        <w:t xml:space="preserve">Policies to author (first three)</w:t>
      </w:r>
    </w:p>
    <w:p>
      <w:pPr>
        <w:pStyle w:val="FirstParagraph"/>
      </w:pPr>
      <w:r>
        <w:t xml:space="preserve">The pilot includes white-glove policy authorship on the first three policies.</w:t>
      </w:r>
      <w:r>
        <w:t xml:space="preserve"> </w:t>
      </w:r>
      <w:r>
        <w:t xml:space="preserve">Below is the proposed list — to be confirmed with {{ Customer }} before pilot</w:t>
      </w:r>
      <w:r>
        <w:t xml:space="preserve"> </w:t>
      </w:r>
      <w:r>
        <w:t xml:space="preserve">kickoff.</w:t>
      </w:r>
    </w:p>
    <w:bookmarkStart w:id="11" w:name="policy-1-name"/>
    <w:p>
      <w:pPr>
        <w:pStyle w:val="Heading3"/>
      </w:pPr>
      <w:r>
        <w:t xml:space="preserve">Policy 1: {{ name }}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Applies to:</w:t>
      </w:r>
      <w:r>
        <w:t xml:space="preserve"> </w:t>
      </w:r>
      <w:r>
        <w:t xml:space="preserve">{{ which agents }}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it enforces:</w:t>
      </w:r>
      <w:r>
        <w:t xml:space="preserve"> </w:t>
      </w:r>
      <w:r>
        <w:t xml:space="preserve">{{ specific rule, e.g. </w:t>
      </w:r>
      <w:r>
        <w:t xml:space="preserve">“no orders &gt; $5K without HITL approval; supplier must be in approved-list”</w:t>
      </w:r>
      <w:r>
        <w:t xml:space="preserve"> </w:t>
      </w:r>
      <w:r>
        <w:t xml:space="preserve">}}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{{ what happens when policy denies }}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Success signal:</w:t>
      </w:r>
      <w:r>
        <w:t xml:space="preserve"> </w:t>
      </w:r>
      <w:r>
        <w:t xml:space="preserve">{{ how we know the policy is doing its job }}</w:t>
      </w:r>
    </w:p>
    <w:bookmarkEnd w:id="11"/>
    <w:bookmarkStart w:id="12" w:name="policy-2-name"/>
    <w:p>
      <w:pPr>
        <w:pStyle w:val="Heading3"/>
      </w:pPr>
      <w:r>
        <w:t xml:space="preserve">Policy 2: {{ name }}</w:t>
      </w:r>
    </w:p>
    <w:p>
      <w:pPr>
        <w:pStyle w:val="FirstParagraph"/>
      </w:pPr>
      <w:r>
        <w:t xml:space="preserve">…</w:t>
      </w:r>
    </w:p>
    <w:bookmarkEnd w:id="12"/>
    <w:bookmarkStart w:id="13" w:name="policy-3-name"/>
    <w:p>
      <w:pPr>
        <w:pStyle w:val="Heading3"/>
      </w:pPr>
      <w:r>
        <w:t xml:space="preserve">Policy 3: {{ name }}</w:t>
      </w:r>
    </w:p>
    <w:p>
      <w:pPr>
        <w:pStyle w:val="FirstParagraph"/>
      </w:pPr>
      <w:r>
        <w:t xml:space="preserve">…</w:t>
      </w:r>
    </w:p>
    <w:bookmarkEnd w:id="13"/>
    <w:bookmarkEnd w:id="14"/>
    <w:bookmarkStart w:id="15" w:name="compliance-posture"/>
    <w:p>
      <w:pPr>
        <w:pStyle w:val="Heading2"/>
      </w:pPr>
      <w:r>
        <w:t xml:space="preserve">Compliance posture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In-scope for this pilot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Type II</w:t>
            </w:r>
          </w:p>
        </w:tc>
        <w:tc>
          <w:tcPr/>
          <w:p>
            <w:pPr>
              <w:pStyle w:val="Compact"/>
            </w:pPr>
            <w:r>
              <w:t xml:space="preserve">☐ Yes / ☐ No</w:t>
            </w:r>
          </w:p>
        </w:tc>
        <w:tc>
          <w:tcPr/>
          <w:p>
            <w:pPr>
              <w:pStyle w:val="Compact"/>
            </w:pPr>
            <w:r>
              <w:t xml:space="preserve">{{ whether evidence pack is part of day-90 deliverables 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AI Act</w:t>
            </w:r>
          </w:p>
        </w:tc>
        <w:tc>
          <w:tcPr/>
          <w:p>
            <w:pPr>
              <w:pStyle w:val="Compact"/>
            </w:pPr>
            <w:r>
              <w:t xml:space="preserve">☐ Yes / ☐ No</w:t>
            </w:r>
          </w:p>
        </w:tc>
        <w:tc>
          <w:tcPr/>
          <w:p>
            <w:pPr>
              <w:pStyle w:val="Compact"/>
            </w:pPr>
            <w:r>
              <w:t xml:space="preserve">{{ … 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 AI RMF</w:t>
            </w:r>
          </w:p>
        </w:tc>
        <w:tc>
          <w:tcPr/>
          <w:p>
            <w:pPr>
              <w:pStyle w:val="Compact"/>
            </w:pPr>
            <w:r>
              <w:t xml:space="preserve">☐ Yes / ☐ No</w:t>
            </w:r>
          </w:p>
        </w:tc>
        <w:tc>
          <w:tcPr/>
          <w:p>
            <w:pPr>
              <w:pStyle w:val="Compact"/>
            </w:pPr>
            <w:r>
              <w:t xml:space="preserve">{{ … 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☐ Yes / ☐ No</w:t>
            </w:r>
          </w:p>
        </w:tc>
        <w:tc>
          <w:tcPr/>
          <w:p>
            <w:pPr>
              <w:pStyle w:val="Compact"/>
            </w:pPr>
            <w:r>
              <w:t xml:space="preserve">{{ … 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 customer-specific framework }}</w:t>
            </w:r>
          </w:p>
        </w:tc>
        <w:tc>
          <w:tcPr/>
          <w:p>
            <w:pPr>
              <w:pStyle w:val="Compact"/>
            </w:pPr>
            <w:r>
              <w:t xml:space="preserve">☐ Yes / ☐ No</w:t>
            </w:r>
          </w:p>
        </w:tc>
        <w:tc>
          <w:tcPr/>
          <w:p>
            <w:pPr>
              <w:pStyle w:val="Compact"/>
            </w:pPr>
            <w:r>
              <w:t xml:space="preserve">{{ … }}</w:t>
            </w:r>
          </w:p>
        </w:tc>
      </w:tr>
    </w:tbl>
    <w:bookmarkEnd w:id="15"/>
    <w:bookmarkStart w:id="16" w:name="day-90-success-criteria"/>
    <w:p>
      <w:pPr>
        <w:pStyle w:val="Heading2"/>
      </w:pPr>
      <w:r>
        <w:t xml:space="preserve">Day-90 success criteria</w:t>
      </w:r>
    </w:p>
    <w:p>
      <w:pPr>
        <w:pStyle w:val="FirstParagraph"/>
      </w:pPr>
      <w:r>
        <w:t xml:space="preserve">The pilot is</w:t>
      </w:r>
      <w:r>
        <w:t xml:space="preserve"> </w:t>
      </w:r>
      <w:r>
        <w:t xml:space="preserve">“successful”</w:t>
      </w:r>
      <w:r>
        <w:t xml:space="preserve"> </w:t>
      </w:r>
      <w:r>
        <w:t xml:space="preserve">if all of the following are true at day 90. {{</w:t>
      </w:r>
      <w:r>
        <w:t xml:space="preserve"> </w:t>
      </w:r>
      <w:r>
        <w:t xml:space="preserve">Customer }} signs off on these criteria before the pilot starts.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{{ Specific, measurable, verifiable criterion. }}</w:t>
      </w:r>
      <w:r>
        <w:t xml:space="preserve"> </w:t>
      </w:r>
      <w:r>
        <w:t xml:space="preserve">Verification method: {{ how we’ll check }}.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{{ … }}</w:t>
      </w:r>
      <w:r>
        <w:t xml:space="preserve"> </w:t>
      </w:r>
      <w:r>
        <w:t xml:space="preserve">Verification: {{ … }}.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{{ … }}</w:t>
      </w:r>
      <w:r>
        <w:t xml:space="preserve"> </w:t>
      </w:r>
      <w:r>
        <w:t xml:space="preserve">Verification: {{ … }}.</w:t>
      </w:r>
    </w:p>
    <w:p>
      <w:pPr>
        <w:pStyle w:val="FirstParagraph"/>
      </w:pPr>
      <w:r>
        <w:t xml:space="preserve">These are the things that, if achieved, justify continuing past day 90 at the</w:t>
      </w:r>
      <w:r>
        <w:t xml:space="preserve"> </w:t>
      </w:r>
      <w:r>
        <w:t xml:space="preserve">locked Enterprise rate. If none of these criteria land, the right answer is</w:t>
      </w:r>
      <w:r>
        <w:t xml:space="preserve"> </w:t>
      </w:r>
      <w:r>
        <w:t xml:space="preserve">to walk away with no contractual penalty.</w:t>
      </w:r>
    </w:p>
    <w:bookmarkEnd w:id="16"/>
    <w:bookmarkStart w:id="17" w:name="deployment-topology"/>
    <w:p>
      <w:pPr>
        <w:pStyle w:val="Heading2"/>
      </w:pPr>
      <w:r>
        <w:t xml:space="preserve">Deployment topology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☐ Multi-tenant (default) / ☐ Dedicated VPC (+$5,000 one-time stand-up, waived for founding cohort)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Region:</w:t>
      </w:r>
      <w:r>
        <w:t xml:space="preserve"> </w:t>
      </w:r>
      <w:r>
        <w:t xml:space="preserve">{{ US-East default, or specified }}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Identity provider integration:</w:t>
      </w:r>
      <w:r>
        <w:t xml:space="preserve"> </w:t>
      </w:r>
      <w:r>
        <w:t xml:space="preserve">{{ Okta / Entra / Auth0 / other }}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SIEM integration:</w:t>
      </w:r>
      <w:r>
        <w:t xml:space="preserve"> </w:t>
      </w:r>
      <w:r>
        <w:t xml:space="preserve">{{ Splunk / Sentinel / Datadog / other / none }}</w:t>
      </w:r>
    </w:p>
    <w:bookmarkEnd w:id="17"/>
    <w:bookmarkStart w:id="18" w:name="cadence-during-the-pilot"/>
    <w:p>
      <w:pPr>
        <w:pStyle w:val="Heading2"/>
      </w:pPr>
      <w:r>
        <w:t xml:space="preserve">Cadence during the pilot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Week 1:</w:t>
      </w:r>
      <w:r>
        <w:t xml:space="preserve"> </w:t>
      </w:r>
      <w:r>
        <w:t xml:space="preserve">Pilot kickoff. First three policies authored together. Agents registered and online.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Weeks 2-4:</w:t>
      </w:r>
      <w:r>
        <w:t xml:space="preserve"> </w:t>
      </w:r>
      <w:r>
        <w:t xml:space="preserve">Weekly office hours with Jeff (30 min). Review audit logs, anomaly events, policy effectiveness.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Week 6 (day 42):</w:t>
      </w:r>
      <w:r>
        <w:t xml:space="preserve"> </w:t>
      </w:r>
      <w:r>
        <w:t xml:space="preserve">Mid-pilot review. Adjust policies if needed.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Week 9 (day 60):</w:t>
      </w:r>
      <w:r>
        <w:t xml:space="preserve"> </w:t>
      </w:r>
      <w:r>
        <w:t xml:space="preserve">Joint review. Decide: continue, step down, or walk away. Decision recorded here.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 90:</w:t>
      </w:r>
      <w:r>
        <w:t xml:space="preserve"> </w:t>
      </w:r>
      <w:r>
        <w:t xml:space="preserve">Coupon expires. If continuing, billing begins automatically at locked rates.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Quarterly thereafter:</w:t>
      </w:r>
      <w:r>
        <w:t xml:space="preserve"> </w:t>
      </w:r>
      <w:r>
        <w:t xml:space="preserve">Compliance evidence pack delivered if SOC 2 / EU AI Act / NIST in scope.</w:t>
      </w:r>
    </w:p>
    <w:bookmarkEnd w:id="18"/>
    <w:bookmarkStart w:id="19" w:name="what-customer-commits-to"/>
    <w:p>
      <w:pPr>
        <w:pStyle w:val="Heading2"/>
      </w:pPr>
      <w:r>
        <w:t xml:space="preserve">What {{ Customer }} commits to</w:t>
      </w:r>
    </w:p>
    <w:p>
      <w:pPr>
        <w:pStyle w:val="Compact"/>
        <w:numPr>
          <w:ilvl w:val="0"/>
          <w:numId w:val="1006"/>
        </w:numPr>
      </w:pPr>
      <w:r>
        <w:t xml:space="preserve">Designated point of contact (typically the Security Director or platform lead).</w:t>
      </w:r>
    </w:p>
    <w:p>
      <w:pPr>
        <w:pStyle w:val="Compact"/>
        <w:numPr>
          <w:ilvl w:val="0"/>
          <w:numId w:val="1006"/>
        </w:numPr>
      </w:pPr>
      <w:r>
        <w:t xml:space="preserve">Engineering availability for the first three policy-authoring sessions (~2 hours of their time).</w:t>
      </w:r>
    </w:p>
    <w:p>
      <w:pPr>
        <w:pStyle w:val="Compact"/>
        <w:numPr>
          <w:ilvl w:val="0"/>
          <w:numId w:val="1006"/>
        </w:numPr>
      </w:pPr>
      <w:r>
        <w:t xml:space="preserve">Weekly office-hours attendance during the first month (30 min × 4).</w:t>
      </w:r>
    </w:p>
    <w:p>
      <w:pPr>
        <w:pStyle w:val="Compact"/>
        <w:numPr>
          <w:ilvl w:val="0"/>
          <w:numId w:val="1006"/>
        </w:numPr>
      </w:pPr>
      <w:r>
        <w:t xml:space="preserve">Honest feedback at the day-60 review on whether to continue.</w:t>
      </w:r>
    </w:p>
    <w:bookmarkEnd w:id="19"/>
    <w:bookmarkStart w:id="20" w:name="what-ai-identity-commits-to"/>
    <w:p>
      <w:pPr>
        <w:pStyle w:val="Heading2"/>
      </w:pPr>
      <w:r>
        <w:t xml:space="preserve">What AI Identity commits to</w:t>
      </w:r>
    </w:p>
    <w:p>
      <w:pPr>
        <w:pStyle w:val="Compact"/>
        <w:numPr>
          <w:ilvl w:val="0"/>
          <w:numId w:val="1007"/>
        </w:numPr>
      </w:pPr>
      <w:r>
        <w:t xml:space="preserve">Founding-partner pricing and 24-month rate lock if continuing past day 90.</w:t>
      </w:r>
    </w:p>
    <w:p>
      <w:pPr>
        <w:pStyle w:val="Compact"/>
        <w:numPr>
          <w:ilvl w:val="0"/>
          <w:numId w:val="1007"/>
        </w:numPr>
      </w:pPr>
      <w:r>
        <w:t xml:space="preserve">100%-off coupon for the full 90 days.</w:t>
      </w:r>
    </w:p>
    <w:p>
      <w:pPr>
        <w:pStyle w:val="Compact"/>
        <w:numPr>
          <w:ilvl w:val="0"/>
          <w:numId w:val="1007"/>
        </w:numPr>
      </w:pPr>
      <w:r>
        <w:t xml:space="preserve">White-glove authorship of the first three policies.</w:t>
      </w:r>
    </w:p>
    <w:p>
      <w:pPr>
        <w:pStyle w:val="Compact"/>
        <w:numPr>
          <w:ilvl w:val="0"/>
          <w:numId w:val="1007"/>
        </w:numPr>
      </w:pPr>
      <w:r>
        <w:t xml:space="preserve">Weekly office hours with the founder for the first month, then bi-weekly.</w:t>
      </w:r>
    </w:p>
    <w:p>
      <w:pPr>
        <w:pStyle w:val="Compact"/>
        <w:numPr>
          <w:ilvl w:val="0"/>
          <w:numId w:val="1007"/>
        </w:numPr>
      </w:pPr>
      <w:r>
        <w:t xml:space="preserve">Same-day response on Slack or email during business hours throughout the pilot.</w:t>
      </w:r>
    </w:p>
    <w:p>
      <w:pPr>
        <w:pStyle w:val="Compact"/>
        <w:numPr>
          <w:ilvl w:val="0"/>
          <w:numId w:val="1007"/>
        </w:numPr>
      </w:pPr>
      <w:r>
        <w:t xml:space="preserve">Quarterly compliance evidence export through {{ Customer }}’s auditor of choice (post-pilot, if continuing).</w:t>
      </w:r>
    </w:p>
    <w:p>
      <w:pPr>
        <w:pStyle w:val="Compact"/>
        <w:numPr>
          <w:ilvl w:val="0"/>
          <w:numId w:val="1007"/>
        </w:numPr>
      </w:pPr>
      <w:r>
        <w:t xml:space="preserve">Optional named launch case study with full sign-off on every quote (not required).</w:t>
      </w:r>
    </w:p>
    <w:bookmarkEnd w:id="20"/>
    <w:bookmarkStart w:id="21" w:name="out-of-scope-explicitly"/>
    <w:p>
      <w:pPr>
        <w:pStyle w:val="Heading2"/>
      </w:pPr>
      <w:r>
        <w:t xml:space="preserve">Out of scope (explicitly)</w:t>
      </w:r>
    </w:p>
    <w:p>
      <w:pPr>
        <w:pStyle w:val="FirstParagraph"/>
      </w:pPr>
      <w:r>
        <w:t xml:space="preserve">The pilot does NOT cover:</w:t>
      </w:r>
    </w:p>
    <w:p>
      <w:pPr>
        <w:pStyle w:val="Compact"/>
        <w:numPr>
          <w:ilvl w:val="0"/>
          <w:numId w:val="1008"/>
        </w:numPr>
      </w:pPr>
      <w:r>
        <w:t xml:space="preserve">{{ Specific thing they raised that AI Identity won’t solve. }}</w:t>
      </w:r>
    </w:p>
    <w:p>
      <w:pPr>
        <w:pStyle w:val="Compact"/>
        <w:numPr>
          <w:ilvl w:val="0"/>
          <w:numId w:val="1008"/>
        </w:numPr>
      </w:pPr>
      <w:r>
        <w:t xml:space="preserve">{{ … }}</w:t>
      </w:r>
    </w:p>
    <w:p>
      <w:pPr>
        <w:pStyle w:val="Compact"/>
        <w:numPr>
          <w:ilvl w:val="0"/>
          <w:numId w:val="1008"/>
        </w:numPr>
      </w:pPr>
      <w:r>
        <w:t xml:space="preserve">{{ … }}</w:t>
      </w:r>
    </w:p>
    <w:bookmarkEnd w:id="21"/>
    <w:bookmarkStart w:id="22" w:name="open-questions"/>
    <w:p>
      <w:pPr>
        <w:pStyle w:val="Heading2"/>
      </w:pPr>
      <w:r>
        <w:t xml:space="preserve">Open questions</w:t>
      </w:r>
    </w:p>
    <w:p>
      <w:pPr>
        <w:pStyle w:val="FirstParagraph"/>
      </w:pPr>
      <w:r>
        <w:t xml:space="preserve">{{ Anything that still needs an answer before pilot kickoff. Each should be</w:t>
      </w:r>
      <w:r>
        <w:t xml:space="preserve"> </w:t>
      </w:r>
      <w:r>
        <w:t xml:space="preserve">addressable in a single message exchange — if it requires more, it probably</w:t>
      </w:r>
      <w:r>
        <w:t xml:space="preserve"> </w:t>
      </w:r>
      <w:r>
        <w:t xml:space="preserve">belongs in scope-of-pilot rather than scoping-doc-revision. }}</w:t>
      </w:r>
    </w:p>
    <w:p>
      <w:pPr>
        <w:pStyle w:val="Compact"/>
        <w:numPr>
          <w:ilvl w:val="0"/>
          <w:numId w:val="1009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Sign-off below begins the 90-day pilot at no cost to {{ Customer }}.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 {{ Customer 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 AI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 name }}</w:t>
            </w:r>
          </w:p>
        </w:tc>
        <w:tc>
          <w:tcPr/>
          <w:p>
            <w:pPr>
              <w:pStyle w:val="Compact"/>
            </w:pPr>
            <w:r>
              <w:t xml:space="preserve">Jeff Leva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 title }}</w:t>
            </w:r>
          </w:p>
        </w:tc>
        <w:tc>
          <w:tcPr/>
          <w:p>
            <w:pPr>
              <w:pStyle w:val="Compact"/>
            </w:pPr>
            <w:r>
              <w:t xml:space="preserve">Founder &amp; CEO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Date: ____</w:t>
            </w:r>
          </w:p>
        </w:tc>
        <w:tc>
          <w:tcPr/>
          <w:p>
            <w:pPr>
              <w:pStyle w:val="Compact"/>
            </w:pPr>
            <w:r>
              <w:t xml:space="preserve">Date: ____</w:t>
            </w: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2026-04-27T21:34:56Z</dcterms:created>
  <dcterms:modified xsi:type="dcterms:W3CDTF">2026-04-27T21:34:56Z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