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 ,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60461">
                    <w:r>
                      <w:rPr>
                        <w:rStyle w:val="Hyperlink"/>
                      </w:rPr>
                      <w:t xml:space="preserve">final Project presentation(EN) </w:t>
                    </w:r>
                  </w:hyperlink>
                </w:p>
                <w:p>
                  <w:hyperlink w:history="1" r:id="rId34495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38836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delved into the intricate workings and methodologies of blockchain,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59218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Built the front-end interface for interacting with smart contracts using Next.js and Tailwind.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collectively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50541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8110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20792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6361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461" Type="http://schemas.openxmlformats.org/officeDocument/2006/relationships/hyperlink" Target="https://drive.google.com/file/d/1Ngh2Adcz3KJePulh8VJ0G-uLUDqJIERE/view" TargetMode="External"/><Relationship Id="rId34495" Type="http://schemas.openxmlformats.org/officeDocument/2006/relationships/hyperlink" Target="https://gitlab.com/LevanPangani5/capstone-levan" TargetMode="External"/><Relationship Id="rId38836" Type="http://schemas.openxmlformats.org/officeDocument/2006/relationships/hyperlink" Target="https://certificates.epam.com/certificates/962389e4-8710-4575-97d5-be32893ce29d" TargetMode="External"/><Relationship Id="rId59218" Type="http://schemas.openxmlformats.org/officeDocument/2006/relationships/hyperlink" Target="https://www.btacertified.com/dlink/3f4920993a7c1701aea8b01abcccf5366af231a83212c65094cec0072fdcbbf5/certdisplayhash" TargetMode="External"/><Relationship Id="rId38110" Type="http://schemas.openxmlformats.org/officeDocument/2006/relationships/hyperlink" Target="https://gitlab.com/levanpangani5" TargetMode="External"/><Relationship Id="rId20792" Type="http://schemas.openxmlformats.org/officeDocument/2006/relationships/hyperlink" Target="https://github.com/levanpangani5" TargetMode="External"/><Relationship Id="rId6361" Type="http://schemas.openxmlformats.org/officeDocument/2006/relationships/hyperlink" Target="www.linkedin.com/in/levan-pangani" TargetMode="External"/><Relationship Id="rId50541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jijo2emyevmw5ztuek3cvb.png"/><Relationship Id="rId16" Type="http://schemas.openxmlformats.org/officeDocument/2006/relationships/image" Target="media/k701gd8dacy1gz0xvq22j.png"/><Relationship Id="rId17" Type="http://schemas.openxmlformats.org/officeDocument/2006/relationships/image" Target="media/bznsehy5ppby3iod5utoek.png"/><Relationship Id="rId18" Type="http://schemas.openxmlformats.org/officeDocument/2006/relationships/image" Target="media/a151xf6ugki8vjloey6.png"/><Relationship Id="rId19" Type="http://schemas.openxmlformats.org/officeDocument/2006/relationships/image" Target="media/7cx0trjczwfkp020q6g0z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2024-01-26T13:41:38Z</dcterms:created>
  <dcterms:modified xsi:type="dcterms:W3CDTF">2024-01-26T13:41:38Z</dcterms:modified>
</cp:coreProperties>
</file>