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2933"/>
          <w:sz w:val="32"/>
          <w:szCs w:val="32"/>
        </w:rPr>
        <w:t xml:space="preserve">Summary of Reference Abstracts</w:t>
      </w:r>
    </w:p>
    <w:p>
      <w:pPr>
        <w:spacing w:after="240"/>
        <w:jc w:val="center"/>
      </w:pPr>
      <w:r>
        <w:rPr>
          <w:rFonts w:ascii="Calibri" w:cs="Calibri" w:eastAsia="Calibri" w:hAnsi="Calibri"/>
          <w:i/>
          <w:iCs/>
          <w:color w:val="52606D"/>
          <w:sz w:val="22"/>
          <w:szCs w:val="22"/>
        </w:rPr>
        <w:t xml:space="preserve">Explainable Machine Learning for Customer Churn Prediction — Literature Review Reference Table</w:t>
      </w:r>
    </w:p>
    <w:p>
      <w:pPr>
        <w:spacing w:after="200"/>
      </w:pPr>
      <w:r>
        <w:rPr>
          <w:rFonts w:ascii="Calibri" w:cs="Calibri" w:eastAsia="Calibri" w:hAnsi="Calibri"/>
          <w:i/>
          <w:iCs/>
          <w:color w:val="52606D"/>
          <w:sz w:val="18"/>
          <w:szCs w:val="18"/>
        </w:rPr>
        <w:t xml:space="preserve">Note: The abstracts below are concise original summaries of each publication's abstract and core contribution, prepared for literature review purposes. For the exact published abstracts, please consult the original sources.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600"/>
        <w:gridCol w:w="2400"/>
        <w:gridCol w:w="5998"/>
      </w:tblGrid>
      <w:tr>
        <w:trPr>
          <w:tblHeader/>
        </w:trPr>
        <w:tc>
          <w:tcPr>
            <w:tcW w:type="dxa" w:w="700"/>
            <w:tcBorders>
              <w:top w:val="single" w:color="9AA5B1" w:sz="4"/>
              <w:left w:val="single" w:color="9AA5B1" w:sz="4"/>
              <w:bottom w:val="single" w:color="9AA5B1" w:sz="4"/>
              <w:right w:val="single" w:color="9AA5B1" w:sz="4"/>
            </w:tcBorders>
            <w:shd w:fill="2F3E52"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FFFFFF"/>
                <w:sz w:val="20"/>
                <w:szCs w:val="20"/>
              </w:rPr>
              <w:t xml:space="preserve">No.</w:t>
            </w:r>
          </w:p>
        </w:tc>
        <w:tc>
          <w:tcPr>
            <w:tcW w:type="dxa" w:w="2700"/>
            <w:tcBorders>
              <w:top w:val="single" w:color="9AA5B1" w:sz="4"/>
              <w:left w:val="single" w:color="9AA5B1" w:sz="4"/>
              <w:bottom w:val="single" w:color="9AA5B1" w:sz="4"/>
              <w:right w:val="single" w:color="9AA5B1" w:sz="4"/>
            </w:tcBorders>
            <w:shd w:fill="2F3E52" w:color="auto"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20"/>
                <w:szCs w:val="20"/>
              </w:rPr>
              <w:t xml:space="preserve">Authors (Year)</w:t>
            </w:r>
          </w:p>
        </w:tc>
        <w:tc>
          <w:tcPr>
            <w:tcW w:type="dxa" w:w="3600"/>
            <w:tcBorders>
              <w:top w:val="single" w:color="9AA5B1" w:sz="4"/>
              <w:left w:val="single" w:color="9AA5B1" w:sz="4"/>
              <w:bottom w:val="single" w:color="9AA5B1" w:sz="4"/>
              <w:right w:val="single" w:color="9AA5B1" w:sz="4"/>
            </w:tcBorders>
            <w:shd w:fill="2F3E52" w:color="auto"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20"/>
                <w:szCs w:val="20"/>
              </w:rPr>
              <w:t xml:space="preserve">Title</w:t>
            </w:r>
          </w:p>
        </w:tc>
        <w:tc>
          <w:tcPr>
            <w:tcW w:type="dxa" w:w="2400"/>
            <w:tcBorders>
              <w:top w:val="single" w:color="9AA5B1" w:sz="4"/>
              <w:left w:val="single" w:color="9AA5B1" w:sz="4"/>
              <w:bottom w:val="single" w:color="9AA5B1" w:sz="4"/>
              <w:right w:val="single" w:color="9AA5B1" w:sz="4"/>
            </w:tcBorders>
            <w:shd w:fill="2F3E52" w:color="auto"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20"/>
                <w:szCs w:val="20"/>
              </w:rPr>
              <w:t xml:space="preserve">Source</w:t>
            </w:r>
          </w:p>
        </w:tc>
        <w:tc>
          <w:tcPr>
            <w:tcW w:type="dxa" w:w="5998"/>
            <w:tcBorders>
              <w:top w:val="single" w:color="9AA5B1" w:sz="4"/>
              <w:left w:val="single" w:color="9AA5B1" w:sz="4"/>
              <w:bottom w:val="single" w:color="9AA5B1" w:sz="4"/>
              <w:right w:val="single" w:color="9AA5B1" w:sz="4"/>
            </w:tcBorders>
            <w:shd w:fill="2F3E52" w:color="auto"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20"/>
                <w:szCs w:val="20"/>
              </w:rPr>
              <w:t xml:space="preserve">Abstract (Summary)</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Hadden, Tiwari, Roy &amp; Ruta (2007)</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Computer assisted customer churn management: state-of-the-art and future trends</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Computers &amp; Operations Research, 34(10), 2902–2917</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 comprehensive review of computer-assisted churn management. The paper surveys the churn management process end-to-end, covering data selection, feature identification, and the predictive techniques applied at the time (neural networks, decision trees, regression and related data-mining methods). It compares the strengths and weaknesses of these approaches, highlights the shortage of research on some stages of the churn management pipeline, and outlines future research directions for customer retention analytics.</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2</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Verbeke, Dejaeger, Martens, Hur &amp; Baesens (2012)</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New insights into churn prediction in the telecommunication sector: a profit driven data mining approach</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European Journal of Operational Research, 218(1), 211–229</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Introduces a profit-centric perspective on churn modelling. The authors propose using an expected maximum profit criterion to evaluate and select churn models, arguing that statistical accuracy alone misaligns with business objectives. A large benchmarking experiment across numerous telecom datasets and classification techniques shows that profit-based model selection can differ substantially from accuracy-based selection, and that comprehensible models remain competitive, yielding practical guidance for retention campaign design.</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3</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Lemmens &amp; Gupta (2020)</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Managing churn to maximize profits</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Marketing Science, 39(5), 956–973</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Argues that firms should target customers for retention based on expected profit impact rather than churn probability alone. The authors develop a profit-based loss function embedded in a gradient boosting framework so that the model directly optimizes the financial gain of a retention campaign, accounting for customer value and responsiveness. Applied to real telecom data, the profit-optimized targeting approach substantially increases campaign profitability compared with conventional churn-probability ranking.</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4</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Vafeiadis, Diamantaras, Sarigiannidis &amp; Chatzisavvas (2015)</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A comparison of machine learning techniques for customer churn prediction</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Simulation Modelling Practice and Theory, 55, 1–9</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An empirical benchmarking study comparing popular classifiers for telecom churn prediction, including artificial neural networks, support vector machines, decision trees, Naïve Bayes and logistic regression, with and without boosting. Using a public churn benchmark dataset and cross-validated Monte Carlo simulations, the study reports that boosted versions consistently improve performance, with the boosted SVM achieving the best overall accuracy and F-measure among the tested techniques.</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5</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Ahmad, Jafar &amp; Aljoumaa (2019)</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Customer churn prediction in telecom using machine learning in big data platform</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Journal of Big Data, 6(1), Article 28</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Presents a churn prediction system built on a big data platform (Spark) using a large real-world telecom operator dataset (SyriaTel). The authors engineer an extensive feature set — including social network analysis features derived from call graphs — and compare decision trees, random forests, gradient boosted machines and XGBoost. XGBoost delivers the best results, and the inclusion of social network features markedly improves the AUC, demonstrating the value of big data infrastructure for operational churn modelling.</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6</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Rudin (2019)</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Stop explaining black box machine learning models for high stakes decisions and use interpretable models instead</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Nature Machine Intelligence, 1(5), 206–215</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 position paper arguing that for high-stakes decisions, practitioners should build inherently interpretable models rather than relying on post-hoc explanations of black-box models. Rudin contends that explanations of black boxes can be unfaithful and misleading, that the assumed accuracy–interpretability trade-off is often a myth for structured data, and that interpretable models can match black-box performance. The paper outlines key challenges in designing interpretable machine learning for domains such as healthcare, criminal justice and finance.</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7</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Goodman &amp; Flaxman (2017)</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European Union regulations on algorithmic decision-making and a “right to explanation”</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AI Magazine, 38(3), 50–57</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Analyses the implications of the EU General Data Protection Regulation (GDPR) for organizations deploying algorithmic decision-making. The authors examine provisions restricting automated individual decisions and discuss the debated “right to explanation”, arguing that the regulation creates a legal and practical impetus for explainable, non-discriminatory algorithms. The paper highlights the technical challenges of complying with such requirements and frames explainability as both an engineering and governance problem.</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8</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Lundberg &amp; Lee (2017)</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A unified approach to interpreting model predictions</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Advances in Neural Information Processing Systems 30 (NeurIPS), 4765–4774</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Introduces SHAP (SHapley Additive exPlanations), a unified framework for local feature-attribution explanations. The authors show that several existing explanation methods (including LIME and DeepLIFT) belong to a single class of additive feature attribution methods, and that Shapley values from cooperative game theory provide the unique solution satisfying desirable properties (local accuracy, missingness, consistency). They propose efficient estimation methods (e.g., Kernel SHAP) and demonstrate improved alignment with human intuition.</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9</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Ribeiro, Singh &amp; Guestrin (2016)</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“Why should I trust you?” Explaining the predictions of any classifier</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Proc. 22nd ACM SIGKDD Conf. on Knowledge Discovery and Data Mining, 1135–1144</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Proposes LIME (Local Interpretable Model-agnostic Explanations), a technique that explains individual predictions of any classifier by fitting a simple, interpretable surrogate model locally around the prediction. The paper also introduces SP-LIME for selecting representative instances to give a global view of the model. Experiments with human subjects show that LIME explanations help users decide whether to trust predictions, choose between models, and detect flawed classifiers.</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10</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El Attar &amp; El-Hajj (2026)</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Explainable AI-driven customer churn prediction: a multi-model ensemble approach with SHAP-based feature analysis</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Frontiers in Artificial Intelligence, 9, Article 1748799</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Implements a comprehensive explainable churn prediction framework on the Telco Customer Churn dataset (n = 7,043), combining feature engineering, SMOTE oversampling, and seven machine learning models including XGBoost, Random Forest and a multilayer perceptron. Gradient boosting methods achieved the strongest balanced performance (≈0.84 accuracy/precision/recall/F1; XGBoost AUC-ROC 0.932), with a soft-voting ensemble matching this. SHAP analysis identified contract type, tenure and technical support as dominant churn drivers, and threshold optimization reduced false negatives, yielding actionable retention insights.</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11</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De Caigny, Coussement &amp; De Bock (2018)</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A new hybrid classification algorithm for customer churn prediction based on logistic regression and decision trees</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European Journal of Operational Research, 269(2), 760–772</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Proposes the Logit Leaf Model (LLM), a hybrid algorithm that first segments customers using a decision tree and then fits a logistic regression within each leaf. Benchmarked on multiple real churn datasets, the LLM improves predictive performance over standalone decision trees and logistic regression while remaining highly interpretable, offering segment-level insight into churn drivers — a balance the authors argue is especially valuable for practical churn management.</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12</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Alboukaey, Joukhadar &amp; Ghneim (2020)</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Dynamic behavior based churn prediction in mobile telecom</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Expert Systems with Applications, 162, Article 113779</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Argues that monthly aggregated features miss short-term behavioural changes that precede churn. The authors model customer behaviour dynamically from daily data, comparing daily-based representations (including RFM-style features and deep learning models such as LSTM and CNN architectures) against traditional monthly feature sets on a large mobile operator dataset. The dynamic, daily-behaviour models significantly outperform monthly baselines in predicting churn, supporting more timely retention interventions.</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13</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Burez &amp; Van den Poel (2009)</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Handling class imbalance in customer churn prediction</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Expert Systems with Applications, 36(3), 4626–4636</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Investigates how class imbalance — churners being a small minority — affects churn model performance, and evaluates remedies across several real-world churn datasets. The study compares random and advanced under-sampling, gradient boosting and weighted random forests, using appropriate evaluation metrics (AUC, lift). It finds that under-sampling can improve results, while some advanced sampling techniques add little benefit, and stresses using evaluation measures suited to imbalanced problems.</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14</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Chawla, Bowyer, Hall &amp; Kegelmeyer (2002)</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SMOTE: synthetic minority over-sampling technique</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Journal of Artificial Intelligence Research, 16, 321–357</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Introduces SMOTE, an over-sampling method that creates synthetic minority-class examples by interpolating between existing minority instances and their nearest neighbours, rather than duplicating records. Combined with under-sampling of the majority class, SMOTE improves classifier performance on imbalanced datasets, as shown by better ROC performance across multiple datasets and learners. SMOTE has since become a standard baseline technique for imbalanced classification problems such as churn prediction.</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15</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Imani, Joudaki, Beikmohammadi &amp; Arabnia (2025)</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Customer churn prediction: a systematic review of recent advances, trends, and challenges in machine learning and deep learning</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Machine Learning and Knowledge Extraction, 7(3), Article 105</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 systematic review of machine learning and deep learning approaches to churn prediction, synthesizing studies published between 2020 and 2024 drawn from six major databases (Springer, IEEE, Elsevier, MDPI, ACM, Wiley). The review maps techniques, datasets, evaluation practices and application domains, identifying trends toward ensemble, hybrid and profit-aware methods. It concludes that while ML/DL methods have matured, notable gaps persist in interpretability, real-world deployment and business-aligned evaluation.</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16</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Adadi &amp; Berrada (2018)</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Peeking inside the black-box: a survey on explainable artificial intelligence (XAI)</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IEEE Access, 6, 52138–52160</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 broad survey of the explainable AI landscape. The paper motivates the need for explainability (trust, accountability, regulation), organizes the field around key questions of why, what, and how to explain, and proposes a taxonomy of XAI methods spanning intrinsic versus post-hoc, model-specific versus model-agnostic, and local versus global approaches. It also reviews application domains and identifies open research challenges and future directions for the XAI community.</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17</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Guidotti, Monreale, Ruggieri, Turini, Giannotti &amp; Pedreschi (2018)</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A survey of methods for explaining black box models</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ACM Computing Surveys, 51(5), Article 93</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 systematic survey and classification of methods for explaining black-box predictive models. The authors define the main explanation problems (model explanation, outcome explanation, model inspection, transparent design) and categorize existing approaches by the type of problem addressed, the class of black box opened, the explanation format produced, and the data type involved. The resulting taxonomy provides a structured reference for selecting and comparing interpretability techniques.</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18</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Lundberg, Erion, Chen, DeGrave, Prutkin, Nair, Katz, Himmelfarb, Bansal &amp; Lee (2020)</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From local explanations to global understanding with explainable AI for trees</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Nature Machine Intelligence, 2(1), 56–67</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Introduces TreeExplainer, a method for computing exact SHAP values for tree-based models (e.g., random forests, gradient boosted trees) in polynomial time, together with SHAP interaction values. The authors show how combining many local explanations enables global model understanding — feature importance, dependence, interaction and clustering analyses — and demonstrate the framework on medical datasets, where it reveals population-level risk patterns while retaining individual-level fidelity.</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19</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Verbraken, Verbeke &amp; Baesens (2013)</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A novel profit maximizing metric for measuring classification performance of customer churn prediction models</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IEEE Transactions on Knowledge and Data Engineering, 25(5), 961–973</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Develops the expected maximum profit (EMP) criterion, a probabilistic, profit-oriented performance measure for churn models that incorporates the costs and benefits of retention campaigns and uncertainty about their parameters. The metric also identifies the profit-optimal fraction of customers to target. Empirical comparisons show that model rankings under EMP can differ from those under AUC or accuracy, implying that traditional statistical metrics may lead to suboptimal business decisions.</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20</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Höppner, Stripling, Baesens, vanden Broucke &amp; Verdonck (2020)</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Profit driven decision trees for churn prediction</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European Journal of Operational Research, 284(3), 920–933</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Proposes ProfTree, a decision tree algorithm that directly optimizes the expected maximum profit measure for churn (EMPC) during tree induction, using an evolutionary algorithm to learn profit-driven trees. Rather than maximizing statistical purity and evaluating profit afterwards, the method embeds the business objective in model training itself. Benchmarks on real churn datasets show ProfTree improves profit-based performance over classical accuracy-driven tree methods while retaining interpretability.</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21</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Devriendt, Moldovan &amp; Verbeke (2018)</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A literature survey and experimental evaluation of the state-of-the-art in uplift modeling: a stepping stone toward the development of prescriptive analytics</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Big Data, 6(1), 13–41</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Surveys uplift modelling — techniques that estimate the incremental (causal) effect of a treatment such as a retention or marketing campaign on individual customer behaviour — and positions it as a bridge from predictive to prescriptive analytics. The paper reviews and categorizes uplift methods and evaluation approaches, and reports a benchmarking experiment across multiple datasets, highlighting the practical difficulties of evaluating uplift models and offering guidance for applied use.</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22</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Breiman (2001)</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Random forests</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Machine Learning, 45(1), 5–32</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Introduces random forests, an ensemble method that grows many decision trees on bootstrap samples using random feature selection at each split and aggregates their votes. The paper shows that forest generalization error converges as trees are added (no overfitting from adding trees) and depends on the strength of and correlation between individual trees. It also introduces out-of-bag error estimation and variable importance measures, establishing one of the most widely used algorithms in applied machine learning.</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23</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Chen &amp; Guestrin (2016)</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XGBoost: a scalable tree boosting system</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Proc. 22nd ACM SIGKDD Conf. on Knowledge Discovery and Data Mining, 785–794</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Describes XGBoost, a scalable end-to-end gradient tree boosting system. Key contributions include a regularized learning objective, a sparsity-aware split-finding algorithm, a weighted quantile sketch for approximate learning, and systems optimizations (cache-aware access, out-of-core computation, parallelization) that make the method fast on large datasets. XGBoost's combination of accuracy and efficiency made it dominant in data science competitions and industrial applications, including churn modelling.</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24</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Akiba, Sano, Yanase, Ohta &amp; Koyama (2019)</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Optuna: a next-generation hyperparameter optimization framework</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Proc. 25th ACM SIGKDD Conf. on Knowledge Discovery and Data Mining, 2623–2631</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Presents Optuna, an open-source hyperparameter optimization framework built around a define-by-run API that lets users construct search spaces dynamically in ordinary Python code. Optuna combines efficient sampling strategies (e.g., TPE) with pruning of unpromising trials, and supports easy parallel and distributed optimization with a lightweight, versatile architecture. Experiments demonstrate its effectiveness and scalability compared with existing hyperparameter optimization tools.</w:t>
            </w:r>
          </w:p>
        </w:tc>
      </w:tr>
      <w:tr>
        <w:tc>
          <w:tcPr>
            <w:tcW w:type="dxa" w:w="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25</w:t>
            </w:r>
          </w:p>
        </w:tc>
        <w:tc>
          <w:tcPr>
            <w:tcW w:type="dxa" w:w="27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Chicco &amp; Jurman (2020)</w:t>
            </w:r>
          </w:p>
        </w:tc>
        <w:tc>
          <w:tcPr>
            <w:tcW w:type="dxa" w:w="36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The advantages of the Matthews correlation coefficient (MCC) over F1 score and accuracy in binary classification evaluation</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BMC Genomics, 21, Article 6</w:t>
            </w:r>
          </w:p>
        </w:tc>
        <w:tc>
          <w:tcPr>
            <w:tcW w:type="dxa" w:w="5998"/>
            <w:tcBorders>
              <w:top w:val="single" w:color="9AA5B1" w:sz="4"/>
              <w:left w:val="single" w:color="9AA5B1" w:sz="4"/>
              <w:bottom w:val="single" w:color="9AA5B1" w:sz="4"/>
              <w:right w:val="single" w:color="9AA5B1"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Argues that accuracy and F1 score can present overly optimistic or misleading pictures of binary classifier performance, particularly on imbalanced datasets, because they do not account for all four confusion-matrix categories. Through illustrative use cases, the authors show that the Matthews correlation coefficient (MCC) yields a high score only when a classifier performs well on both classes, and recommend MCC as the more informative and reliable default metric for binary classification evaluation.</w:t>
            </w:r>
          </w:p>
        </w:tc>
      </w:tr>
      <w:tr>
        <w:tc>
          <w:tcPr>
            <w:tcW w:type="dxa" w:w="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center"/>
            </w:pPr>
            <w:r>
              <w:rPr>
                <w:rFonts w:ascii="Calibri" w:cs="Calibri" w:eastAsia="Calibri" w:hAnsi="Calibri"/>
                <w:b/>
                <w:bCs/>
                <w:i w:val="false"/>
                <w:iCs w:val="false"/>
                <w:color w:val="1F2933"/>
                <w:sz w:val="19"/>
                <w:szCs w:val="19"/>
              </w:rPr>
              <w:t xml:space="preserve">26</w:t>
            </w:r>
          </w:p>
        </w:tc>
        <w:tc>
          <w:tcPr>
            <w:tcW w:type="dxa" w:w="27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Mehrabi, Morstatter, Saxena, Lerman &amp; Galstyan (2021)</w:t>
            </w:r>
          </w:p>
        </w:tc>
        <w:tc>
          <w:tcPr>
            <w:tcW w:type="dxa" w:w="36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iCs/>
                <w:color w:val="1F2933"/>
                <w:sz w:val="19"/>
                <w:szCs w:val="19"/>
              </w:rPr>
              <w:t xml:space="preserve">A survey on bias and fairness in machine learning</w:t>
            </w:r>
          </w:p>
        </w:tc>
        <w:tc>
          <w:tcPr>
            <w:tcW w:type="dxa" w:w="2400"/>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ACM Computing Surveys, 54(6), Article 115</w:t>
            </w:r>
          </w:p>
        </w:tc>
        <w:tc>
          <w:tcPr>
            <w:tcW w:type="dxa" w:w="5998"/>
            <w:tcBorders>
              <w:top w:val="single" w:color="9AA5B1" w:sz="4"/>
              <w:left w:val="single" w:color="9AA5B1" w:sz="4"/>
              <w:bottom w:val="single" w:color="9AA5B1" w:sz="4"/>
              <w:right w:val="single" w:color="9AA5B1" w:sz="4"/>
            </w:tcBorders>
            <w:shd w:fill="F5F7FA" w:color="auto"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1F2933"/>
                <w:sz w:val="19"/>
                <w:szCs w:val="19"/>
              </w:rPr>
              <w:t xml:space="preserve">A comprehensive survey of bias and fairness in machine learning systems. The paper catalogues sources of bias arising from data, algorithms and user interaction, presents a taxonomy of fairness definitions (individual, group, and subgroup notions), and reviews methods for measuring and mitigating unfairness across different domains and learning settings. It concludes by identifying open challenges for building fair AI systems, a concern directly relevant to customer-facing predictive models.</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2026-07-13T12:13:12.033Z</dcterms:created>
  <dcterms:modified xsi:type="dcterms:W3CDTF">2026-07-13T12:13:12.054Z</dcterms:modified>
</cp:coreProperties>
</file>

<file path=docProps/custom.xml><?xml version="1.0" encoding="utf-8"?>
<Properties xmlns="http://schemas.openxmlformats.org/officeDocument/2006/custom-properties" xmlns:vt="http://schemas.openxmlformats.org/officeDocument/2006/docPropsVTypes"/>
</file>