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AC315" w14:textId="77777777" w:rsidR="00881E48" w:rsidRDefault="00000000">
      <w:pPr>
        <w:pStyle w:val="aa"/>
        <w:jc w:val="center"/>
        <w:rPr>
          <w:lang w:eastAsia="zh-CN"/>
        </w:rPr>
      </w:pPr>
      <w:r>
        <w:rPr>
          <w:rFonts w:ascii="Calibri" w:eastAsia="宋体" w:hAnsi="Calibri"/>
          <w:lang w:eastAsia="zh-CN"/>
        </w:rPr>
        <w:t>非洲能源转型研究：模型构建与因果识别方案</w:t>
      </w:r>
    </w:p>
    <w:p w14:paraId="55CAE740" w14:textId="77777777" w:rsidR="00881E48" w:rsidRDefault="00000000">
      <w:pPr>
        <w:spacing w:after="200"/>
        <w:jc w:val="center"/>
        <w:rPr>
          <w:lang w:eastAsia="zh-CN"/>
        </w:rPr>
      </w:pPr>
      <w:r>
        <w:rPr>
          <w:b/>
          <w:color w:val="1F4D78"/>
          <w:sz w:val="24"/>
          <w:lang w:eastAsia="zh-CN"/>
        </w:rPr>
        <w:t>回答</w:t>
      </w:r>
      <w:r>
        <w:rPr>
          <w:b/>
          <w:color w:val="1F4D78"/>
          <w:sz w:val="24"/>
          <w:lang w:eastAsia="zh-CN"/>
        </w:rPr>
        <w:t>“</w:t>
      </w:r>
      <w:r>
        <w:rPr>
          <w:b/>
          <w:color w:val="1F4D78"/>
          <w:sz w:val="24"/>
          <w:lang w:eastAsia="zh-CN"/>
        </w:rPr>
        <w:t>因变量、自变量怎么处理，怎样得到较干净的因果识别</w:t>
      </w:r>
      <w:r>
        <w:rPr>
          <w:b/>
          <w:color w:val="1F4D78"/>
          <w:sz w:val="24"/>
          <w:lang w:eastAsia="zh-CN"/>
        </w:rPr>
        <w:t>”</w:t>
      </w:r>
    </w:p>
    <w:p w14:paraId="4B951079" w14:textId="414D55C1" w:rsidR="00881E48" w:rsidRDefault="00000000" w:rsidP="00B06F91">
      <w:pPr>
        <w:spacing w:after="280"/>
        <w:jc w:val="center"/>
        <w:rPr>
          <w:rFonts w:hint="eastAsia"/>
          <w:lang w:eastAsia="zh-CN"/>
        </w:rPr>
      </w:pPr>
      <w:r>
        <w:rPr>
          <w:color w:val="555555"/>
          <w:sz w:val="20"/>
          <w:lang w:eastAsia="zh-CN"/>
        </w:rPr>
        <w:t>适用于《全球能源转型中的非洲纽带》</w:t>
      </w:r>
      <w:r>
        <w:rPr>
          <w:color w:val="555555"/>
          <w:sz w:val="20"/>
          <w:lang w:eastAsia="zh-CN"/>
        </w:rPr>
        <w:t xml:space="preserve">proposal </w:t>
      </w:r>
      <w:r>
        <w:rPr>
          <w:color w:val="555555"/>
          <w:sz w:val="20"/>
          <w:lang w:eastAsia="zh-CN"/>
        </w:rPr>
        <w:t>后续实证设计</w:t>
      </w:r>
      <w:r>
        <w:rPr>
          <w:color w:val="555555"/>
          <w:sz w:val="20"/>
          <w:lang w:eastAsia="zh-CN"/>
        </w:rPr>
        <w:t xml:space="preserve"> | 2026</w:t>
      </w:r>
      <w:r>
        <w:rPr>
          <w:color w:val="555555"/>
          <w:sz w:val="20"/>
          <w:lang w:eastAsia="zh-CN"/>
        </w:rPr>
        <w:t>年</w:t>
      </w:r>
      <w:r>
        <w:rPr>
          <w:color w:val="555555"/>
          <w:sz w:val="20"/>
          <w:lang w:eastAsia="zh-CN"/>
        </w:rPr>
        <w:t>5</w:t>
      </w:r>
      <w:r>
        <w:rPr>
          <w:color w:val="555555"/>
          <w:sz w:val="20"/>
          <w:lang w:eastAsia="zh-CN"/>
        </w:rPr>
        <w:t>月</w:t>
      </w:r>
    </w:p>
    <w:p w14:paraId="30A5C341" w14:textId="39E65E56" w:rsidR="00881E48" w:rsidRDefault="00000000">
      <w:pPr>
        <w:shd w:val="clear" w:color="auto" w:fill="F4F6F9"/>
        <w:spacing w:before="80" w:after="200" w:line="290" w:lineRule="auto"/>
        <w:ind w:left="259" w:right="259"/>
        <w:rPr>
          <w:lang w:eastAsia="zh-CN"/>
        </w:rPr>
      </w:pPr>
      <w:r>
        <w:rPr>
          <w:b/>
          <w:color w:val="1F4D78"/>
          <w:lang w:eastAsia="zh-CN"/>
        </w:rPr>
        <w:t>建模原则：</w:t>
      </w:r>
      <w:r>
        <w:rPr>
          <w:lang w:eastAsia="zh-CN"/>
        </w:rPr>
        <w:t>主模型只抓一条可识别链条：全球关键矿物价格变化</w:t>
      </w:r>
      <w:r>
        <w:rPr>
          <w:lang w:eastAsia="zh-CN"/>
        </w:rPr>
        <w:t xml:space="preserve"> × </w:t>
      </w:r>
      <w:r>
        <w:rPr>
          <w:lang w:eastAsia="zh-CN"/>
        </w:rPr>
        <w:t>冲击前矿物暴露度</w:t>
      </w:r>
      <w:r>
        <w:rPr>
          <w:lang w:eastAsia="zh-CN"/>
        </w:rPr>
        <w:t xml:space="preserve"> → </w:t>
      </w:r>
      <w:r>
        <w:rPr>
          <w:lang w:eastAsia="zh-CN"/>
        </w:rPr>
        <w:t>外部融资</w:t>
      </w:r>
      <w:r>
        <w:rPr>
          <w:lang w:eastAsia="zh-CN"/>
        </w:rPr>
        <w:t>/</w:t>
      </w:r>
      <w:r>
        <w:rPr>
          <w:lang w:eastAsia="zh-CN"/>
        </w:rPr>
        <w:t>项目融资</w:t>
      </w:r>
      <w:r>
        <w:rPr>
          <w:lang w:eastAsia="zh-CN"/>
        </w:rPr>
        <w:t xml:space="preserve"> → </w:t>
      </w:r>
      <w:r>
        <w:rPr>
          <w:lang w:eastAsia="zh-CN"/>
        </w:rPr>
        <w:t>可再生能源项目落地或新增装机。国内治理作为调节变量，解释为什么同样的资源冲击在不同国家转化效果不同。</w:t>
      </w:r>
    </w:p>
    <w:p w14:paraId="62407186" w14:textId="77777777" w:rsidR="00881E48" w:rsidRDefault="00000000">
      <w:pPr>
        <w:pStyle w:val="1"/>
        <w:rPr>
          <w:lang w:eastAsia="zh-CN"/>
        </w:rPr>
      </w:pPr>
      <w:r>
        <w:rPr>
          <w:rFonts w:ascii="Calibri" w:eastAsia="宋体" w:hAnsi="Calibri"/>
          <w:lang w:eastAsia="zh-CN"/>
        </w:rPr>
        <w:t>一、研究问题与因果链条</w:t>
      </w:r>
    </w:p>
    <w:p w14:paraId="5D500482" w14:textId="6E7308AE" w:rsidR="00881E48" w:rsidRDefault="00000000">
      <w:pPr>
        <w:rPr>
          <w:lang w:eastAsia="zh-CN"/>
        </w:rPr>
      </w:pPr>
      <w:r>
        <w:rPr>
          <w:lang w:eastAsia="zh-CN"/>
        </w:rPr>
        <w:t>关键矿物价格外生冲击是否促进非洲国家可再生能源转型？若有效，其作用是否通过国际融资和项目融资传导？国内治理能力是否决定这种传导能否实现？</w:t>
      </w:r>
    </w:p>
    <w:p w14:paraId="0524149A" w14:textId="2E52C94C" w:rsidR="00B06F91" w:rsidRDefault="00000000" w:rsidP="00B06F91">
      <w:pPr>
        <w:shd w:val="clear" w:color="auto" w:fill="F4F6F9"/>
        <w:spacing w:before="80" w:after="200" w:line="290" w:lineRule="auto"/>
        <w:ind w:left="259" w:right="259"/>
        <w:rPr>
          <w:rFonts w:hint="eastAsia"/>
          <w:lang w:eastAsia="zh-CN"/>
        </w:rPr>
      </w:pPr>
      <w:proofErr w:type="spellStart"/>
      <w:r>
        <w:rPr>
          <w:b/>
          <w:color w:val="1F4D78"/>
        </w:rPr>
        <w:t>DAG</w:t>
      </w:r>
      <w:r>
        <w:rPr>
          <w:b/>
          <w:color w:val="1F4D78"/>
        </w:rPr>
        <w:t>式逻辑：</w:t>
      </w:r>
      <w:r>
        <w:t>Global</w:t>
      </w:r>
      <w:proofErr w:type="spellEnd"/>
      <w:r>
        <w:t xml:space="preserve"> mineral price shock → Country mineral exposure → MineralShock_it → Finance_it → RenewableAdd_it / ProjectSuccess_p</w:t>
      </w:r>
      <w:r>
        <w:t>。</w:t>
      </w:r>
      <w:r>
        <w:t>Governance_it</w:t>
      </w:r>
      <w:r>
        <w:t>调节</w:t>
      </w:r>
      <w:r>
        <w:t>MineralShock</w:t>
      </w:r>
      <w:r>
        <w:t>和</w:t>
      </w:r>
      <w:r>
        <w:t>Finance</w:t>
      </w:r>
      <w:r>
        <w:t>的作用；国家固定效应控制长期禀赋差异；年份固定效应控制全球技术成本下降、全球气候政策周期和宏观共同冲击。</w:t>
      </w:r>
    </w:p>
    <w:p w14:paraId="5CA305D3" w14:textId="5EBB8029" w:rsidR="00B06F91" w:rsidRPr="00B06F91" w:rsidRDefault="00B06F91" w:rsidP="00B06F91">
      <w:pPr>
        <w:pStyle w:val="a"/>
        <w:numPr>
          <w:ilvl w:val="0"/>
          <w:numId w:val="0"/>
        </w:numPr>
        <w:ind w:left="540" w:hanging="279"/>
        <w:rPr>
          <w:rFonts w:hint="eastAsia"/>
          <w:b/>
          <w:bCs/>
          <w:i/>
          <w:iCs/>
          <w:u w:val="single"/>
        </w:rPr>
      </w:pPr>
      <w:r w:rsidRPr="00B06F91">
        <w:rPr>
          <w:rFonts w:hint="eastAsia"/>
          <w:b/>
          <w:bCs/>
          <w:i/>
          <w:iCs/>
          <w:u w:val="single"/>
          <w:lang w:eastAsia="zh-CN"/>
        </w:rPr>
        <w:t>模型主要分为：</w:t>
      </w:r>
    </w:p>
    <w:p w14:paraId="3DAFCFF4" w14:textId="0A0E2B62" w:rsidR="00B06F91" w:rsidRDefault="00B06F91" w:rsidP="00B06F91">
      <w:pPr>
        <w:pStyle w:val="a"/>
      </w:pPr>
      <w:proofErr w:type="spellStart"/>
      <w:r>
        <w:t>主模型：国家</w:t>
      </w:r>
      <w:proofErr w:type="spellEnd"/>
      <w:r>
        <w:t>—</w:t>
      </w:r>
      <w:proofErr w:type="spellStart"/>
      <w:r>
        <w:t>年份</w:t>
      </w:r>
      <w:r>
        <w:t>shift</w:t>
      </w:r>
      <w:proofErr w:type="spellEnd"/>
      <w:r>
        <w:t>-share reduced-form</w:t>
      </w:r>
      <w:r>
        <w:t>，估计</w:t>
      </w:r>
      <w:r>
        <w:t>MineralShock</w:t>
      </w:r>
      <w:r>
        <w:t>对</w:t>
      </w:r>
      <w:r>
        <w:t>RenewableAdd/SolarWindAdd</w:t>
      </w:r>
      <w:r>
        <w:t>的影响，并加入</w:t>
      </w:r>
      <w:r>
        <w:t>MineralShock×Governance</w:t>
      </w:r>
      <w:r>
        <w:t>。</w:t>
      </w:r>
    </w:p>
    <w:p w14:paraId="1CC99132" w14:textId="77777777" w:rsidR="00B06F91" w:rsidRDefault="00B06F91" w:rsidP="00B06F91">
      <w:pPr>
        <w:pStyle w:val="a"/>
      </w:pPr>
      <w:r>
        <w:t>机制模型：估计</w:t>
      </w:r>
      <w:r>
        <w:t>MineralShock</w:t>
      </w:r>
      <w:r>
        <w:t>对</w:t>
      </w:r>
      <w:r>
        <w:t>Finance</w:t>
      </w:r>
      <w:r>
        <w:t>的影响，再估计</w:t>
      </w:r>
      <w:r>
        <w:t>Finance</w:t>
      </w:r>
      <w:r>
        <w:t>及</w:t>
      </w:r>
      <w:r>
        <w:t>Finance×Governance</w:t>
      </w:r>
      <w:r>
        <w:t>对能源转型结果的影响。</w:t>
      </w:r>
    </w:p>
    <w:p w14:paraId="3DB6F145" w14:textId="34977F7F" w:rsidR="00B06F91" w:rsidRPr="00B06F91" w:rsidRDefault="00B06F91" w:rsidP="00B06F91">
      <w:pPr>
        <w:pStyle w:val="a"/>
        <w:rPr>
          <w:rFonts w:hint="eastAsia"/>
          <w:lang w:eastAsia="zh-CN"/>
        </w:rPr>
      </w:pPr>
      <w:r>
        <w:rPr>
          <w:lang w:eastAsia="zh-CN"/>
        </w:rPr>
        <w:t>项目级模型：以</w:t>
      </w:r>
      <w:proofErr w:type="spellStart"/>
      <w:r>
        <w:rPr>
          <w:lang w:eastAsia="zh-CN"/>
        </w:rPr>
        <w:t>ProjectSuccess</w:t>
      </w:r>
      <w:proofErr w:type="spellEnd"/>
      <w:r>
        <w:rPr>
          <w:lang w:eastAsia="zh-CN"/>
        </w:rPr>
        <w:t>为因变量，估计融资环境、治理能力和项目特征对项目落地的影响。</w:t>
      </w:r>
    </w:p>
    <w:p w14:paraId="188EDC2F" w14:textId="54371B01" w:rsidR="00881E48" w:rsidRDefault="00000000">
      <w:pPr>
        <w:pStyle w:val="1"/>
      </w:pPr>
      <w:proofErr w:type="spellStart"/>
      <w:r>
        <w:rPr>
          <w:rFonts w:ascii="Calibri" w:eastAsia="宋体" w:hAnsi="Calibri"/>
        </w:rPr>
        <w:lastRenderedPageBreak/>
        <w:t>二、主模型：国家</w:t>
      </w:r>
      <w:proofErr w:type="spellEnd"/>
      <w:r>
        <w:rPr>
          <w:rFonts w:ascii="Calibri" w:eastAsia="宋体" w:hAnsi="Calibri"/>
        </w:rPr>
        <w:t>—</w:t>
      </w:r>
      <w:proofErr w:type="spellStart"/>
      <w:r>
        <w:rPr>
          <w:rFonts w:ascii="Calibri" w:eastAsia="宋体" w:hAnsi="Calibri"/>
        </w:rPr>
        <w:t>年份</w:t>
      </w:r>
      <w:r>
        <w:rPr>
          <w:rFonts w:ascii="Calibri" w:eastAsia="宋体" w:hAnsi="Calibri"/>
        </w:rPr>
        <w:t>Shift-Share</w:t>
      </w:r>
      <w:r>
        <w:rPr>
          <w:rFonts w:ascii="Calibri" w:eastAsia="宋体" w:hAnsi="Calibri"/>
        </w:rPr>
        <w:t>冲击</w:t>
      </w:r>
      <w:proofErr w:type="spellEnd"/>
    </w:p>
    <w:p w14:paraId="3BA1A588" w14:textId="77777777" w:rsidR="00881E48" w:rsidRDefault="00000000">
      <w:pPr>
        <w:rPr>
          <w:lang w:eastAsia="zh-CN"/>
        </w:rPr>
      </w:pPr>
      <w:r>
        <w:rPr>
          <w:lang w:eastAsia="zh-CN"/>
        </w:rPr>
        <w:t>主识别不直接比较资源丰富国家与资源贫乏国家，因为这种比较高度内生。资源丰富国家可能同时具有不同殖民历史、基础设施、冲突风险和治理结构。更干净的做法是利用全球矿物价格波动，并用各国冲击前矿物结构构造差异化暴露。</w:t>
      </w:r>
    </w:p>
    <w:p w14:paraId="43581D8F" w14:textId="77777777" w:rsidR="00881E48" w:rsidRDefault="00000000">
      <w:pPr>
        <w:shd w:val="clear" w:color="auto" w:fill="F4F6F9"/>
        <w:spacing w:before="80" w:after="200" w:line="290" w:lineRule="auto"/>
        <w:ind w:left="259" w:right="259"/>
        <w:rPr>
          <w:lang w:eastAsia="zh-CN"/>
        </w:rPr>
      </w:pPr>
      <w:proofErr w:type="spellStart"/>
      <w:r>
        <w:rPr>
          <w:b/>
          <w:color w:val="1F4D78"/>
        </w:rPr>
        <w:t>冲击构造：</w:t>
      </w:r>
      <w:r>
        <w:t>MineralShock_it</w:t>
      </w:r>
      <w:proofErr w:type="spellEnd"/>
      <w:r>
        <w:t xml:space="preserve"> = </w:t>
      </w:r>
      <w:proofErr w:type="spellStart"/>
      <w:r>
        <w:t>Σ_m</w:t>
      </w:r>
      <w:proofErr w:type="spellEnd"/>
      <w:r>
        <w:t xml:space="preserve"> </w:t>
      </w:r>
      <w:proofErr w:type="spellStart"/>
      <w:r>
        <w:t>Exposure_</w:t>
      </w:r>
      <w:proofErr w:type="gramStart"/>
      <w:r>
        <w:t>im,base</w:t>
      </w:r>
      <w:proofErr w:type="spellEnd"/>
      <w:proofErr w:type="gramEnd"/>
      <w:r>
        <w:t xml:space="preserve"> × Δ</w:t>
      </w:r>
      <w:proofErr w:type="gramStart"/>
      <w:r>
        <w:t>log(</w:t>
      </w:r>
      <w:proofErr w:type="gramEnd"/>
      <w:r>
        <w:t>Price_</w:t>
      </w:r>
      <w:proofErr w:type="gramStart"/>
      <w:r>
        <w:t>mt)</w:t>
      </w:r>
      <w:r>
        <w:t>。</w:t>
      </w:r>
      <w:proofErr w:type="gramEnd"/>
      <w:r>
        <w:t>Exposure_</w:t>
      </w:r>
      <w:proofErr w:type="gramStart"/>
      <w:r>
        <w:t>im,base</w:t>
      </w:r>
      <w:proofErr w:type="gramEnd"/>
      <w:r>
        <w:t>固定在</w:t>
      </w:r>
      <w:r>
        <w:t>2000-2005</w:t>
      </w:r>
      <w:r>
        <w:t>年或样本初期，</w:t>
      </w:r>
      <w:r>
        <w:t>Price_mt</w:t>
      </w:r>
      <w:r>
        <w:t>来自全球市场价格。</w:t>
      </w:r>
      <w:r>
        <w:rPr>
          <w:lang w:eastAsia="zh-CN"/>
        </w:rPr>
        <w:t>识别来自同一年中，不同国家因历史矿物结构不同而受到不同强度的全球价格冲击。</w:t>
      </w:r>
    </w:p>
    <w:p w14:paraId="2672D7E9" w14:textId="77777777" w:rsidR="00881E48" w:rsidRDefault="00000000">
      <w:pPr>
        <w:shd w:val="clear" w:color="auto" w:fill="F4F6F9"/>
        <w:spacing w:before="80" w:after="200" w:line="290" w:lineRule="auto"/>
        <w:ind w:left="259" w:right="259"/>
      </w:pPr>
      <w:proofErr w:type="spellStart"/>
      <w:r>
        <w:rPr>
          <w:b/>
          <w:color w:val="1F4D78"/>
        </w:rPr>
        <w:t>基准回归：</w:t>
      </w:r>
      <w:r>
        <w:t>Y_it</w:t>
      </w:r>
      <w:proofErr w:type="spellEnd"/>
      <w:r>
        <w:t xml:space="preserve"> = β1 MineralShock_</w:t>
      </w:r>
      <w:proofErr w:type="gramStart"/>
      <w:r>
        <w:t>i,t</w:t>
      </w:r>
      <w:proofErr w:type="gramEnd"/>
      <w:r>
        <w:t>-1 + β2 Governance_</w:t>
      </w:r>
      <w:proofErr w:type="gramStart"/>
      <w:r>
        <w:t>i,t</w:t>
      </w:r>
      <w:proofErr w:type="gramEnd"/>
      <w:r>
        <w:t>-1 + β3 MineralShock_</w:t>
      </w:r>
      <w:proofErr w:type="gramStart"/>
      <w:r>
        <w:t>i,t</w:t>
      </w:r>
      <w:proofErr w:type="gramEnd"/>
      <w:r>
        <w:t>-1 × Governance_</w:t>
      </w:r>
      <w:proofErr w:type="gramStart"/>
      <w:r>
        <w:t>i,t</w:t>
      </w:r>
      <w:proofErr w:type="gramEnd"/>
      <w:r>
        <w:t>-1 + γX_</w:t>
      </w:r>
      <w:proofErr w:type="gramStart"/>
      <w:r>
        <w:t>i,t</w:t>
      </w:r>
      <w:proofErr w:type="gramEnd"/>
      <w:r>
        <w:t>-1 + μ_i + τ_t + ε_it</w:t>
      </w:r>
      <w:r>
        <w:t>。</w:t>
      </w:r>
    </w:p>
    <w:tbl>
      <w:tblPr>
        <w:tblW w:w="9360" w:type="dxa"/>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379"/>
        <w:gridCol w:w="2249"/>
        <w:gridCol w:w="5732"/>
      </w:tblGrid>
      <w:tr w:rsidR="00881E48" w14:paraId="1A01F5BE" w14:textId="77777777">
        <w:trPr>
          <w:jc w:val="center"/>
        </w:trPr>
        <w:tc>
          <w:tcPr>
            <w:tcW w:w="1368" w:type="dxa"/>
            <w:shd w:val="clear" w:color="auto" w:fill="E8EEF5"/>
            <w:tcMar>
              <w:top w:w="80" w:type="dxa"/>
              <w:left w:w="120" w:type="dxa"/>
              <w:bottom w:w="80" w:type="dxa"/>
              <w:right w:w="120" w:type="dxa"/>
            </w:tcMar>
            <w:vAlign w:val="center"/>
          </w:tcPr>
          <w:p w14:paraId="1ED1BAC5" w14:textId="77777777" w:rsidR="00881E48" w:rsidRDefault="00000000">
            <w:pPr>
              <w:spacing w:after="0" w:line="269" w:lineRule="auto"/>
            </w:pPr>
            <w:r>
              <w:rPr>
                <w:b/>
                <w:color w:val="0B2545"/>
                <w:sz w:val="18"/>
              </w:rPr>
              <w:t>符号</w:t>
            </w:r>
          </w:p>
        </w:tc>
        <w:tc>
          <w:tcPr>
            <w:tcW w:w="2232" w:type="dxa"/>
            <w:shd w:val="clear" w:color="auto" w:fill="E8EEF5"/>
            <w:tcMar>
              <w:top w:w="80" w:type="dxa"/>
              <w:left w:w="120" w:type="dxa"/>
              <w:bottom w:w="80" w:type="dxa"/>
              <w:right w:w="120" w:type="dxa"/>
            </w:tcMar>
            <w:vAlign w:val="center"/>
          </w:tcPr>
          <w:p w14:paraId="6EF6E916" w14:textId="77777777" w:rsidR="00881E48" w:rsidRDefault="00000000">
            <w:pPr>
              <w:spacing w:after="0" w:line="269" w:lineRule="auto"/>
            </w:pPr>
            <w:r>
              <w:rPr>
                <w:b/>
                <w:color w:val="0B2545"/>
                <w:sz w:val="18"/>
              </w:rPr>
              <w:t>含义</w:t>
            </w:r>
          </w:p>
        </w:tc>
        <w:tc>
          <w:tcPr>
            <w:tcW w:w="5688" w:type="dxa"/>
            <w:shd w:val="clear" w:color="auto" w:fill="E8EEF5"/>
            <w:tcMar>
              <w:top w:w="80" w:type="dxa"/>
              <w:left w:w="120" w:type="dxa"/>
              <w:bottom w:w="80" w:type="dxa"/>
              <w:right w:w="120" w:type="dxa"/>
            </w:tcMar>
            <w:vAlign w:val="center"/>
          </w:tcPr>
          <w:p w14:paraId="1158E2D0" w14:textId="77777777" w:rsidR="00881E48" w:rsidRDefault="00000000">
            <w:pPr>
              <w:spacing w:after="0" w:line="269" w:lineRule="auto"/>
            </w:pPr>
            <w:r>
              <w:rPr>
                <w:b/>
                <w:color w:val="0B2545"/>
                <w:sz w:val="18"/>
              </w:rPr>
              <w:t>操作化</w:t>
            </w:r>
          </w:p>
        </w:tc>
      </w:tr>
      <w:tr w:rsidR="00881E48" w14:paraId="19BEA1A1" w14:textId="77777777">
        <w:trPr>
          <w:jc w:val="center"/>
        </w:trPr>
        <w:tc>
          <w:tcPr>
            <w:tcW w:w="1368" w:type="dxa"/>
            <w:tcMar>
              <w:top w:w="80" w:type="dxa"/>
              <w:left w:w="120" w:type="dxa"/>
              <w:bottom w:w="80" w:type="dxa"/>
              <w:right w:w="120" w:type="dxa"/>
            </w:tcMar>
            <w:vAlign w:val="center"/>
          </w:tcPr>
          <w:p w14:paraId="583D4BFE" w14:textId="77777777" w:rsidR="00881E48" w:rsidRDefault="00000000">
            <w:pPr>
              <w:spacing w:after="0" w:line="269" w:lineRule="auto"/>
            </w:pPr>
            <w:r>
              <w:rPr>
                <w:sz w:val="17"/>
              </w:rPr>
              <w:t>Y_it</w:t>
            </w:r>
          </w:p>
        </w:tc>
        <w:tc>
          <w:tcPr>
            <w:tcW w:w="2232" w:type="dxa"/>
            <w:tcMar>
              <w:top w:w="80" w:type="dxa"/>
              <w:left w:w="120" w:type="dxa"/>
              <w:bottom w:w="80" w:type="dxa"/>
              <w:right w:w="120" w:type="dxa"/>
            </w:tcMar>
            <w:vAlign w:val="center"/>
          </w:tcPr>
          <w:p w14:paraId="42994489" w14:textId="77777777" w:rsidR="00881E48" w:rsidRDefault="00000000">
            <w:pPr>
              <w:spacing w:after="0" w:line="269" w:lineRule="auto"/>
            </w:pPr>
            <w:r>
              <w:rPr>
                <w:sz w:val="17"/>
              </w:rPr>
              <w:t>能源转型结果</w:t>
            </w:r>
          </w:p>
        </w:tc>
        <w:tc>
          <w:tcPr>
            <w:tcW w:w="5688" w:type="dxa"/>
            <w:tcMar>
              <w:top w:w="80" w:type="dxa"/>
              <w:left w:w="120" w:type="dxa"/>
              <w:bottom w:w="80" w:type="dxa"/>
              <w:right w:w="120" w:type="dxa"/>
            </w:tcMar>
            <w:vAlign w:val="center"/>
          </w:tcPr>
          <w:p w14:paraId="0CE71FE1" w14:textId="77777777" w:rsidR="00881E48" w:rsidRDefault="00000000">
            <w:pPr>
              <w:spacing w:after="0" w:line="269" w:lineRule="auto"/>
            </w:pPr>
            <w:r>
              <w:rPr>
                <w:sz w:val="17"/>
              </w:rPr>
              <w:t>RenewableAdd</w:t>
            </w:r>
            <w:r>
              <w:rPr>
                <w:sz w:val="17"/>
              </w:rPr>
              <w:t>、</w:t>
            </w:r>
            <w:r>
              <w:rPr>
                <w:sz w:val="17"/>
              </w:rPr>
              <w:t>SolarWindAdd</w:t>
            </w:r>
            <w:r>
              <w:rPr>
                <w:sz w:val="17"/>
              </w:rPr>
              <w:t>、可再生能源发电占比、项目投运容量</w:t>
            </w:r>
          </w:p>
        </w:tc>
      </w:tr>
      <w:tr w:rsidR="00881E48" w14:paraId="0DEB549D" w14:textId="77777777">
        <w:trPr>
          <w:jc w:val="center"/>
        </w:trPr>
        <w:tc>
          <w:tcPr>
            <w:tcW w:w="1368" w:type="dxa"/>
            <w:tcMar>
              <w:top w:w="80" w:type="dxa"/>
              <w:left w:w="120" w:type="dxa"/>
              <w:bottom w:w="80" w:type="dxa"/>
              <w:right w:w="120" w:type="dxa"/>
            </w:tcMar>
            <w:vAlign w:val="center"/>
          </w:tcPr>
          <w:p w14:paraId="414B5B61" w14:textId="77777777" w:rsidR="00881E48" w:rsidRDefault="00000000">
            <w:pPr>
              <w:spacing w:after="0" w:line="269" w:lineRule="auto"/>
            </w:pPr>
            <w:r>
              <w:rPr>
                <w:sz w:val="17"/>
              </w:rPr>
              <w:t>MineralShock_i,t-1</w:t>
            </w:r>
          </w:p>
        </w:tc>
        <w:tc>
          <w:tcPr>
            <w:tcW w:w="2232" w:type="dxa"/>
            <w:tcMar>
              <w:top w:w="80" w:type="dxa"/>
              <w:left w:w="120" w:type="dxa"/>
              <w:bottom w:w="80" w:type="dxa"/>
              <w:right w:w="120" w:type="dxa"/>
            </w:tcMar>
            <w:vAlign w:val="center"/>
          </w:tcPr>
          <w:p w14:paraId="02FD736E" w14:textId="77777777" w:rsidR="00881E48" w:rsidRDefault="00000000">
            <w:pPr>
              <w:spacing w:after="0" w:line="269" w:lineRule="auto"/>
            </w:pPr>
            <w:r>
              <w:rPr>
                <w:sz w:val="17"/>
              </w:rPr>
              <w:t>关键矿物价格冲击</w:t>
            </w:r>
          </w:p>
        </w:tc>
        <w:tc>
          <w:tcPr>
            <w:tcW w:w="5688" w:type="dxa"/>
            <w:tcMar>
              <w:top w:w="80" w:type="dxa"/>
              <w:left w:w="120" w:type="dxa"/>
              <w:bottom w:w="80" w:type="dxa"/>
              <w:right w:w="120" w:type="dxa"/>
            </w:tcMar>
            <w:vAlign w:val="center"/>
          </w:tcPr>
          <w:p w14:paraId="5041F89C" w14:textId="77777777" w:rsidR="00881E48" w:rsidRDefault="00000000">
            <w:pPr>
              <w:spacing w:after="0" w:line="269" w:lineRule="auto"/>
              <w:rPr>
                <w:lang w:eastAsia="zh-CN"/>
              </w:rPr>
            </w:pPr>
            <w:r>
              <w:rPr>
                <w:sz w:val="17"/>
                <w:lang w:eastAsia="zh-CN"/>
              </w:rPr>
              <w:t>冲击前矿物暴露度</w:t>
            </w:r>
            <w:r>
              <w:rPr>
                <w:sz w:val="17"/>
                <w:lang w:eastAsia="zh-CN"/>
              </w:rPr>
              <w:t xml:space="preserve"> × </w:t>
            </w:r>
            <w:r>
              <w:rPr>
                <w:sz w:val="17"/>
                <w:lang w:eastAsia="zh-CN"/>
              </w:rPr>
              <w:t>全球矿物价格变化，滞后一期</w:t>
            </w:r>
          </w:p>
        </w:tc>
      </w:tr>
      <w:tr w:rsidR="00881E48" w14:paraId="33A11D3B" w14:textId="77777777">
        <w:trPr>
          <w:jc w:val="center"/>
        </w:trPr>
        <w:tc>
          <w:tcPr>
            <w:tcW w:w="1368" w:type="dxa"/>
            <w:tcMar>
              <w:top w:w="80" w:type="dxa"/>
              <w:left w:w="120" w:type="dxa"/>
              <w:bottom w:w="80" w:type="dxa"/>
              <w:right w:w="120" w:type="dxa"/>
            </w:tcMar>
            <w:vAlign w:val="center"/>
          </w:tcPr>
          <w:p w14:paraId="1819D0A5" w14:textId="77777777" w:rsidR="00881E48" w:rsidRDefault="00000000">
            <w:pPr>
              <w:spacing w:after="0" w:line="269" w:lineRule="auto"/>
            </w:pPr>
            <w:r>
              <w:rPr>
                <w:sz w:val="17"/>
              </w:rPr>
              <w:t>Governance_</w:t>
            </w:r>
            <w:proofErr w:type="gramStart"/>
            <w:r>
              <w:rPr>
                <w:sz w:val="17"/>
              </w:rPr>
              <w:t>i,t</w:t>
            </w:r>
            <w:proofErr w:type="gramEnd"/>
            <w:r>
              <w:rPr>
                <w:sz w:val="17"/>
              </w:rPr>
              <w:t>-1</w:t>
            </w:r>
          </w:p>
        </w:tc>
        <w:tc>
          <w:tcPr>
            <w:tcW w:w="2232" w:type="dxa"/>
            <w:tcMar>
              <w:top w:w="80" w:type="dxa"/>
              <w:left w:w="120" w:type="dxa"/>
              <w:bottom w:w="80" w:type="dxa"/>
              <w:right w:w="120" w:type="dxa"/>
            </w:tcMar>
            <w:vAlign w:val="center"/>
          </w:tcPr>
          <w:p w14:paraId="316619F7" w14:textId="77777777" w:rsidR="00881E48" w:rsidRDefault="00000000">
            <w:pPr>
              <w:spacing w:after="0" w:line="269" w:lineRule="auto"/>
            </w:pPr>
            <w:r>
              <w:rPr>
                <w:sz w:val="17"/>
              </w:rPr>
              <w:t>治理能力</w:t>
            </w:r>
          </w:p>
        </w:tc>
        <w:tc>
          <w:tcPr>
            <w:tcW w:w="5688" w:type="dxa"/>
            <w:tcMar>
              <w:top w:w="80" w:type="dxa"/>
              <w:left w:w="120" w:type="dxa"/>
              <w:bottom w:w="80" w:type="dxa"/>
              <w:right w:w="120" w:type="dxa"/>
            </w:tcMar>
            <w:vAlign w:val="center"/>
          </w:tcPr>
          <w:p w14:paraId="34FEF245" w14:textId="77777777" w:rsidR="00881E48" w:rsidRDefault="00000000">
            <w:pPr>
              <w:spacing w:after="0" w:line="269" w:lineRule="auto"/>
              <w:rPr>
                <w:lang w:eastAsia="zh-CN"/>
              </w:rPr>
            </w:pPr>
            <w:r>
              <w:rPr>
                <w:sz w:val="17"/>
                <w:lang w:eastAsia="zh-CN"/>
              </w:rPr>
              <w:t>WGI</w:t>
            </w:r>
            <w:r>
              <w:rPr>
                <w:sz w:val="17"/>
                <w:lang w:eastAsia="zh-CN"/>
              </w:rPr>
              <w:t>监管质量、政府效能、法治、腐败控制，标准化</w:t>
            </w:r>
          </w:p>
        </w:tc>
      </w:tr>
      <w:tr w:rsidR="00881E48" w14:paraId="7728B28A" w14:textId="77777777">
        <w:trPr>
          <w:jc w:val="center"/>
        </w:trPr>
        <w:tc>
          <w:tcPr>
            <w:tcW w:w="1368" w:type="dxa"/>
            <w:tcMar>
              <w:top w:w="80" w:type="dxa"/>
              <w:left w:w="120" w:type="dxa"/>
              <w:bottom w:w="80" w:type="dxa"/>
              <w:right w:w="120" w:type="dxa"/>
            </w:tcMar>
            <w:vAlign w:val="center"/>
          </w:tcPr>
          <w:p w14:paraId="46EB23F2" w14:textId="77777777" w:rsidR="00881E48" w:rsidRDefault="00000000">
            <w:pPr>
              <w:spacing w:after="0" w:line="269" w:lineRule="auto"/>
            </w:pPr>
            <w:r>
              <w:rPr>
                <w:sz w:val="17"/>
              </w:rPr>
              <w:t>X_</w:t>
            </w:r>
            <w:proofErr w:type="gramStart"/>
            <w:r>
              <w:rPr>
                <w:sz w:val="17"/>
              </w:rPr>
              <w:t>i,t</w:t>
            </w:r>
            <w:proofErr w:type="gramEnd"/>
            <w:r>
              <w:rPr>
                <w:sz w:val="17"/>
              </w:rPr>
              <w:t>-1</w:t>
            </w:r>
          </w:p>
        </w:tc>
        <w:tc>
          <w:tcPr>
            <w:tcW w:w="2232" w:type="dxa"/>
            <w:tcMar>
              <w:top w:w="80" w:type="dxa"/>
              <w:left w:w="120" w:type="dxa"/>
              <w:bottom w:w="80" w:type="dxa"/>
              <w:right w:w="120" w:type="dxa"/>
            </w:tcMar>
            <w:vAlign w:val="center"/>
          </w:tcPr>
          <w:p w14:paraId="45CEC7A4" w14:textId="77777777" w:rsidR="00881E48" w:rsidRDefault="00000000">
            <w:pPr>
              <w:spacing w:after="0" w:line="269" w:lineRule="auto"/>
            </w:pPr>
            <w:r>
              <w:rPr>
                <w:sz w:val="17"/>
              </w:rPr>
              <w:t>控制变量</w:t>
            </w:r>
          </w:p>
        </w:tc>
        <w:tc>
          <w:tcPr>
            <w:tcW w:w="5688" w:type="dxa"/>
            <w:tcMar>
              <w:top w:w="80" w:type="dxa"/>
              <w:left w:w="120" w:type="dxa"/>
              <w:bottom w:w="80" w:type="dxa"/>
              <w:right w:w="120" w:type="dxa"/>
            </w:tcMar>
            <w:vAlign w:val="center"/>
          </w:tcPr>
          <w:p w14:paraId="28CDB86B" w14:textId="77777777" w:rsidR="00881E48" w:rsidRDefault="00000000">
            <w:pPr>
              <w:spacing w:after="0" w:line="269" w:lineRule="auto"/>
              <w:rPr>
                <w:lang w:eastAsia="zh-CN"/>
              </w:rPr>
            </w:pPr>
            <w:r>
              <w:rPr>
                <w:sz w:val="17"/>
                <w:lang w:eastAsia="zh-CN"/>
              </w:rPr>
              <w:t>GDP</w:t>
            </w:r>
            <w:r>
              <w:rPr>
                <w:sz w:val="17"/>
                <w:lang w:eastAsia="zh-CN"/>
              </w:rPr>
              <w:t>、人均</w:t>
            </w:r>
            <w:r>
              <w:rPr>
                <w:sz w:val="17"/>
                <w:lang w:eastAsia="zh-CN"/>
              </w:rPr>
              <w:t>GDP</w:t>
            </w:r>
            <w:r>
              <w:rPr>
                <w:sz w:val="17"/>
                <w:lang w:eastAsia="zh-CN"/>
              </w:rPr>
              <w:t>、人口、城市化、债务、冲突、化石能源租金、电力需求</w:t>
            </w:r>
          </w:p>
        </w:tc>
      </w:tr>
      <w:tr w:rsidR="00881E48" w14:paraId="29418DD4" w14:textId="77777777">
        <w:trPr>
          <w:jc w:val="center"/>
        </w:trPr>
        <w:tc>
          <w:tcPr>
            <w:tcW w:w="1368" w:type="dxa"/>
            <w:tcMar>
              <w:top w:w="80" w:type="dxa"/>
              <w:left w:w="120" w:type="dxa"/>
              <w:bottom w:w="80" w:type="dxa"/>
              <w:right w:w="120" w:type="dxa"/>
            </w:tcMar>
            <w:vAlign w:val="center"/>
          </w:tcPr>
          <w:p w14:paraId="6F5657E2" w14:textId="77777777" w:rsidR="00881E48" w:rsidRDefault="00000000">
            <w:pPr>
              <w:spacing w:after="0" w:line="269" w:lineRule="auto"/>
            </w:pPr>
            <w:proofErr w:type="spellStart"/>
            <w:r>
              <w:rPr>
                <w:sz w:val="17"/>
              </w:rPr>
              <w:t>μ_i</w:t>
            </w:r>
            <w:proofErr w:type="spellEnd"/>
          </w:p>
        </w:tc>
        <w:tc>
          <w:tcPr>
            <w:tcW w:w="2232" w:type="dxa"/>
            <w:tcMar>
              <w:top w:w="80" w:type="dxa"/>
              <w:left w:w="120" w:type="dxa"/>
              <w:bottom w:w="80" w:type="dxa"/>
              <w:right w:w="120" w:type="dxa"/>
            </w:tcMar>
            <w:vAlign w:val="center"/>
          </w:tcPr>
          <w:p w14:paraId="5E766DC3" w14:textId="77777777" w:rsidR="00881E48" w:rsidRDefault="00000000">
            <w:pPr>
              <w:spacing w:after="0" w:line="269" w:lineRule="auto"/>
            </w:pPr>
            <w:r>
              <w:rPr>
                <w:sz w:val="17"/>
              </w:rPr>
              <w:t>国家固定效应</w:t>
            </w:r>
          </w:p>
        </w:tc>
        <w:tc>
          <w:tcPr>
            <w:tcW w:w="5688" w:type="dxa"/>
            <w:tcMar>
              <w:top w:w="80" w:type="dxa"/>
              <w:left w:w="120" w:type="dxa"/>
              <w:bottom w:w="80" w:type="dxa"/>
              <w:right w:w="120" w:type="dxa"/>
            </w:tcMar>
            <w:vAlign w:val="center"/>
          </w:tcPr>
          <w:p w14:paraId="005DCB01" w14:textId="77777777" w:rsidR="00881E48" w:rsidRDefault="00000000">
            <w:pPr>
              <w:spacing w:after="0" w:line="269" w:lineRule="auto"/>
              <w:rPr>
                <w:lang w:eastAsia="zh-CN"/>
              </w:rPr>
            </w:pPr>
            <w:r>
              <w:rPr>
                <w:sz w:val="17"/>
                <w:lang w:eastAsia="zh-CN"/>
              </w:rPr>
              <w:t>控制国家不随时间变化的特征</w:t>
            </w:r>
          </w:p>
        </w:tc>
      </w:tr>
      <w:tr w:rsidR="00881E48" w14:paraId="483456FD" w14:textId="77777777">
        <w:trPr>
          <w:jc w:val="center"/>
        </w:trPr>
        <w:tc>
          <w:tcPr>
            <w:tcW w:w="1368" w:type="dxa"/>
            <w:tcMar>
              <w:top w:w="80" w:type="dxa"/>
              <w:left w:w="120" w:type="dxa"/>
              <w:bottom w:w="80" w:type="dxa"/>
              <w:right w:w="120" w:type="dxa"/>
            </w:tcMar>
            <w:vAlign w:val="center"/>
          </w:tcPr>
          <w:p w14:paraId="52EAB4CA" w14:textId="77777777" w:rsidR="00881E48" w:rsidRDefault="00000000">
            <w:pPr>
              <w:spacing w:after="0" w:line="269" w:lineRule="auto"/>
            </w:pPr>
            <w:proofErr w:type="spellStart"/>
            <w:r>
              <w:rPr>
                <w:sz w:val="17"/>
              </w:rPr>
              <w:t>τ_t</w:t>
            </w:r>
            <w:proofErr w:type="spellEnd"/>
          </w:p>
        </w:tc>
        <w:tc>
          <w:tcPr>
            <w:tcW w:w="2232" w:type="dxa"/>
            <w:tcMar>
              <w:top w:w="80" w:type="dxa"/>
              <w:left w:w="120" w:type="dxa"/>
              <w:bottom w:w="80" w:type="dxa"/>
              <w:right w:w="120" w:type="dxa"/>
            </w:tcMar>
            <w:vAlign w:val="center"/>
          </w:tcPr>
          <w:p w14:paraId="11268925" w14:textId="77777777" w:rsidR="00881E48" w:rsidRDefault="00000000">
            <w:pPr>
              <w:spacing w:after="0" w:line="269" w:lineRule="auto"/>
            </w:pPr>
            <w:r>
              <w:rPr>
                <w:sz w:val="17"/>
              </w:rPr>
              <w:t>年份固定效应</w:t>
            </w:r>
          </w:p>
        </w:tc>
        <w:tc>
          <w:tcPr>
            <w:tcW w:w="5688" w:type="dxa"/>
            <w:tcMar>
              <w:top w:w="80" w:type="dxa"/>
              <w:left w:w="120" w:type="dxa"/>
              <w:bottom w:w="80" w:type="dxa"/>
              <w:right w:w="120" w:type="dxa"/>
            </w:tcMar>
            <w:vAlign w:val="center"/>
          </w:tcPr>
          <w:p w14:paraId="0E68092A" w14:textId="77777777" w:rsidR="00881E48" w:rsidRDefault="00000000">
            <w:pPr>
              <w:spacing w:after="0" w:line="269" w:lineRule="auto"/>
            </w:pPr>
            <w:r>
              <w:rPr>
                <w:sz w:val="17"/>
              </w:rPr>
              <w:t>控制全球共同冲击</w:t>
            </w:r>
          </w:p>
        </w:tc>
      </w:tr>
    </w:tbl>
    <w:p w14:paraId="1AFA13BC" w14:textId="77777777" w:rsidR="00881E48" w:rsidRDefault="00881E48">
      <w:pPr>
        <w:spacing w:after="40"/>
      </w:pPr>
    </w:p>
    <w:p w14:paraId="1D4FE28B" w14:textId="77777777" w:rsidR="00B06F91" w:rsidRDefault="00000000" w:rsidP="00B06F91">
      <w:pPr>
        <w:rPr>
          <w:lang w:eastAsia="zh-CN"/>
        </w:rPr>
      </w:pPr>
      <w:r>
        <w:t>β</w:t>
      </w:r>
      <w:r>
        <w:rPr>
          <w:lang w:eastAsia="zh-CN"/>
        </w:rPr>
        <w:t>1</w:t>
      </w:r>
      <w:r>
        <w:rPr>
          <w:lang w:eastAsia="zh-CN"/>
        </w:rPr>
        <w:t>回答资源价格冲击是否平均促进可再生能源转型。</w:t>
      </w:r>
      <w:r>
        <w:t>β</w:t>
      </w:r>
      <w:r>
        <w:rPr>
          <w:lang w:eastAsia="zh-CN"/>
        </w:rPr>
        <w:t>3</w:t>
      </w:r>
      <w:r>
        <w:rPr>
          <w:lang w:eastAsia="zh-CN"/>
        </w:rPr>
        <w:t>是更关键的系数：如果</w:t>
      </w:r>
      <w:r>
        <w:t>β</w:t>
      </w:r>
      <w:r>
        <w:rPr>
          <w:lang w:eastAsia="zh-CN"/>
        </w:rPr>
        <w:t>3</w:t>
      </w:r>
      <w:r>
        <w:rPr>
          <w:lang w:eastAsia="zh-CN"/>
        </w:rPr>
        <w:t>显著为正，说明关键矿物冲击只有在治理能力较强的国家才更可能转化为可再生能源新增装机或项目落地；这正好回应公共管理背景中的治理机制问题。</w:t>
      </w:r>
    </w:p>
    <w:p w14:paraId="07ADF263" w14:textId="4079D792" w:rsidR="00881E48" w:rsidRPr="00B06F91" w:rsidRDefault="00000000" w:rsidP="00B06F91">
      <w:pPr>
        <w:rPr>
          <w:rFonts w:hint="eastAsia"/>
          <w:b/>
          <w:bCs/>
          <w:lang w:eastAsia="zh-CN"/>
        </w:rPr>
      </w:pPr>
      <w:r w:rsidRPr="00B06F91">
        <w:rPr>
          <w:b/>
          <w:bCs/>
          <w:i/>
          <w:iCs/>
          <w:u w:val="single"/>
          <w:lang w:eastAsia="zh-CN"/>
        </w:rPr>
        <w:t>为什么这个识别相对干净</w:t>
      </w:r>
      <w:r w:rsidR="00B06F91" w:rsidRPr="00B06F91">
        <w:rPr>
          <w:rFonts w:hint="eastAsia"/>
          <w:b/>
          <w:bCs/>
          <w:i/>
          <w:iCs/>
          <w:u w:val="single"/>
          <w:lang w:eastAsia="zh-CN"/>
        </w:rPr>
        <w:t>：</w:t>
      </w:r>
    </w:p>
    <w:p w14:paraId="37387504" w14:textId="77777777" w:rsidR="00881E48" w:rsidRDefault="00000000">
      <w:pPr>
        <w:pStyle w:val="a0"/>
        <w:rPr>
          <w:lang w:eastAsia="zh-CN"/>
        </w:rPr>
      </w:pPr>
      <w:r>
        <w:rPr>
          <w:lang w:eastAsia="zh-CN"/>
        </w:rPr>
        <w:t>全球矿物价格变化主要由全球电动车、电池、制造业周期、地缘政策和全球供需决定，单个非洲国家通常难以影响全球价格。</w:t>
      </w:r>
    </w:p>
    <w:p w14:paraId="0BEDE503" w14:textId="77777777" w:rsidR="00881E48" w:rsidRDefault="00000000">
      <w:pPr>
        <w:pStyle w:val="a0"/>
        <w:rPr>
          <w:lang w:eastAsia="zh-CN"/>
        </w:rPr>
      </w:pPr>
      <w:r>
        <w:rPr>
          <w:lang w:eastAsia="zh-CN"/>
        </w:rPr>
        <w:t>矿物暴露度使用冲击前基期值，而非当期产量或当期出口额，避免能源转型反过来影响矿业投资和出口。</w:t>
      </w:r>
    </w:p>
    <w:p w14:paraId="40774D4D" w14:textId="77777777" w:rsidR="00881E48" w:rsidRDefault="00000000">
      <w:pPr>
        <w:pStyle w:val="a0"/>
        <w:rPr>
          <w:lang w:eastAsia="zh-CN"/>
        </w:rPr>
      </w:pPr>
      <w:r>
        <w:rPr>
          <w:lang w:eastAsia="zh-CN"/>
        </w:rPr>
        <w:t>国家固定效应控制长期资源禀赋、地理位置、殖民制度遗产、语言法系等不变因素。</w:t>
      </w:r>
    </w:p>
    <w:p w14:paraId="3BDD5911" w14:textId="77777777" w:rsidR="00881E48" w:rsidRDefault="00000000">
      <w:pPr>
        <w:pStyle w:val="a0"/>
        <w:rPr>
          <w:lang w:eastAsia="zh-CN"/>
        </w:rPr>
      </w:pPr>
      <w:r>
        <w:rPr>
          <w:lang w:eastAsia="zh-CN"/>
        </w:rPr>
        <w:lastRenderedPageBreak/>
        <w:t>年份固定效应控制全球光伏成本下降、全球利率变化、疫情、能源危机和国际气候议程等共同冲击。</w:t>
      </w:r>
    </w:p>
    <w:p w14:paraId="35AEAFB4" w14:textId="77777777" w:rsidR="00881E48" w:rsidRDefault="00000000">
      <w:pPr>
        <w:pStyle w:val="a0"/>
        <w:rPr>
          <w:lang w:eastAsia="zh-CN"/>
        </w:rPr>
      </w:pPr>
      <w:r>
        <w:rPr>
          <w:lang w:eastAsia="zh-CN"/>
        </w:rPr>
        <w:t>滞后项处理融资和装机之间的时间差，避免当期装机反向影响当期融资或政策。</w:t>
      </w:r>
    </w:p>
    <w:p w14:paraId="4193A51F" w14:textId="16E9FC2E" w:rsidR="00B06F91" w:rsidRDefault="00000000" w:rsidP="00B06F91">
      <w:pPr>
        <w:pStyle w:val="a0"/>
        <w:rPr>
          <w:rFonts w:hint="eastAsia"/>
        </w:rPr>
      </w:pPr>
      <w:proofErr w:type="spellStart"/>
      <w:r>
        <w:t>标准误按国家聚类；若样本较小，可使用</w:t>
      </w:r>
      <w:r>
        <w:t>wild</w:t>
      </w:r>
      <w:proofErr w:type="spellEnd"/>
      <w:r>
        <w:t xml:space="preserve"> cluster </w:t>
      </w:r>
      <w:proofErr w:type="spellStart"/>
      <w:r>
        <w:t>bootstrap</w:t>
      </w:r>
      <w:r>
        <w:t>进行稳健推断</w:t>
      </w:r>
      <w:proofErr w:type="spellEnd"/>
      <w:r>
        <w:t>。</w:t>
      </w:r>
    </w:p>
    <w:p w14:paraId="0C8AE187" w14:textId="520EE312" w:rsidR="00881E48" w:rsidRDefault="00B06F91">
      <w:pPr>
        <w:pStyle w:val="1"/>
        <w:rPr>
          <w:lang w:eastAsia="zh-CN"/>
        </w:rPr>
      </w:pPr>
      <w:r>
        <w:rPr>
          <w:rFonts w:ascii="Calibri" w:eastAsia="宋体" w:hAnsi="Calibri" w:hint="eastAsia"/>
          <w:lang w:eastAsia="zh-CN"/>
        </w:rPr>
        <w:t>三</w:t>
      </w:r>
      <w:r w:rsidR="00000000">
        <w:rPr>
          <w:rFonts w:ascii="Calibri" w:eastAsia="宋体" w:hAnsi="Calibri"/>
          <w:lang w:eastAsia="zh-CN"/>
        </w:rPr>
        <w:t>、机制检验：融资是否是传导渠道</w:t>
      </w:r>
    </w:p>
    <w:p w14:paraId="46FAB40F" w14:textId="737F0B9C" w:rsidR="00881E48" w:rsidRDefault="00000000">
      <w:pPr>
        <w:rPr>
          <w:rFonts w:hint="eastAsia"/>
          <w:lang w:eastAsia="zh-CN"/>
        </w:rPr>
      </w:pPr>
      <w:r>
        <w:rPr>
          <w:lang w:eastAsia="zh-CN"/>
        </w:rPr>
        <w:t>主模型证明的是资源价格冲击对能源转型结果的</w:t>
      </w:r>
      <w:r>
        <w:rPr>
          <w:lang w:eastAsia="zh-CN"/>
        </w:rPr>
        <w:t>reduced-form</w:t>
      </w:r>
      <w:r>
        <w:rPr>
          <w:lang w:eastAsia="zh-CN"/>
        </w:rPr>
        <w:t>影响。为了说明国际融资是关键机制，需要进一步检验</w:t>
      </w:r>
      <w:proofErr w:type="spellStart"/>
      <w:r>
        <w:rPr>
          <w:lang w:eastAsia="zh-CN"/>
        </w:rPr>
        <w:t>MineralShock</w:t>
      </w:r>
      <w:proofErr w:type="spellEnd"/>
      <w:r>
        <w:rPr>
          <w:lang w:eastAsia="zh-CN"/>
        </w:rPr>
        <w:t>是否先影响</w:t>
      </w:r>
      <w:r>
        <w:rPr>
          <w:lang w:eastAsia="zh-CN"/>
        </w:rPr>
        <w:t>Finance</w:t>
      </w:r>
      <w:r>
        <w:rPr>
          <w:lang w:eastAsia="zh-CN"/>
        </w:rPr>
        <w:t>，再影响</w:t>
      </w:r>
      <w:r>
        <w:rPr>
          <w:lang w:eastAsia="zh-CN"/>
        </w:rPr>
        <w:t>Y</w:t>
      </w:r>
      <w:r>
        <w:rPr>
          <w:lang w:eastAsia="zh-CN"/>
        </w:rPr>
        <w:t>。机制检验分三步</w:t>
      </w:r>
      <w:r w:rsidR="00B06F91">
        <w:rPr>
          <w:rFonts w:hint="eastAsia"/>
          <w:lang w:eastAsia="zh-CN"/>
        </w:rPr>
        <w:t>：</w:t>
      </w:r>
    </w:p>
    <w:p w14:paraId="1ADA903F" w14:textId="77777777" w:rsidR="00881E48" w:rsidRDefault="00000000">
      <w:pPr>
        <w:shd w:val="clear" w:color="auto" w:fill="F4F6F9"/>
        <w:spacing w:before="80" w:after="200" w:line="290" w:lineRule="auto"/>
        <w:ind w:left="259" w:right="259"/>
      </w:pPr>
      <w:proofErr w:type="spellStart"/>
      <w:r>
        <w:rPr>
          <w:b/>
          <w:color w:val="1F4D78"/>
        </w:rPr>
        <w:t>第一步：冲击是否影响融资：</w:t>
      </w:r>
      <w:r>
        <w:t>Finance_it</w:t>
      </w:r>
      <w:proofErr w:type="spellEnd"/>
      <w:r>
        <w:t xml:space="preserve"> = α1 MineralShock_</w:t>
      </w:r>
      <w:proofErr w:type="gramStart"/>
      <w:r>
        <w:t>i,t</w:t>
      </w:r>
      <w:proofErr w:type="gramEnd"/>
      <w:r>
        <w:t>-1 + α2 Governance_</w:t>
      </w:r>
      <w:proofErr w:type="gramStart"/>
      <w:r>
        <w:t>i,t</w:t>
      </w:r>
      <w:proofErr w:type="gramEnd"/>
      <w:r>
        <w:t>-1 + α3 MineralShock_</w:t>
      </w:r>
      <w:proofErr w:type="gramStart"/>
      <w:r>
        <w:t>i,t</w:t>
      </w:r>
      <w:proofErr w:type="gramEnd"/>
      <w:r>
        <w:t>-1 × Governance_</w:t>
      </w:r>
      <w:proofErr w:type="gramStart"/>
      <w:r>
        <w:t>i,t</w:t>
      </w:r>
      <w:proofErr w:type="gramEnd"/>
      <w:r>
        <w:t>-1 + γX_</w:t>
      </w:r>
      <w:proofErr w:type="gramStart"/>
      <w:r>
        <w:t>i,t</w:t>
      </w:r>
      <w:proofErr w:type="gramEnd"/>
      <w:r>
        <w:t>-1 + μ_i + τ_t + ε_it</w:t>
      </w:r>
      <w:r>
        <w:t>。</w:t>
      </w:r>
    </w:p>
    <w:p w14:paraId="4DDC90D6" w14:textId="77777777" w:rsidR="00881E48" w:rsidRDefault="00000000">
      <w:pPr>
        <w:shd w:val="clear" w:color="auto" w:fill="F4F6F9"/>
        <w:spacing w:before="80" w:after="200" w:line="290" w:lineRule="auto"/>
        <w:ind w:left="259" w:right="259"/>
      </w:pPr>
      <w:r>
        <w:rPr>
          <w:b/>
          <w:color w:val="1F4D78"/>
        </w:rPr>
        <w:t>第二步：融资是否影响转型：</w:t>
      </w:r>
      <w:r>
        <w:t>Y_it = β1 Finance_i,t-1 + β2 MineralShock_i,t-1 + β3 Governance_i,t-1 + γX_i,t-1 + μ_i + τ_t + ε_it</w:t>
      </w:r>
      <w:r>
        <w:t>。</w:t>
      </w:r>
    </w:p>
    <w:p w14:paraId="21AD3451" w14:textId="77777777" w:rsidR="00881E48" w:rsidRDefault="00000000">
      <w:pPr>
        <w:shd w:val="clear" w:color="auto" w:fill="F4F6F9"/>
        <w:spacing w:before="80" w:after="200" w:line="290" w:lineRule="auto"/>
        <w:ind w:left="259" w:right="259"/>
      </w:pPr>
      <w:r>
        <w:rPr>
          <w:b/>
          <w:color w:val="1F4D78"/>
        </w:rPr>
        <w:t>第三步：治理是否影响融资转化效率：</w:t>
      </w:r>
      <w:r>
        <w:t>Y_it = β1 Finance_i,t-1 + β2 Finance_i,t-1 × Governance_i,t-1 + β3 MineralShock_i,t-1 + γX_i,t-1 + μ_i + τ_t + ε_it</w:t>
      </w:r>
      <w:r>
        <w:t>。</w:t>
      </w:r>
    </w:p>
    <w:p w14:paraId="13619485" w14:textId="08E36FD3" w:rsidR="00881E48" w:rsidRDefault="00000000" w:rsidP="00B06F91">
      <w:pPr>
        <w:rPr>
          <w:rFonts w:hint="eastAsia"/>
          <w:lang w:eastAsia="zh-CN"/>
        </w:rPr>
      </w:pPr>
      <w:r>
        <w:rPr>
          <w:lang w:eastAsia="zh-CN"/>
        </w:rPr>
        <w:t>如果第一步</w:t>
      </w:r>
      <w:r>
        <w:t>α</w:t>
      </w:r>
      <w:r>
        <w:rPr>
          <w:lang w:eastAsia="zh-CN"/>
        </w:rPr>
        <w:t>1</w:t>
      </w:r>
      <w:r>
        <w:rPr>
          <w:lang w:eastAsia="zh-CN"/>
        </w:rPr>
        <w:t>为正，说明矿物冲击提高融资可得性；第二步</w:t>
      </w:r>
      <w:r>
        <w:rPr>
          <w:lang w:eastAsia="zh-CN"/>
        </w:rPr>
        <w:t>Finance</w:t>
      </w:r>
      <w:r>
        <w:rPr>
          <w:lang w:eastAsia="zh-CN"/>
        </w:rPr>
        <w:t>显著，说明融资与转型结果相关；第三步</w:t>
      </w:r>
      <w:proofErr w:type="spellStart"/>
      <w:r>
        <w:rPr>
          <w:lang w:eastAsia="zh-CN"/>
        </w:rPr>
        <w:t>Finance×Governance</w:t>
      </w:r>
      <w:proofErr w:type="spellEnd"/>
      <w:r>
        <w:rPr>
          <w:lang w:eastAsia="zh-CN"/>
        </w:rPr>
        <w:t>为正，则说明融资不是自动起作用，而是依赖治理吸收能力。</w:t>
      </w:r>
    </w:p>
    <w:p w14:paraId="218B6E09" w14:textId="1B368F71" w:rsidR="00881E48" w:rsidRDefault="00B06F91">
      <w:pPr>
        <w:pStyle w:val="1"/>
        <w:rPr>
          <w:lang w:eastAsia="zh-CN"/>
        </w:rPr>
      </w:pPr>
      <w:r>
        <w:rPr>
          <w:rFonts w:ascii="Calibri" w:eastAsia="宋体" w:hAnsi="Calibri" w:hint="eastAsia"/>
          <w:lang w:eastAsia="zh-CN"/>
        </w:rPr>
        <w:t>四</w:t>
      </w:r>
      <w:r w:rsidR="00000000">
        <w:rPr>
          <w:rFonts w:ascii="Calibri" w:eastAsia="宋体" w:hAnsi="Calibri"/>
          <w:lang w:eastAsia="zh-CN"/>
        </w:rPr>
        <w:t>、项目级模型：解决国家样本小</w:t>
      </w:r>
      <w:r>
        <w:rPr>
          <w:rFonts w:ascii="Calibri" w:eastAsia="宋体" w:hAnsi="Calibri" w:hint="eastAsia"/>
          <w:lang w:eastAsia="zh-CN"/>
        </w:rPr>
        <w:t>且不尽可靠</w:t>
      </w:r>
      <w:r w:rsidR="00000000">
        <w:rPr>
          <w:rFonts w:ascii="Calibri" w:eastAsia="宋体" w:hAnsi="Calibri"/>
          <w:lang w:eastAsia="zh-CN"/>
        </w:rPr>
        <w:t>的问题</w:t>
      </w:r>
    </w:p>
    <w:p w14:paraId="7D092030" w14:textId="29B5935E" w:rsidR="00881E48" w:rsidRDefault="00000000">
      <w:pPr>
        <w:rPr>
          <w:lang w:eastAsia="zh-CN"/>
        </w:rPr>
      </w:pPr>
      <w:r>
        <w:rPr>
          <w:lang w:eastAsia="zh-CN"/>
        </w:rPr>
        <w:t>非洲国家数量有限，国家</w:t>
      </w:r>
      <w:r>
        <w:rPr>
          <w:lang w:eastAsia="zh-CN"/>
        </w:rPr>
        <w:t>—</w:t>
      </w:r>
      <w:r>
        <w:rPr>
          <w:lang w:eastAsia="zh-CN"/>
        </w:rPr>
        <w:t>年份面板的统计功效可能不足。项目级模型可以显著增加样本量，并直接回答</w:t>
      </w:r>
      <w:r>
        <w:rPr>
          <w:lang w:eastAsia="zh-CN"/>
        </w:rPr>
        <w:t>“</w:t>
      </w:r>
      <w:r>
        <w:rPr>
          <w:lang w:eastAsia="zh-CN"/>
        </w:rPr>
        <w:t>项目是否真正落地</w:t>
      </w:r>
      <w:r>
        <w:rPr>
          <w:lang w:eastAsia="zh-CN"/>
        </w:rPr>
        <w:t>”</w:t>
      </w:r>
      <w:r>
        <w:rPr>
          <w:lang w:eastAsia="zh-CN"/>
        </w:rPr>
        <w:t>。</w:t>
      </w:r>
    </w:p>
    <w:p w14:paraId="6224D83B" w14:textId="77777777" w:rsidR="00881E48" w:rsidRDefault="00000000">
      <w:pPr>
        <w:shd w:val="clear" w:color="auto" w:fill="F4F6F9"/>
        <w:spacing w:before="80" w:after="200" w:line="290" w:lineRule="auto"/>
        <w:ind w:left="259" w:right="259"/>
      </w:pPr>
      <w:proofErr w:type="spellStart"/>
      <w:r>
        <w:rPr>
          <w:b/>
          <w:color w:val="1F4D78"/>
        </w:rPr>
        <w:t>项目级</w:t>
      </w:r>
      <w:r>
        <w:rPr>
          <w:b/>
          <w:color w:val="1F4D78"/>
        </w:rPr>
        <w:t>Logit</w:t>
      </w:r>
      <w:proofErr w:type="spellEnd"/>
      <w:r>
        <w:rPr>
          <w:b/>
          <w:color w:val="1F4D78"/>
        </w:rPr>
        <w:t>/</w:t>
      </w:r>
      <w:proofErr w:type="spellStart"/>
      <w:r>
        <w:rPr>
          <w:b/>
          <w:color w:val="1F4D78"/>
        </w:rPr>
        <w:t>Probit</w:t>
      </w:r>
      <w:r>
        <w:rPr>
          <w:b/>
          <w:color w:val="1F4D78"/>
        </w:rPr>
        <w:t>模型：</w:t>
      </w:r>
      <w:proofErr w:type="gramStart"/>
      <w:r>
        <w:t>Pr</w:t>
      </w:r>
      <w:proofErr w:type="spellEnd"/>
      <w:r>
        <w:t>(</w:t>
      </w:r>
      <w:proofErr w:type="spellStart"/>
      <w:proofErr w:type="gramEnd"/>
      <w:r>
        <w:t>ProjectSuccess_p</w:t>
      </w:r>
      <w:proofErr w:type="spellEnd"/>
      <w:r>
        <w:t xml:space="preserve">=1) = </w:t>
      </w:r>
      <w:proofErr w:type="gramStart"/>
      <w:r>
        <w:t>F[</w:t>
      </w:r>
      <w:proofErr w:type="gramEnd"/>
      <w:r>
        <w:t>β1 MineralShock_</w:t>
      </w:r>
      <w:proofErr w:type="gramStart"/>
      <w:r>
        <w:t>i,t</w:t>
      </w:r>
      <w:proofErr w:type="gramEnd"/>
      <w:r>
        <w:t>-1 + β2 Finance_</w:t>
      </w:r>
      <w:proofErr w:type="gramStart"/>
      <w:r>
        <w:t>i,t</w:t>
      </w:r>
      <w:proofErr w:type="gramEnd"/>
      <w:r>
        <w:t>-1 + β3 Governance_</w:t>
      </w:r>
      <w:proofErr w:type="gramStart"/>
      <w:r>
        <w:t>i,t</w:t>
      </w:r>
      <w:proofErr w:type="gramEnd"/>
      <w:r>
        <w:t>-1 + β4 Finance_</w:t>
      </w:r>
      <w:proofErr w:type="gramStart"/>
      <w:r>
        <w:t>i,t</w:t>
      </w:r>
      <w:proofErr w:type="gramEnd"/>
      <w:r>
        <w:t>-1 × Governance_</w:t>
      </w:r>
      <w:proofErr w:type="gramStart"/>
      <w:r>
        <w:t>i,t</w:t>
      </w:r>
      <w:proofErr w:type="gramEnd"/>
      <w:r>
        <w:t>-1 + δProjectControls_p + μ_i + τ_t + θ_</w:t>
      </w:r>
      <w:proofErr w:type="gramStart"/>
      <w:r>
        <w:t>tech]</w:t>
      </w:r>
      <w:r>
        <w:t>。</w:t>
      </w:r>
      <w:proofErr w:type="gramEnd"/>
    </w:p>
    <w:tbl>
      <w:tblPr>
        <w:tblW w:w="9360" w:type="dxa"/>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217"/>
        <w:gridCol w:w="3448"/>
        <w:gridCol w:w="3695"/>
      </w:tblGrid>
      <w:tr w:rsidR="00881E48" w14:paraId="41D2CA43" w14:textId="77777777">
        <w:trPr>
          <w:jc w:val="center"/>
        </w:trPr>
        <w:tc>
          <w:tcPr>
            <w:tcW w:w="1944" w:type="dxa"/>
            <w:shd w:val="clear" w:color="auto" w:fill="E8EEF5"/>
            <w:tcMar>
              <w:top w:w="80" w:type="dxa"/>
              <w:left w:w="120" w:type="dxa"/>
              <w:bottom w:w="80" w:type="dxa"/>
              <w:right w:w="120" w:type="dxa"/>
            </w:tcMar>
            <w:vAlign w:val="center"/>
          </w:tcPr>
          <w:p w14:paraId="3A8846F2" w14:textId="77777777" w:rsidR="00881E48" w:rsidRDefault="00000000">
            <w:pPr>
              <w:spacing w:after="0" w:line="269" w:lineRule="auto"/>
            </w:pPr>
            <w:r>
              <w:rPr>
                <w:b/>
                <w:color w:val="0B2545"/>
                <w:sz w:val="18"/>
              </w:rPr>
              <w:t>变量</w:t>
            </w:r>
          </w:p>
        </w:tc>
        <w:tc>
          <w:tcPr>
            <w:tcW w:w="3024" w:type="dxa"/>
            <w:shd w:val="clear" w:color="auto" w:fill="E8EEF5"/>
            <w:tcMar>
              <w:top w:w="80" w:type="dxa"/>
              <w:left w:w="120" w:type="dxa"/>
              <w:bottom w:w="80" w:type="dxa"/>
              <w:right w:w="120" w:type="dxa"/>
            </w:tcMar>
            <w:vAlign w:val="center"/>
          </w:tcPr>
          <w:p w14:paraId="191680E4" w14:textId="77777777" w:rsidR="00881E48" w:rsidRDefault="00000000">
            <w:pPr>
              <w:spacing w:after="0" w:line="269" w:lineRule="auto"/>
            </w:pPr>
            <w:r>
              <w:rPr>
                <w:b/>
                <w:color w:val="0B2545"/>
                <w:sz w:val="18"/>
              </w:rPr>
              <w:t>定义</w:t>
            </w:r>
          </w:p>
        </w:tc>
        <w:tc>
          <w:tcPr>
            <w:tcW w:w="3240" w:type="dxa"/>
            <w:shd w:val="clear" w:color="auto" w:fill="E8EEF5"/>
            <w:tcMar>
              <w:top w:w="80" w:type="dxa"/>
              <w:left w:w="120" w:type="dxa"/>
              <w:bottom w:w="80" w:type="dxa"/>
              <w:right w:w="120" w:type="dxa"/>
            </w:tcMar>
            <w:vAlign w:val="center"/>
          </w:tcPr>
          <w:p w14:paraId="0F5B6F8A" w14:textId="77777777" w:rsidR="00881E48" w:rsidRDefault="00000000">
            <w:pPr>
              <w:spacing w:after="0" w:line="269" w:lineRule="auto"/>
            </w:pPr>
            <w:r>
              <w:rPr>
                <w:b/>
                <w:color w:val="0B2545"/>
                <w:sz w:val="18"/>
              </w:rPr>
              <w:t>理由</w:t>
            </w:r>
          </w:p>
        </w:tc>
      </w:tr>
      <w:tr w:rsidR="00881E48" w14:paraId="2117A7B3" w14:textId="77777777">
        <w:trPr>
          <w:jc w:val="center"/>
        </w:trPr>
        <w:tc>
          <w:tcPr>
            <w:tcW w:w="1944" w:type="dxa"/>
            <w:tcMar>
              <w:top w:w="80" w:type="dxa"/>
              <w:left w:w="120" w:type="dxa"/>
              <w:bottom w:w="80" w:type="dxa"/>
              <w:right w:w="120" w:type="dxa"/>
            </w:tcMar>
            <w:vAlign w:val="center"/>
          </w:tcPr>
          <w:p w14:paraId="4EA650F8" w14:textId="77777777" w:rsidR="00881E48" w:rsidRDefault="00000000">
            <w:pPr>
              <w:spacing w:after="0" w:line="269" w:lineRule="auto"/>
            </w:pPr>
            <w:r>
              <w:rPr>
                <w:sz w:val="17"/>
              </w:rPr>
              <w:lastRenderedPageBreak/>
              <w:t>ProjectSuccess_p</w:t>
            </w:r>
          </w:p>
        </w:tc>
        <w:tc>
          <w:tcPr>
            <w:tcW w:w="3024" w:type="dxa"/>
            <w:tcMar>
              <w:top w:w="80" w:type="dxa"/>
              <w:left w:w="120" w:type="dxa"/>
              <w:bottom w:w="80" w:type="dxa"/>
              <w:right w:w="120" w:type="dxa"/>
            </w:tcMar>
            <w:vAlign w:val="center"/>
          </w:tcPr>
          <w:p w14:paraId="5D7D11C2" w14:textId="77777777" w:rsidR="00881E48" w:rsidRDefault="00000000">
            <w:pPr>
              <w:spacing w:after="0" w:line="269" w:lineRule="auto"/>
            </w:pPr>
            <w:r>
              <w:rPr>
                <w:sz w:val="17"/>
              </w:rPr>
              <w:t>项目进入</w:t>
            </w:r>
            <w:r>
              <w:rPr>
                <w:sz w:val="17"/>
              </w:rPr>
              <w:t>construction/operation=1</w:t>
            </w:r>
            <w:r>
              <w:rPr>
                <w:sz w:val="17"/>
              </w:rPr>
              <w:t>；取消、搁置或长期停留</w:t>
            </w:r>
            <w:r>
              <w:rPr>
                <w:sz w:val="17"/>
              </w:rPr>
              <w:t>announced=0</w:t>
            </w:r>
          </w:p>
        </w:tc>
        <w:tc>
          <w:tcPr>
            <w:tcW w:w="3240" w:type="dxa"/>
            <w:tcMar>
              <w:top w:w="80" w:type="dxa"/>
              <w:left w:w="120" w:type="dxa"/>
              <w:bottom w:w="80" w:type="dxa"/>
              <w:right w:w="120" w:type="dxa"/>
            </w:tcMar>
            <w:vAlign w:val="center"/>
          </w:tcPr>
          <w:p w14:paraId="221F2D40" w14:textId="77777777" w:rsidR="00881E48" w:rsidRDefault="00000000">
            <w:pPr>
              <w:spacing w:after="0" w:line="269" w:lineRule="auto"/>
              <w:rPr>
                <w:lang w:eastAsia="zh-CN"/>
              </w:rPr>
            </w:pPr>
            <w:r>
              <w:rPr>
                <w:sz w:val="17"/>
                <w:lang w:eastAsia="zh-CN"/>
              </w:rPr>
              <w:t>比装机存量更贴近项目落地</w:t>
            </w:r>
          </w:p>
        </w:tc>
      </w:tr>
      <w:tr w:rsidR="00881E48" w14:paraId="4B0D661B" w14:textId="77777777">
        <w:trPr>
          <w:jc w:val="center"/>
        </w:trPr>
        <w:tc>
          <w:tcPr>
            <w:tcW w:w="1944" w:type="dxa"/>
            <w:tcMar>
              <w:top w:w="80" w:type="dxa"/>
              <w:left w:w="120" w:type="dxa"/>
              <w:bottom w:w="80" w:type="dxa"/>
              <w:right w:w="120" w:type="dxa"/>
            </w:tcMar>
            <w:vAlign w:val="center"/>
          </w:tcPr>
          <w:p w14:paraId="23894164" w14:textId="77777777" w:rsidR="00881E48" w:rsidRDefault="00000000">
            <w:pPr>
              <w:spacing w:after="0" w:line="269" w:lineRule="auto"/>
            </w:pPr>
            <w:r>
              <w:rPr>
                <w:sz w:val="17"/>
              </w:rPr>
              <w:t>Finance_</w:t>
            </w:r>
            <w:proofErr w:type="gramStart"/>
            <w:r>
              <w:rPr>
                <w:sz w:val="17"/>
              </w:rPr>
              <w:t>i,t</w:t>
            </w:r>
            <w:proofErr w:type="gramEnd"/>
            <w:r>
              <w:rPr>
                <w:sz w:val="17"/>
              </w:rPr>
              <w:t>-1</w:t>
            </w:r>
          </w:p>
        </w:tc>
        <w:tc>
          <w:tcPr>
            <w:tcW w:w="3024" w:type="dxa"/>
            <w:tcMar>
              <w:top w:w="80" w:type="dxa"/>
              <w:left w:w="120" w:type="dxa"/>
              <w:bottom w:w="80" w:type="dxa"/>
              <w:right w:w="120" w:type="dxa"/>
            </w:tcMar>
            <w:vAlign w:val="center"/>
          </w:tcPr>
          <w:p w14:paraId="639E581E" w14:textId="77777777" w:rsidR="00881E48" w:rsidRDefault="00000000">
            <w:pPr>
              <w:spacing w:after="0" w:line="269" w:lineRule="auto"/>
              <w:rPr>
                <w:lang w:eastAsia="zh-CN"/>
              </w:rPr>
            </w:pPr>
            <w:r>
              <w:rPr>
                <w:sz w:val="17"/>
                <w:lang w:eastAsia="zh-CN"/>
              </w:rPr>
              <w:t>国家上一年能源融资、</w:t>
            </w:r>
            <w:r>
              <w:rPr>
                <w:sz w:val="17"/>
                <w:lang w:eastAsia="zh-CN"/>
              </w:rPr>
              <w:t>PPI</w:t>
            </w:r>
            <w:r>
              <w:rPr>
                <w:sz w:val="17"/>
                <w:lang w:eastAsia="zh-CN"/>
              </w:rPr>
              <w:t>投资或</w:t>
            </w:r>
            <w:r>
              <w:rPr>
                <w:sz w:val="17"/>
                <w:lang w:eastAsia="zh-CN"/>
              </w:rPr>
              <w:t>ODA</w:t>
            </w:r>
          </w:p>
        </w:tc>
        <w:tc>
          <w:tcPr>
            <w:tcW w:w="3240" w:type="dxa"/>
            <w:tcMar>
              <w:top w:w="80" w:type="dxa"/>
              <w:left w:w="120" w:type="dxa"/>
              <w:bottom w:w="80" w:type="dxa"/>
              <w:right w:w="120" w:type="dxa"/>
            </w:tcMar>
            <w:vAlign w:val="center"/>
          </w:tcPr>
          <w:p w14:paraId="4CA758FB" w14:textId="77777777" w:rsidR="00881E48" w:rsidRDefault="00000000">
            <w:pPr>
              <w:spacing w:after="0" w:line="269" w:lineRule="auto"/>
            </w:pPr>
            <w:proofErr w:type="spellStart"/>
            <w:r>
              <w:rPr>
                <w:sz w:val="17"/>
              </w:rPr>
              <w:t>衡量融资环境</w:t>
            </w:r>
            <w:proofErr w:type="spellEnd"/>
          </w:p>
        </w:tc>
      </w:tr>
      <w:tr w:rsidR="00881E48" w14:paraId="2CF33FB0" w14:textId="77777777">
        <w:trPr>
          <w:jc w:val="center"/>
        </w:trPr>
        <w:tc>
          <w:tcPr>
            <w:tcW w:w="1944" w:type="dxa"/>
            <w:tcMar>
              <w:top w:w="80" w:type="dxa"/>
              <w:left w:w="120" w:type="dxa"/>
              <w:bottom w:w="80" w:type="dxa"/>
              <w:right w:w="120" w:type="dxa"/>
            </w:tcMar>
            <w:vAlign w:val="center"/>
          </w:tcPr>
          <w:p w14:paraId="5C12FA3D" w14:textId="77777777" w:rsidR="00881E48" w:rsidRDefault="00000000">
            <w:pPr>
              <w:spacing w:after="0" w:line="269" w:lineRule="auto"/>
            </w:pPr>
            <w:r>
              <w:rPr>
                <w:sz w:val="17"/>
              </w:rPr>
              <w:t>ProjectControls_p</w:t>
            </w:r>
          </w:p>
        </w:tc>
        <w:tc>
          <w:tcPr>
            <w:tcW w:w="3024" w:type="dxa"/>
            <w:tcMar>
              <w:top w:w="80" w:type="dxa"/>
              <w:left w:w="120" w:type="dxa"/>
              <w:bottom w:w="80" w:type="dxa"/>
              <w:right w:w="120" w:type="dxa"/>
            </w:tcMar>
            <w:vAlign w:val="center"/>
          </w:tcPr>
          <w:p w14:paraId="5F16ED98" w14:textId="77777777" w:rsidR="00881E48" w:rsidRDefault="00000000">
            <w:pPr>
              <w:spacing w:after="0" w:line="269" w:lineRule="auto"/>
              <w:rPr>
                <w:lang w:eastAsia="zh-CN"/>
              </w:rPr>
            </w:pPr>
            <w:r>
              <w:rPr>
                <w:sz w:val="17"/>
                <w:lang w:eastAsia="zh-CN"/>
              </w:rPr>
              <w:t>容量、技术类型、开发商、</w:t>
            </w:r>
            <w:r>
              <w:rPr>
                <w:sz w:val="17"/>
                <w:lang w:eastAsia="zh-CN"/>
              </w:rPr>
              <w:t>PPA</w:t>
            </w:r>
            <w:r>
              <w:rPr>
                <w:sz w:val="17"/>
                <w:lang w:eastAsia="zh-CN"/>
              </w:rPr>
              <w:t>、并网距离、是否</w:t>
            </w:r>
            <w:r>
              <w:rPr>
                <w:sz w:val="17"/>
                <w:lang w:eastAsia="zh-CN"/>
              </w:rPr>
              <w:t>IPP</w:t>
            </w:r>
          </w:p>
        </w:tc>
        <w:tc>
          <w:tcPr>
            <w:tcW w:w="3240" w:type="dxa"/>
            <w:tcMar>
              <w:top w:w="80" w:type="dxa"/>
              <w:left w:w="120" w:type="dxa"/>
              <w:bottom w:w="80" w:type="dxa"/>
              <w:right w:w="120" w:type="dxa"/>
            </w:tcMar>
            <w:vAlign w:val="center"/>
          </w:tcPr>
          <w:p w14:paraId="0DA5CE97" w14:textId="77777777" w:rsidR="00881E48" w:rsidRDefault="00000000">
            <w:pPr>
              <w:spacing w:after="0" w:line="269" w:lineRule="auto"/>
              <w:rPr>
                <w:lang w:eastAsia="zh-CN"/>
              </w:rPr>
            </w:pPr>
            <w:r>
              <w:rPr>
                <w:sz w:val="17"/>
                <w:lang w:eastAsia="zh-CN"/>
              </w:rPr>
              <w:t>控制项目层面可融资性差异</w:t>
            </w:r>
          </w:p>
        </w:tc>
      </w:tr>
      <w:tr w:rsidR="00881E48" w14:paraId="7711D541" w14:textId="77777777">
        <w:trPr>
          <w:jc w:val="center"/>
        </w:trPr>
        <w:tc>
          <w:tcPr>
            <w:tcW w:w="1944" w:type="dxa"/>
            <w:tcMar>
              <w:top w:w="80" w:type="dxa"/>
              <w:left w:w="120" w:type="dxa"/>
              <w:bottom w:w="80" w:type="dxa"/>
              <w:right w:w="120" w:type="dxa"/>
            </w:tcMar>
            <w:vAlign w:val="center"/>
          </w:tcPr>
          <w:p w14:paraId="0ADF0BB2" w14:textId="77777777" w:rsidR="00881E48" w:rsidRDefault="00000000">
            <w:pPr>
              <w:spacing w:after="0" w:line="269" w:lineRule="auto"/>
            </w:pPr>
            <w:proofErr w:type="spellStart"/>
            <w:r>
              <w:rPr>
                <w:sz w:val="17"/>
              </w:rPr>
              <w:t>θ_tech</w:t>
            </w:r>
            <w:proofErr w:type="spellEnd"/>
          </w:p>
        </w:tc>
        <w:tc>
          <w:tcPr>
            <w:tcW w:w="3024" w:type="dxa"/>
            <w:tcMar>
              <w:top w:w="80" w:type="dxa"/>
              <w:left w:w="120" w:type="dxa"/>
              <w:bottom w:w="80" w:type="dxa"/>
              <w:right w:w="120" w:type="dxa"/>
            </w:tcMar>
            <w:vAlign w:val="center"/>
          </w:tcPr>
          <w:p w14:paraId="29D06D74" w14:textId="77777777" w:rsidR="00881E48" w:rsidRDefault="00000000">
            <w:pPr>
              <w:spacing w:after="0" w:line="269" w:lineRule="auto"/>
            </w:pPr>
            <w:r>
              <w:rPr>
                <w:sz w:val="17"/>
              </w:rPr>
              <w:t>技术固定效应</w:t>
            </w:r>
          </w:p>
        </w:tc>
        <w:tc>
          <w:tcPr>
            <w:tcW w:w="3240" w:type="dxa"/>
            <w:tcMar>
              <w:top w:w="80" w:type="dxa"/>
              <w:left w:w="120" w:type="dxa"/>
              <w:bottom w:w="80" w:type="dxa"/>
              <w:right w:w="120" w:type="dxa"/>
            </w:tcMar>
            <w:vAlign w:val="center"/>
          </w:tcPr>
          <w:p w14:paraId="3C03C10D" w14:textId="77777777" w:rsidR="00881E48" w:rsidRDefault="00000000">
            <w:pPr>
              <w:spacing w:after="0" w:line="269" w:lineRule="auto"/>
              <w:rPr>
                <w:lang w:eastAsia="zh-CN"/>
              </w:rPr>
            </w:pPr>
            <w:r>
              <w:rPr>
                <w:sz w:val="17"/>
                <w:lang w:eastAsia="zh-CN"/>
              </w:rPr>
              <w:t>太阳能、风电、水电、地热建设周期和风险不同</w:t>
            </w:r>
          </w:p>
        </w:tc>
      </w:tr>
    </w:tbl>
    <w:p w14:paraId="022F0E09" w14:textId="77777777" w:rsidR="00881E48" w:rsidRDefault="00881E48">
      <w:pPr>
        <w:spacing w:after="40"/>
        <w:rPr>
          <w:lang w:eastAsia="zh-CN"/>
        </w:rPr>
      </w:pPr>
    </w:p>
    <w:p w14:paraId="623A26A4" w14:textId="77777777" w:rsidR="00881E48" w:rsidRDefault="00000000">
      <w:pPr>
        <w:rPr>
          <w:lang w:eastAsia="zh-CN"/>
        </w:rPr>
      </w:pPr>
      <w:r>
        <w:rPr>
          <w:lang w:eastAsia="zh-CN"/>
        </w:rPr>
        <w:t>如果能取得项目阶段时间，可以进一步使用</w:t>
      </w:r>
      <w:r>
        <w:rPr>
          <w:lang w:eastAsia="zh-CN"/>
        </w:rPr>
        <w:t>Cox</w:t>
      </w:r>
      <w:r>
        <w:rPr>
          <w:lang w:eastAsia="zh-CN"/>
        </w:rPr>
        <w:t>生存模型或离散时间</w:t>
      </w:r>
      <w:r>
        <w:rPr>
          <w:lang w:eastAsia="zh-CN"/>
        </w:rPr>
        <w:t>hazard</w:t>
      </w:r>
      <w:r>
        <w:rPr>
          <w:lang w:eastAsia="zh-CN"/>
        </w:rPr>
        <w:t>模型，把结果变量改为</w:t>
      </w:r>
      <w:r>
        <w:rPr>
          <w:lang w:eastAsia="zh-CN"/>
        </w:rPr>
        <w:t>“</w:t>
      </w:r>
      <w:r>
        <w:rPr>
          <w:lang w:eastAsia="zh-CN"/>
        </w:rPr>
        <w:t>项目从公告到投运的速度</w:t>
      </w:r>
      <w:r>
        <w:rPr>
          <w:lang w:eastAsia="zh-CN"/>
        </w:rPr>
        <w:t>”</w:t>
      </w:r>
      <w:r>
        <w:rPr>
          <w:lang w:eastAsia="zh-CN"/>
        </w:rPr>
        <w:t>。这比二元成功变量更充分利用时间信息，但数据清洗要求更高。</w:t>
      </w:r>
    </w:p>
    <w:p w14:paraId="6C424153" w14:textId="2C9BD85E" w:rsidR="00881E48" w:rsidRDefault="00B06F91">
      <w:pPr>
        <w:pStyle w:val="1"/>
      </w:pPr>
      <w:r>
        <w:rPr>
          <w:rFonts w:ascii="Calibri" w:eastAsia="宋体" w:hAnsi="Calibri" w:hint="eastAsia"/>
          <w:lang w:eastAsia="zh-CN"/>
        </w:rPr>
        <w:t>五</w:t>
      </w:r>
      <w:r w:rsidR="00000000">
        <w:rPr>
          <w:rFonts w:ascii="Calibri" w:eastAsia="宋体" w:hAnsi="Calibri"/>
        </w:rPr>
        <w:t>、</w:t>
      </w:r>
      <w:proofErr w:type="spellStart"/>
      <w:r w:rsidR="00000000">
        <w:rPr>
          <w:rFonts w:ascii="Calibri" w:eastAsia="宋体" w:hAnsi="Calibri"/>
        </w:rPr>
        <w:t>稳健性检验清单</w:t>
      </w:r>
      <w:proofErr w:type="spellEnd"/>
    </w:p>
    <w:tbl>
      <w:tblPr>
        <w:tblW w:w="9360" w:type="dxa"/>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871"/>
        <w:gridCol w:w="4070"/>
        <w:gridCol w:w="3419"/>
      </w:tblGrid>
      <w:tr w:rsidR="00881E48" w14:paraId="7C4774E9" w14:textId="77777777">
        <w:trPr>
          <w:jc w:val="center"/>
        </w:trPr>
        <w:tc>
          <w:tcPr>
            <w:tcW w:w="1655" w:type="dxa"/>
            <w:shd w:val="clear" w:color="auto" w:fill="E8EEF5"/>
            <w:tcMar>
              <w:top w:w="80" w:type="dxa"/>
              <w:left w:w="120" w:type="dxa"/>
              <w:bottom w:w="80" w:type="dxa"/>
              <w:right w:w="120" w:type="dxa"/>
            </w:tcMar>
            <w:vAlign w:val="center"/>
          </w:tcPr>
          <w:p w14:paraId="44D10929" w14:textId="77777777" w:rsidR="00881E48" w:rsidRDefault="00000000">
            <w:pPr>
              <w:spacing w:after="0" w:line="269" w:lineRule="auto"/>
            </w:pPr>
            <w:r>
              <w:rPr>
                <w:b/>
                <w:color w:val="0B2545"/>
                <w:sz w:val="18"/>
              </w:rPr>
              <w:t>检验</w:t>
            </w:r>
          </w:p>
        </w:tc>
        <w:tc>
          <w:tcPr>
            <w:tcW w:w="3600" w:type="dxa"/>
            <w:shd w:val="clear" w:color="auto" w:fill="E8EEF5"/>
            <w:tcMar>
              <w:top w:w="80" w:type="dxa"/>
              <w:left w:w="120" w:type="dxa"/>
              <w:bottom w:w="80" w:type="dxa"/>
              <w:right w:w="120" w:type="dxa"/>
            </w:tcMar>
            <w:vAlign w:val="center"/>
          </w:tcPr>
          <w:p w14:paraId="2259350D" w14:textId="77777777" w:rsidR="00881E48" w:rsidRDefault="00000000">
            <w:pPr>
              <w:spacing w:after="0" w:line="269" w:lineRule="auto"/>
            </w:pPr>
            <w:r>
              <w:rPr>
                <w:b/>
                <w:color w:val="0B2545"/>
                <w:sz w:val="18"/>
              </w:rPr>
              <w:t>做法</w:t>
            </w:r>
          </w:p>
        </w:tc>
        <w:tc>
          <w:tcPr>
            <w:tcW w:w="3024" w:type="dxa"/>
            <w:shd w:val="clear" w:color="auto" w:fill="E8EEF5"/>
            <w:tcMar>
              <w:top w:w="80" w:type="dxa"/>
              <w:left w:w="120" w:type="dxa"/>
              <w:bottom w:w="80" w:type="dxa"/>
              <w:right w:w="120" w:type="dxa"/>
            </w:tcMar>
            <w:vAlign w:val="center"/>
          </w:tcPr>
          <w:p w14:paraId="5354EE51" w14:textId="77777777" w:rsidR="00881E48" w:rsidRDefault="00000000">
            <w:pPr>
              <w:spacing w:after="0" w:line="269" w:lineRule="auto"/>
            </w:pPr>
            <w:r>
              <w:rPr>
                <w:b/>
                <w:color w:val="0B2545"/>
                <w:sz w:val="18"/>
              </w:rPr>
              <w:t>目的</w:t>
            </w:r>
          </w:p>
        </w:tc>
      </w:tr>
      <w:tr w:rsidR="00881E48" w14:paraId="525C4755" w14:textId="77777777">
        <w:trPr>
          <w:jc w:val="center"/>
        </w:trPr>
        <w:tc>
          <w:tcPr>
            <w:tcW w:w="1655" w:type="dxa"/>
            <w:tcMar>
              <w:top w:w="80" w:type="dxa"/>
              <w:left w:w="120" w:type="dxa"/>
              <w:bottom w:w="80" w:type="dxa"/>
              <w:right w:w="120" w:type="dxa"/>
            </w:tcMar>
            <w:vAlign w:val="center"/>
          </w:tcPr>
          <w:p w14:paraId="5C5D0687" w14:textId="77777777" w:rsidR="00881E48" w:rsidRDefault="00000000">
            <w:pPr>
              <w:spacing w:after="0" w:line="269" w:lineRule="auto"/>
            </w:pPr>
            <w:r>
              <w:rPr>
                <w:sz w:val="17"/>
              </w:rPr>
              <w:t>替换因变量</w:t>
            </w:r>
          </w:p>
        </w:tc>
        <w:tc>
          <w:tcPr>
            <w:tcW w:w="3600" w:type="dxa"/>
            <w:tcMar>
              <w:top w:w="80" w:type="dxa"/>
              <w:left w:w="120" w:type="dxa"/>
              <w:bottom w:w="80" w:type="dxa"/>
              <w:right w:w="120" w:type="dxa"/>
            </w:tcMar>
            <w:vAlign w:val="center"/>
          </w:tcPr>
          <w:p w14:paraId="77D05ADB" w14:textId="77777777" w:rsidR="00881E48" w:rsidRDefault="00000000">
            <w:pPr>
              <w:spacing w:after="0" w:line="269" w:lineRule="auto"/>
            </w:pPr>
            <w:r>
              <w:rPr>
                <w:sz w:val="17"/>
              </w:rPr>
              <w:t>RenewableAdd</w:t>
            </w:r>
            <w:r>
              <w:rPr>
                <w:sz w:val="17"/>
              </w:rPr>
              <w:t>、</w:t>
            </w:r>
            <w:r>
              <w:rPr>
                <w:sz w:val="17"/>
              </w:rPr>
              <w:t>SolarWindAdd</w:t>
            </w:r>
            <w:r>
              <w:rPr>
                <w:sz w:val="17"/>
              </w:rPr>
              <w:t>、</w:t>
            </w:r>
            <w:r>
              <w:rPr>
                <w:sz w:val="17"/>
              </w:rPr>
              <w:t>log(1+</w:t>
            </w:r>
            <w:r>
              <w:rPr>
                <w:sz w:val="17"/>
              </w:rPr>
              <w:t>新增装机</w:t>
            </w:r>
            <w:r>
              <w:rPr>
                <w:sz w:val="17"/>
              </w:rPr>
              <w:t>)</w:t>
            </w:r>
            <w:r>
              <w:rPr>
                <w:sz w:val="17"/>
              </w:rPr>
              <w:t>、可再生能源发电占比</w:t>
            </w:r>
          </w:p>
        </w:tc>
        <w:tc>
          <w:tcPr>
            <w:tcW w:w="3024" w:type="dxa"/>
            <w:tcMar>
              <w:top w:w="80" w:type="dxa"/>
              <w:left w:w="120" w:type="dxa"/>
              <w:bottom w:w="80" w:type="dxa"/>
              <w:right w:w="120" w:type="dxa"/>
            </w:tcMar>
            <w:vAlign w:val="center"/>
          </w:tcPr>
          <w:p w14:paraId="0F3A8064" w14:textId="77777777" w:rsidR="00881E48" w:rsidRDefault="00000000">
            <w:pPr>
              <w:spacing w:after="0" w:line="269" w:lineRule="auto"/>
              <w:rPr>
                <w:lang w:eastAsia="zh-CN"/>
              </w:rPr>
            </w:pPr>
            <w:r>
              <w:rPr>
                <w:sz w:val="17"/>
                <w:lang w:eastAsia="zh-CN"/>
              </w:rPr>
              <w:t>确认结果不是由某一口径驱动</w:t>
            </w:r>
          </w:p>
        </w:tc>
      </w:tr>
      <w:tr w:rsidR="00881E48" w14:paraId="46DB61BF" w14:textId="77777777">
        <w:trPr>
          <w:jc w:val="center"/>
        </w:trPr>
        <w:tc>
          <w:tcPr>
            <w:tcW w:w="1655" w:type="dxa"/>
            <w:tcMar>
              <w:top w:w="80" w:type="dxa"/>
              <w:left w:w="120" w:type="dxa"/>
              <w:bottom w:w="80" w:type="dxa"/>
              <w:right w:w="120" w:type="dxa"/>
            </w:tcMar>
            <w:vAlign w:val="center"/>
          </w:tcPr>
          <w:p w14:paraId="39295AE6" w14:textId="77777777" w:rsidR="00881E48" w:rsidRDefault="00000000">
            <w:pPr>
              <w:spacing w:after="0" w:line="269" w:lineRule="auto"/>
            </w:pPr>
            <w:proofErr w:type="spellStart"/>
            <w:r>
              <w:rPr>
                <w:sz w:val="17"/>
              </w:rPr>
              <w:t>替换冲击变量</w:t>
            </w:r>
            <w:proofErr w:type="spellEnd"/>
          </w:p>
        </w:tc>
        <w:tc>
          <w:tcPr>
            <w:tcW w:w="3600" w:type="dxa"/>
            <w:tcMar>
              <w:top w:w="80" w:type="dxa"/>
              <w:left w:w="120" w:type="dxa"/>
              <w:bottom w:w="80" w:type="dxa"/>
              <w:right w:w="120" w:type="dxa"/>
            </w:tcMar>
            <w:vAlign w:val="center"/>
          </w:tcPr>
          <w:p w14:paraId="02910D4A" w14:textId="77777777" w:rsidR="00881E48" w:rsidRDefault="00000000">
            <w:pPr>
              <w:spacing w:after="0" w:line="269" w:lineRule="auto"/>
              <w:rPr>
                <w:lang w:eastAsia="zh-CN"/>
              </w:rPr>
            </w:pPr>
            <w:r>
              <w:rPr>
                <w:sz w:val="17"/>
                <w:lang w:eastAsia="zh-CN"/>
              </w:rPr>
              <w:t>产量暴露度、储量暴露度、出口暴露度；名义价格和真实价格</w:t>
            </w:r>
          </w:p>
        </w:tc>
        <w:tc>
          <w:tcPr>
            <w:tcW w:w="3024" w:type="dxa"/>
            <w:tcMar>
              <w:top w:w="80" w:type="dxa"/>
              <w:left w:w="120" w:type="dxa"/>
              <w:bottom w:w="80" w:type="dxa"/>
              <w:right w:w="120" w:type="dxa"/>
            </w:tcMar>
            <w:vAlign w:val="center"/>
          </w:tcPr>
          <w:p w14:paraId="11B77A4C" w14:textId="77777777" w:rsidR="00881E48" w:rsidRDefault="00000000">
            <w:pPr>
              <w:spacing w:after="0" w:line="269" w:lineRule="auto"/>
            </w:pPr>
            <w:proofErr w:type="spellStart"/>
            <w:r>
              <w:rPr>
                <w:sz w:val="17"/>
              </w:rPr>
              <w:t>确认</w:t>
            </w:r>
            <w:r>
              <w:rPr>
                <w:sz w:val="17"/>
              </w:rPr>
              <w:t>MineralShock</w:t>
            </w:r>
            <w:r>
              <w:rPr>
                <w:sz w:val="17"/>
              </w:rPr>
              <w:t>构造稳健</w:t>
            </w:r>
            <w:proofErr w:type="spellEnd"/>
          </w:p>
        </w:tc>
      </w:tr>
      <w:tr w:rsidR="00881E48" w14:paraId="696EAFBF" w14:textId="77777777">
        <w:trPr>
          <w:jc w:val="center"/>
        </w:trPr>
        <w:tc>
          <w:tcPr>
            <w:tcW w:w="1655" w:type="dxa"/>
            <w:tcMar>
              <w:top w:w="80" w:type="dxa"/>
              <w:left w:w="120" w:type="dxa"/>
              <w:bottom w:w="80" w:type="dxa"/>
              <w:right w:w="120" w:type="dxa"/>
            </w:tcMar>
            <w:vAlign w:val="center"/>
          </w:tcPr>
          <w:p w14:paraId="6941A657" w14:textId="77777777" w:rsidR="00881E48" w:rsidRDefault="00000000">
            <w:pPr>
              <w:spacing w:after="0" w:line="269" w:lineRule="auto"/>
            </w:pPr>
            <w:r>
              <w:rPr>
                <w:sz w:val="17"/>
              </w:rPr>
              <w:t>滞后结构</w:t>
            </w:r>
          </w:p>
        </w:tc>
        <w:tc>
          <w:tcPr>
            <w:tcW w:w="3600" w:type="dxa"/>
            <w:tcMar>
              <w:top w:w="80" w:type="dxa"/>
              <w:left w:w="120" w:type="dxa"/>
              <w:bottom w:w="80" w:type="dxa"/>
              <w:right w:w="120" w:type="dxa"/>
            </w:tcMar>
            <w:vAlign w:val="center"/>
          </w:tcPr>
          <w:p w14:paraId="16973C29" w14:textId="77777777" w:rsidR="00881E48" w:rsidRDefault="00000000">
            <w:pPr>
              <w:spacing w:after="0" w:line="269" w:lineRule="auto"/>
            </w:pPr>
            <w:r>
              <w:rPr>
                <w:sz w:val="17"/>
              </w:rPr>
              <w:t>t-1</w:t>
            </w:r>
            <w:r>
              <w:rPr>
                <w:sz w:val="17"/>
              </w:rPr>
              <w:t>、</w:t>
            </w:r>
            <w:r>
              <w:rPr>
                <w:sz w:val="17"/>
              </w:rPr>
              <w:t>t-2</w:t>
            </w:r>
            <w:r>
              <w:rPr>
                <w:sz w:val="17"/>
              </w:rPr>
              <w:t>、三年移动平均</w:t>
            </w:r>
          </w:p>
        </w:tc>
        <w:tc>
          <w:tcPr>
            <w:tcW w:w="3024" w:type="dxa"/>
            <w:tcMar>
              <w:top w:w="80" w:type="dxa"/>
              <w:left w:w="120" w:type="dxa"/>
              <w:bottom w:w="80" w:type="dxa"/>
              <w:right w:w="120" w:type="dxa"/>
            </w:tcMar>
            <w:vAlign w:val="center"/>
          </w:tcPr>
          <w:p w14:paraId="42EBC198" w14:textId="77777777" w:rsidR="00881E48" w:rsidRDefault="00000000">
            <w:pPr>
              <w:spacing w:after="0" w:line="269" w:lineRule="auto"/>
            </w:pPr>
            <w:r>
              <w:rPr>
                <w:sz w:val="17"/>
              </w:rPr>
              <w:t>处理融资和建设周期</w:t>
            </w:r>
          </w:p>
        </w:tc>
      </w:tr>
      <w:tr w:rsidR="00881E48" w14:paraId="0194D278" w14:textId="77777777">
        <w:trPr>
          <w:jc w:val="center"/>
        </w:trPr>
        <w:tc>
          <w:tcPr>
            <w:tcW w:w="1655" w:type="dxa"/>
            <w:tcMar>
              <w:top w:w="80" w:type="dxa"/>
              <w:left w:w="120" w:type="dxa"/>
              <w:bottom w:w="80" w:type="dxa"/>
              <w:right w:w="120" w:type="dxa"/>
            </w:tcMar>
            <w:vAlign w:val="center"/>
          </w:tcPr>
          <w:p w14:paraId="56590FD2" w14:textId="77777777" w:rsidR="00881E48" w:rsidRDefault="00000000">
            <w:pPr>
              <w:spacing w:after="0" w:line="269" w:lineRule="auto"/>
            </w:pPr>
            <w:r>
              <w:rPr>
                <w:sz w:val="17"/>
              </w:rPr>
              <w:t>排除样本</w:t>
            </w:r>
          </w:p>
        </w:tc>
        <w:tc>
          <w:tcPr>
            <w:tcW w:w="3600" w:type="dxa"/>
            <w:tcMar>
              <w:top w:w="80" w:type="dxa"/>
              <w:left w:w="120" w:type="dxa"/>
              <w:bottom w:w="80" w:type="dxa"/>
              <w:right w:w="120" w:type="dxa"/>
            </w:tcMar>
            <w:vAlign w:val="center"/>
          </w:tcPr>
          <w:p w14:paraId="31C0D889" w14:textId="77777777" w:rsidR="00881E48" w:rsidRDefault="00000000">
            <w:pPr>
              <w:spacing w:after="0" w:line="269" w:lineRule="auto"/>
              <w:rPr>
                <w:lang w:eastAsia="zh-CN"/>
              </w:rPr>
            </w:pPr>
            <w:r>
              <w:rPr>
                <w:sz w:val="17"/>
                <w:lang w:eastAsia="zh-CN"/>
              </w:rPr>
              <w:t>排除南非、刚果（金）、赞比亚等高影响国家逐一检验</w:t>
            </w:r>
          </w:p>
        </w:tc>
        <w:tc>
          <w:tcPr>
            <w:tcW w:w="3024" w:type="dxa"/>
            <w:tcMar>
              <w:top w:w="80" w:type="dxa"/>
              <w:left w:w="120" w:type="dxa"/>
              <w:bottom w:w="80" w:type="dxa"/>
              <w:right w:w="120" w:type="dxa"/>
            </w:tcMar>
            <w:vAlign w:val="center"/>
          </w:tcPr>
          <w:p w14:paraId="4E3FD32A" w14:textId="77777777" w:rsidR="00881E48" w:rsidRDefault="00000000">
            <w:pPr>
              <w:spacing w:after="0" w:line="269" w:lineRule="auto"/>
              <w:rPr>
                <w:lang w:eastAsia="zh-CN"/>
              </w:rPr>
            </w:pPr>
            <w:r>
              <w:rPr>
                <w:sz w:val="17"/>
                <w:lang w:eastAsia="zh-CN"/>
              </w:rPr>
              <w:t>避免结果由单一国家驱动</w:t>
            </w:r>
          </w:p>
        </w:tc>
      </w:tr>
      <w:tr w:rsidR="00881E48" w14:paraId="65AC4CAF" w14:textId="77777777">
        <w:trPr>
          <w:jc w:val="center"/>
        </w:trPr>
        <w:tc>
          <w:tcPr>
            <w:tcW w:w="1655" w:type="dxa"/>
            <w:tcMar>
              <w:top w:w="80" w:type="dxa"/>
              <w:left w:w="120" w:type="dxa"/>
              <w:bottom w:w="80" w:type="dxa"/>
              <w:right w:w="120" w:type="dxa"/>
            </w:tcMar>
            <w:vAlign w:val="center"/>
          </w:tcPr>
          <w:p w14:paraId="455B01C3" w14:textId="77777777" w:rsidR="00881E48" w:rsidRDefault="00000000">
            <w:pPr>
              <w:spacing w:after="0" w:line="269" w:lineRule="auto"/>
            </w:pPr>
            <w:proofErr w:type="spellStart"/>
            <w:r>
              <w:rPr>
                <w:sz w:val="17"/>
              </w:rPr>
              <w:t>矿种剔除</w:t>
            </w:r>
            <w:proofErr w:type="spellEnd"/>
          </w:p>
        </w:tc>
        <w:tc>
          <w:tcPr>
            <w:tcW w:w="3600" w:type="dxa"/>
            <w:tcMar>
              <w:top w:w="80" w:type="dxa"/>
              <w:left w:w="120" w:type="dxa"/>
              <w:bottom w:w="80" w:type="dxa"/>
              <w:right w:w="120" w:type="dxa"/>
            </w:tcMar>
            <w:vAlign w:val="center"/>
          </w:tcPr>
          <w:p w14:paraId="4F5F6A36" w14:textId="77777777" w:rsidR="00881E48" w:rsidRDefault="00000000">
            <w:pPr>
              <w:spacing w:after="0" w:line="269" w:lineRule="auto"/>
              <w:rPr>
                <w:lang w:eastAsia="zh-CN"/>
              </w:rPr>
            </w:pPr>
            <w:r>
              <w:rPr>
                <w:sz w:val="17"/>
                <w:lang w:eastAsia="zh-CN"/>
              </w:rPr>
              <w:t>逐一剔除铜、钴、锂、锰、镍</w:t>
            </w:r>
          </w:p>
        </w:tc>
        <w:tc>
          <w:tcPr>
            <w:tcW w:w="3024" w:type="dxa"/>
            <w:tcMar>
              <w:top w:w="80" w:type="dxa"/>
              <w:left w:w="120" w:type="dxa"/>
              <w:bottom w:w="80" w:type="dxa"/>
              <w:right w:w="120" w:type="dxa"/>
            </w:tcMar>
            <w:vAlign w:val="center"/>
          </w:tcPr>
          <w:p w14:paraId="1A7A6CCA" w14:textId="77777777" w:rsidR="00881E48" w:rsidRDefault="00000000">
            <w:pPr>
              <w:spacing w:after="0" w:line="269" w:lineRule="auto"/>
              <w:rPr>
                <w:lang w:eastAsia="zh-CN"/>
              </w:rPr>
            </w:pPr>
            <w:r>
              <w:rPr>
                <w:sz w:val="17"/>
                <w:lang w:eastAsia="zh-CN"/>
              </w:rPr>
              <w:t>避免结果由单一矿种价格周期驱动</w:t>
            </w:r>
          </w:p>
        </w:tc>
      </w:tr>
      <w:tr w:rsidR="00881E48" w14:paraId="507B81A6" w14:textId="77777777">
        <w:trPr>
          <w:jc w:val="center"/>
        </w:trPr>
        <w:tc>
          <w:tcPr>
            <w:tcW w:w="1655" w:type="dxa"/>
            <w:tcMar>
              <w:top w:w="80" w:type="dxa"/>
              <w:left w:w="120" w:type="dxa"/>
              <w:bottom w:w="80" w:type="dxa"/>
              <w:right w:w="120" w:type="dxa"/>
            </w:tcMar>
            <w:vAlign w:val="center"/>
          </w:tcPr>
          <w:p w14:paraId="1E06C478" w14:textId="77777777" w:rsidR="00881E48" w:rsidRDefault="00000000">
            <w:pPr>
              <w:spacing w:after="0" w:line="269" w:lineRule="auto"/>
            </w:pPr>
            <w:proofErr w:type="spellStart"/>
            <w:r>
              <w:rPr>
                <w:sz w:val="17"/>
              </w:rPr>
              <w:t>前趋势</w:t>
            </w:r>
            <w:proofErr w:type="spellEnd"/>
            <w:r>
              <w:rPr>
                <w:sz w:val="17"/>
              </w:rPr>
              <w:t>/</w:t>
            </w:r>
            <w:proofErr w:type="spellStart"/>
            <w:r>
              <w:rPr>
                <w:sz w:val="17"/>
              </w:rPr>
              <w:t>安慰剂</w:t>
            </w:r>
            <w:proofErr w:type="spellEnd"/>
          </w:p>
        </w:tc>
        <w:tc>
          <w:tcPr>
            <w:tcW w:w="3600" w:type="dxa"/>
            <w:tcMar>
              <w:top w:w="80" w:type="dxa"/>
              <w:left w:w="120" w:type="dxa"/>
              <w:bottom w:w="80" w:type="dxa"/>
              <w:right w:w="120" w:type="dxa"/>
            </w:tcMar>
            <w:vAlign w:val="center"/>
          </w:tcPr>
          <w:p w14:paraId="04AC02D8" w14:textId="77777777" w:rsidR="00881E48" w:rsidRDefault="00000000">
            <w:pPr>
              <w:spacing w:after="0" w:line="269" w:lineRule="auto"/>
              <w:rPr>
                <w:lang w:eastAsia="zh-CN"/>
              </w:rPr>
            </w:pPr>
            <w:r>
              <w:rPr>
                <w:sz w:val="17"/>
                <w:lang w:eastAsia="zh-CN"/>
              </w:rPr>
              <w:t>使用未来价格冲击或非关键矿物价格作为</w:t>
            </w:r>
            <w:r>
              <w:rPr>
                <w:sz w:val="17"/>
                <w:lang w:eastAsia="zh-CN"/>
              </w:rPr>
              <w:t>placebo</w:t>
            </w:r>
          </w:p>
        </w:tc>
        <w:tc>
          <w:tcPr>
            <w:tcW w:w="3024" w:type="dxa"/>
            <w:tcMar>
              <w:top w:w="80" w:type="dxa"/>
              <w:left w:w="120" w:type="dxa"/>
              <w:bottom w:w="80" w:type="dxa"/>
              <w:right w:w="120" w:type="dxa"/>
            </w:tcMar>
            <w:vAlign w:val="center"/>
          </w:tcPr>
          <w:p w14:paraId="55F5C460" w14:textId="77777777" w:rsidR="00881E48" w:rsidRDefault="00000000">
            <w:pPr>
              <w:spacing w:after="0" w:line="269" w:lineRule="auto"/>
            </w:pPr>
            <w:proofErr w:type="spellStart"/>
            <w:r>
              <w:rPr>
                <w:sz w:val="17"/>
              </w:rPr>
              <w:t>检验伪相关</w:t>
            </w:r>
            <w:proofErr w:type="spellEnd"/>
          </w:p>
        </w:tc>
      </w:tr>
      <w:tr w:rsidR="00881E48" w14:paraId="73D3167E" w14:textId="77777777">
        <w:trPr>
          <w:jc w:val="center"/>
        </w:trPr>
        <w:tc>
          <w:tcPr>
            <w:tcW w:w="1655" w:type="dxa"/>
            <w:tcMar>
              <w:top w:w="80" w:type="dxa"/>
              <w:left w:w="120" w:type="dxa"/>
              <w:bottom w:w="80" w:type="dxa"/>
              <w:right w:w="120" w:type="dxa"/>
            </w:tcMar>
            <w:vAlign w:val="center"/>
          </w:tcPr>
          <w:p w14:paraId="2D2990ED" w14:textId="77777777" w:rsidR="00881E48" w:rsidRDefault="00000000">
            <w:pPr>
              <w:spacing w:after="0" w:line="269" w:lineRule="auto"/>
            </w:pPr>
            <w:r>
              <w:rPr>
                <w:sz w:val="17"/>
              </w:rPr>
              <w:t>标准误</w:t>
            </w:r>
          </w:p>
        </w:tc>
        <w:tc>
          <w:tcPr>
            <w:tcW w:w="3600" w:type="dxa"/>
            <w:tcMar>
              <w:top w:w="80" w:type="dxa"/>
              <w:left w:w="120" w:type="dxa"/>
              <w:bottom w:w="80" w:type="dxa"/>
              <w:right w:w="120" w:type="dxa"/>
            </w:tcMar>
            <w:vAlign w:val="center"/>
          </w:tcPr>
          <w:p w14:paraId="2EA9A2D9" w14:textId="77777777" w:rsidR="00881E48" w:rsidRDefault="00000000">
            <w:pPr>
              <w:spacing w:after="0" w:line="269" w:lineRule="auto"/>
            </w:pPr>
            <w:r>
              <w:rPr>
                <w:sz w:val="17"/>
              </w:rPr>
              <w:t>国家聚类、双向聚类、</w:t>
            </w:r>
            <w:r>
              <w:rPr>
                <w:sz w:val="17"/>
              </w:rPr>
              <w:t>wild bootstrap</w:t>
            </w:r>
          </w:p>
        </w:tc>
        <w:tc>
          <w:tcPr>
            <w:tcW w:w="3024" w:type="dxa"/>
            <w:tcMar>
              <w:top w:w="80" w:type="dxa"/>
              <w:left w:w="120" w:type="dxa"/>
              <w:bottom w:w="80" w:type="dxa"/>
              <w:right w:w="120" w:type="dxa"/>
            </w:tcMar>
            <w:vAlign w:val="center"/>
          </w:tcPr>
          <w:p w14:paraId="3CD93500" w14:textId="77777777" w:rsidR="00881E48" w:rsidRDefault="00000000">
            <w:pPr>
              <w:spacing w:after="0" w:line="269" w:lineRule="auto"/>
              <w:rPr>
                <w:lang w:eastAsia="zh-CN"/>
              </w:rPr>
            </w:pPr>
            <w:r>
              <w:rPr>
                <w:sz w:val="17"/>
                <w:lang w:eastAsia="zh-CN"/>
              </w:rPr>
              <w:t>处理面板相关和小样本推断</w:t>
            </w:r>
          </w:p>
        </w:tc>
      </w:tr>
    </w:tbl>
    <w:p w14:paraId="69E103DF" w14:textId="77777777" w:rsidR="00B06F91" w:rsidRDefault="00B06F91">
      <w:pPr>
        <w:spacing w:after="40"/>
        <w:rPr>
          <w:rFonts w:hint="eastAsia"/>
          <w:lang w:eastAsia="zh-CN"/>
        </w:rPr>
      </w:pPr>
    </w:p>
    <w:p w14:paraId="5EDA5D06" w14:textId="1AE26BD9" w:rsidR="00881E48" w:rsidRDefault="00B06F91">
      <w:pPr>
        <w:pStyle w:val="1"/>
        <w:rPr>
          <w:rFonts w:hint="eastAsia"/>
          <w:lang w:eastAsia="zh-CN"/>
        </w:rPr>
      </w:pPr>
      <w:r>
        <w:rPr>
          <w:rFonts w:ascii="Calibri" w:eastAsia="宋体" w:hAnsi="Calibri" w:hint="eastAsia"/>
          <w:lang w:eastAsia="zh-CN"/>
        </w:rPr>
        <w:lastRenderedPageBreak/>
        <w:t>六</w:t>
      </w:r>
      <w:r w:rsidR="00000000">
        <w:rPr>
          <w:rFonts w:ascii="Calibri" w:eastAsia="宋体" w:hAnsi="Calibri"/>
          <w:lang w:eastAsia="zh-CN"/>
        </w:rPr>
        <w:t>、主要</w:t>
      </w:r>
      <w:r>
        <w:rPr>
          <w:rFonts w:ascii="Calibri" w:eastAsia="宋体" w:hAnsi="Calibri" w:hint="eastAsia"/>
          <w:lang w:eastAsia="zh-CN"/>
        </w:rPr>
        <w:t>挑战与可能回应</w:t>
      </w:r>
    </w:p>
    <w:tbl>
      <w:tblPr>
        <w:tblW w:w="9360" w:type="dxa"/>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413"/>
        <w:gridCol w:w="6947"/>
      </w:tblGrid>
      <w:tr w:rsidR="00881E48" w14:paraId="0D78898D" w14:textId="77777777">
        <w:trPr>
          <w:jc w:val="center"/>
        </w:trPr>
        <w:tc>
          <w:tcPr>
            <w:tcW w:w="2376" w:type="dxa"/>
            <w:shd w:val="clear" w:color="auto" w:fill="E8EEF5"/>
            <w:tcMar>
              <w:top w:w="80" w:type="dxa"/>
              <w:left w:w="120" w:type="dxa"/>
              <w:bottom w:w="80" w:type="dxa"/>
              <w:right w:w="120" w:type="dxa"/>
            </w:tcMar>
            <w:vAlign w:val="center"/>
          </w:tcPr>
          <w:p w14:paraId="7A2F8E09" w14:textId="761764AC" w:rsidR="00881E48" w:rsidRDefault="00000000">
            <w:pPr>
              <w:spacing w:after="0" w:line="269" w:lineRule="auto"/>
            </w:pPr>
            <w:proofErr w:type="spellStart"/>
            <w:r>
              <w:rPr>
                <w:b/>
                <w:color w:val="0B2545"/>
                <w:sz w:val="18"/>
              </w:rPr>
              <w:t>可能质疑</w:t>
            </w:r>
            <w:proofErr w:type="spellEnd"/>
          </w:p>
        </w:tc>
        <w:tc>
          <w:tcPr>
            <w:tcW w:w="6840" w:type="dxa"/>
            <w:shd w:val="clear" w:color="auto" w:fill="E8EEF5"/>
            <w:tcMar>
              <w:top w:w="80" w:type="dxa"/>
              <w:left w:w="120" w:type="dxa"/>
              <w:bottom w:w="80" w:type="dxa"/>
              <w:right w:w="120" w:type="dxa"/>
            </w:tcMar>
            <w:vAlign w:val="center"/>
          </w:tcPr>
          <w:p w14:paraId="0D68EDD4" w14:textId="27EB86DA" w:rsidR="00881E48" w:rsidRDefault="00B06F91">
            <w:pPr>
              <w:spacing w:after="0" w:line="269" w:lineRule="auto"/>
              <w:rPr>
                <w:rFonts w:hint="eastAsia"/>
                <w:lang w:eastAsia="zh-CN"/>
              </w:rPr>
            </w:pPr>
            <w:r>
              <w:rPr>
                <w:rFonts w:hint="eastAsia"/>
                <w:b/>
                <w:color w:val="0B2545"/>
                <w:sz w:val="18"/>
                <w:lang w:eastAsia="zh-CN"/>
              </w:rPr>
              <w:t>可能回应</w:t>
            </w:r>
          </w:p>
        </w:tc>
      </w:tr>
      <w:tr w:rsidR="00881E48" w14:paraId="40734D91" w14:textId="77777777">
        <w:trPr>
          <w:jc w:val="center"/>
        </w:trPr>
        <w:tc>
          <w:tcPr>
            <w:tcW w:w="2376" w:type="dxa"/>
            <w:tcMar>
              <w:top w:w="80" w:type="dxa"/>
              <w:left w:w="120" w:type="dxa"/>
              <w:bottom w:w="80" w:type="dxa"/>
              <w:right w:w="120" w:type="dxa"/>
            </w:tcMar>
            <w:vAlign w:val="center"/>
          </w:tcPr>
          <w:p w14:paraId="6441AE27" w14:textId="77777777" w:rsidR="00881E48" w:rsidRDefault="00000000">
            <w:pPr>
              <w:spacing w:after="0" w:line="269" w:lineRule="auto"/>
            </w:pPr>
            <w:r>
              <w:rPr>
                <w:sz w:val="17"/>
              </w:rPr>
              <w:t>非洲数据不准</w:t>
            </w:r>
          </w:p>
        </w:tc>
        <w:tc>
          <w:tcPr>
            <w:tcW w:w="6840" w:type="dxa"/>
            <w:tcMar>
              <w:top w:w="80" w:type="dxa"/>
              <w:left w:w="120" w:type="dxa"/>
              <w:bottom w:w="80" w:type="dxa"/>
              <w:right w:w="120" w:type="dxa"/>
            </w:tcMar>
            <w:vAlign w:val="center"/>
          </w:tcPr>
          <w:p w14:paraId="46C2F665" w14:textId="77777777" w:rsidR="00881E48" w:rsidRDefault="00000000">
            <w:pPr>
              <w:spacing w:after="0" w:line="269" w:lineRule="auto"/>
              <w:rPr>
                <w:lang w:eastAsia="zh-CN"/>
              </w:rPr>
            </w:pPr>
            <w:r>
              <w:rPr>
                <w:sz w:val="17"/>
                <w:lang w:eastAsia="zh-CN"/>
              </w:rPr>
              <w:t>主数据来自跨国数据库；结果变量用</w:t>
            </w:r>
            <w:r>
              <w:rPr>
                <w:sz w:val="17"/>
                <w:lang w:eastAsia="zh-CN"/>
              </w:rPr>
              <w:t>IRENA/GEM/WRI</w:t>
            </w:r>
            <w:r>
              <w:rPr>
                <w:sz w:val="17"/>
                <w:lang w:eastAsia="zh-CN"/>
              </w:rPr>
              <w:t>交叉验证；机制用</w:t>
            </w:r>
            <w:r>
              <w:rPr>
                <w:sz w:val="17"/>
                <w:lang w:eastAsia="zh-CN"/>
              </w:rPr>
              <w:t>PPI/OECD/BU/</w:t>
            </w:r>
            <w:proofErr w:type="spellStart"/>
            <w:r>
              <w:rPr>
                <w:sz w:val="17"/>
                <w:lang w:eastAsia="zh-CN"/>
              </w:rPr>
              <w:t>AidData</w:t>
            </w:r>
            <w:proofErr w:type="spellEnd"/>
            <w:r>
              <w:rPr>
                <w:sz w:val="17"/>
                <w:lang w:eastAsia="zh-CN"/>
              </w:rPr>
              <w:t>；空间结果用</w:t>
            </w:r>
            <w:r>
              <w:rPr>
                <w:sz w:val="17"/>
                <w:lang w:eastAsia="zh-CN"/>
              </w:rPr>
              <w:t>VIIRS</w:t>
            </w:r>
            <w:r>
              <w:rPr>
                <w:sz w:val="17"/>
                <w:lang w:eastAsia="zh-CN"/>
              </w:rPr>
              <w:t>作稳健性。</w:t>
            </w:r>
          </w:p>
        </w:tc>
      </w:tr>
      <w:tr w:rsidR="00881E48" w14:paraId="7AAE0D2D" w14:textId="77777777">
        <w:trPr>
          <w:jc w:val="center"/>
        </w:trPr>
        <w:tc>
          <w:tcPr>
            <w:tcW w:w="2376" w:type="dxa"/>
            <w:tcMar>
              <w:top w:w="80" w:type="dxa"/>
              <w:left w:w="120" w:type="dxa"/>
              <w:bottom w:w="80" w:type="dxa"/>
              <w:right w:w="120" w:type="dxa"/>
            </w:tcMar>
            <w:vAlign w:val="center"/>
          </w:tcPr>
          <w:p w14:paraId="22739B74" w14:textId="77777777" w:rsidR="00881E48" w:rsidRDefault="00000000">
            <w:pPr>
              <w:spacing w:after="0" w:line="269" w:lineRule="auto"/>
              <w:rPr>
                <w:lang w:eastAsia="zh-CN"/>
              </w:rPr>
            </w:pPr>
            <w:r>
              <w:rPr>
                <w:sz w:val="17"/>
                <w:lang w:eastAsia="zh-CN"/>
              </w:rPr>
              <w:t>矿物价格冲击不一定外生</w:t>
            </w:r>
          </w:p>
        </w:tc>
        <w:tc>
          <w:tcPr>
            <w:tcW w:w="6840" w:type="dxa"/>
            <w:tcMar>
              <w:top w:w="80" w:type="dxa"/>
              <w:left w:w="120" w:type="dxa"/>
              <w:bottom w:w="80" w:type="dxa"/>
              <w:right w:w="120" w:type="dxa"/>
            </w:tcMar>
            <w:vAlign w:val="center"/>
          </w:tcPr>
          <w:p w14:paraId="481F7A92" w14:textId="77777777" w:rsidR="00881E48" w:rsidRDefault="00000000">
            <w:pPr>
              <w:spacing w:after="0" w:line="269" w:lineRule="auto"/>
              <w:rPr>
                <w:lang w:eastAsia="zh-CN"/>
              </w:rPr>
            </w:pPr>
            <w:r>
              <w:rPr>
                <w:sz w:val="17"/>
                <w:lang w:eastAsia="zh-CN"/>
              </w:rPr>
              <w:t>全球价格对单个非洲国家基本外生；使用基期暴露度；排除大生产国和单一矿种做稳健性。</w:t>
            </w:r>
          </w:p>
        </w:tc>
      </w:tr>
      <w:tr w:rsidR="00881E48" w14:paraId="6C4784CE" w14:textId="77777777">
        <w:trPr>
          <w:jc w:val="center"/>
        </w:trPr>
        <w:tc>
          <w:tcPr>
            <w:tcW w:w="2376" w:type="dxa"/>
            <w:tcMar>
              <w:top w:w="80" w:type="dxa"/>
              <w:left w:w="120" w:type="dxa"/>
              <w:bottom w:w="80" w:type="dxa"/>
              <w:right w:w="120" w:type="dxa"/>
            </w:tcMar>
            <w:vAlign w:val="center"/>
          </w:tcPr>
          <w:p w14:paraId="023C64E6" w14:textId="77777777" w:rsidR="00881E48" w:rsidRDefault="00000000">
            <w:pPr>
              <w:spacing w:after="0" w:line="269" w:lineRule="auto"/>
            </w:pPr>
            <w:proofErr w:type="spellStart"/>
            <w:r>
              <w:rPr>
                <w:sz w:val="17"/>
              </w:rPr>
              <w:t>融资不是唯一机制</w:t>
            </w:r>
            <w:proofErr w:type="spellEnd"/>
          </w:p>
        </w:tc>
        <w:tc>
          <w:tcPr>
            <w:tcW w:w="6840" w:type="dxa"/>
            <w:tcMar>
              <w:top w:w="80" w:type="dxa"/>
              <w:left w:w="120" w:type="dxa"/>
              <w:bottom w:w="80" w:type="dxa"/>
              <w:right w:w="120" w:type="dxa"/>
            </w:tcMar>
            <w:vAlign w:val="center"/>
          </w:tcPr>
          <w:p w14:paraId="61F76E18" w14:textId="77777777" w:rsidR="00881E48" w:rsidRDefault="00000000">
            <w:pPr>
              <w:spacing w:after="0" w:line="269" w:lineRule="auto"/>
            </w:pPr>
            <w:r>
              <w:rPr>
                <w:sz w:val="17"/>
              </w:rPr>
              <w:t>承认不是唯一机制；主文报告</w:t>
            </w:r>
            <w:r>
              <w:rPr>
                <w:sz w:val="17"/>
              </w:rPr>
              <w:t>reduced-form</w:t>
            </w:r>
            <w:r>
              <w:rPr>
                <w:sz w:val="17"/>
              </w:rPr>
              <w:t>，机制部分检验融资、财政和治理三条渠道，</w:t>
            </w:r>
            <w:r>
              <w:rPr>
                <w:sz w:val="17"/>
              </w:rPr>
              <w:t>2SLS</w:t>
            </w:r>
            <w:r>
              <w:rPr>
                <w:sz w:val="17"/>
              </w:rPr>
              <w:t>只作为补充。</w:t>
            </w:r>
          </w:p>
        </w:tc>
      </w:tr>
      <w:tr w:rsidR="00881E48" w14:paraId="38F21745" w14:textId="77777777">
        <w:trPr>
          <w:jc w:val="center"/>
        </w:trPr>
        <w:tc>
          <w:tcPr>
            <w:tcW w:w="2376" w:type="dxa"/>
            <w:tcMar>
              <w:top w:w="80" w:type="dxa"/>
              <w:left w:w="120" w:type="dxa"/>
              <w:bottom w:w="80" w:type="dxa"/>
              <w:right w:w="120" w:type="dxa"/>
            </w:tcMar>
            <w:vAlign w:val="center"/>
          </w:tcPr>
          <w:p w14:paraId="0EBECDDF" w14:textId="77777777" w:rsidR="00881E48" w:rsidRDefault="00000000">
            <w:pPr>
              <w:spacing w:after="0" w:line="269" w:lineRule="auto"/>
            </w:pPr>
            <w:r>
              <w:rPr>
                <w:sz w:val="17"/>
              </w:rPr>
              <w:t>治理变量也内生</w:t>
            </w:r>
          </w:p>
        </w:tc>
        <w:tc>
          <w:tcPr>
            <w:tcW w:w="6840" w:type="dxa"/>
            <w:tcMar>
              <w:top w:w="80" w:type="dxa"/>
              <w:left w:w="120" w:type="dxa"/>
              <w:bottom w:w="80" w:type="dxa"/>
              <w:right w:w="120" w:type="dxa"/>
            </w:tcMar>
            <w:vAlign w:val="center"/>
          </w:tcPr>
          <w:p w14:paraId="48ECA13A" w14:textId="77777777" w:rsidR="00881E48" w:rsidRDefault="00000000">
            <w:pPr>
              <w:spacing w:after="0" w:line="269" w:lineRule="auto"/>
              <w:rPr>
                <w:lang w:eastAsia="zh-CN"/>
              </w:rPr>
            </w:pPr>
            <w:r>
              <w:rPr>
                <w:sz w:val="17"/>
                <w:lang w:eastAsia="zh-CN"/>
              </w:rPr>
              <w:t>治理变量滞后一期并主要作为调节变量；可使用基期治理或五年移动平均做稳健性。</w:t>
            </w:r>
          </w:p>
        </w:tc>
      </w:tr>
      <w:tr w:rsidR="00881E48" w14:paraId="1E3CA4B8" w14:textId="77777777">
        <w:trPr>
          <w:jc w:val="center"/>
        </w:trPr>
        <w:tc>
          <w:tcPr>
            <w:tcW w:w="2376" w:type="dxa"/>
            <w:tcMar>
              <w:top w:w="80" w:type="dxa"/>
              <w:left w:w="120" w:type="dxa"/>
              <w:bottom w:w="80" w:type="dxa"/>
              <w:right w:w="120" w:type="dxa"/>
            </w:tcMar>
            <w:vAlign w:val="center"/>
          </w:tcPr>
          <w:p w14:paraId="3A738CCE" w14:textId="77777777" w:rsidR="00881E48" w:rsidRDefault="00000000">
            <w:pPr>
              <w:spacing w:after="0" w:line="269" w:lineRule="auto"/>
            </w:pPr>
            <w:proofErr w:type="spellStart"/>
            <w:r>
              <w:rPr>
                <w:sz w:val="17"/>
              </w:rPr>
              <w:t>新增装机建设周期长</w:t>
            </w:r>
            <w:proofErr w:type="spellEnd"/>
          </w:p>
        </w:tc>
        <w:tc>
          <w:tcPr>
            <w:tcW w:w="6840" w:type="dxa"/>
            <w:tcMar>
              <w:top w:w="80" w:type="dxa"/>
              <w:left w:w="120" w:type="dxa"/>
              <w:bottom w:w="80" w:type="dxa"/>
              <w:right w:w="120" w:type="dxa"/>
            </w:tcMar>
            <w:vAlign w:val="center"/>
          </w:tcPr>
          <w:p w14:paraId="7DED9366" w14:textId="77777777" w:rsidR="00881E48" w:rsidRDefault="00000000">
            <w:pPr>
              <w:spacing w:after="0" w:line="269" w:lineRule="auto"/>
              <w:rPr>
                <w:lang w:eastAsia="zh-CN"/>
              </w:rPr>
            </w:pPr>
            <w:r>
              <w:rPr>
                <w:sz w:val="17"/>
                <w:lang w:eastAsia="zh-CN"/>
              </w:rPr>
              <w:t>冲击滞后</w:t>
            </w:r>
            <w:r>
              <w:rPr>
                <w:sz w:val="17"/>
                <w:lang w:eastAsia="zh-CN"/>
              </w:rPr>
              <w:t>1-3</w:t>
            </w:r>
            <w:r>
              <w:rPr>
                <w:sz w:val="17"/>
                <w:lang w:eastAsia="zh-CN"/>
              </w:rPr>
              <w:t>年；项目级模型使用项目阶段或生存模型处理时间到投运。</w:t>
            </w:r>
          </w:p>
        </w:tc>
      </w:tr>
      <w:tr w:rsidR="00881E48" w14:paraId="27D4678E" w14:textId="77777777">
        <w:trPr>
          <w:jc w:val="center"/>
        </w:trPr>
        <w:tc>
          <w:tcPr>
            <w:tcW w:w="2376" w:type="dxa"/>
            <w:tcMar>
              <w:top w:w="80" w:type="dxa"/>
              <w:left w:w="120" w:type="dxa"/>
              <w:bottom w:w="80" w:type="dxa"/>
              <w:right w:w="120" w:type="dxa"/>
            </w:tcMar>
            <w:vAlign w:val="center"/>
          </w:tcPr>
          <w:p w14:paraId="1787F9A4" w14:textId="77777777" w:rsidR="00881E48" w:rsidRDefault="00000000">
            <w:pPr>
              <w:spacing w:after="0" w:line="269" w:lineRule="auto"/>
            </w:pPr>
            <w:proofErr w:type="spellStart"/>
            <w:r>
              <w:rPr>
                <w:sz w:val="17"/>
              </w:rPr>
              <w:t>样本太小</w:t>
            </w:r>
            <w:proofErr w:type="spellEnd"/>
          </w:p>
        </w:tc>
        <w:tc>
          <w:tcPr>
            <w:tcW w:w="6840" w:type="dxa"/>
            <w:tcMar>
              <w:top w:w="80" w:type="dxa"/>
              <w:left w:w="120" w:type="dxa"/>
              <w:bottom w:w="80" w:type="dxa"/>
              <w:right w:w="120" w:type="dxa"/>
            </w:tcMar>
            <w:vAlign w:val="center"/>
          </w:tcPr>
          <w:p w14:paraId="5680D767" w14:textId="77777777" w:rsidR="00881E48" w:rsidRDefault="00000000">
            <w:pPr>
              <w:spacing w:after="0" w:line="269" w:lineRule="auto"/>
              <w:rPr>
                <w:lang w:eastAsia="zh-CN"/>
              </w:rPr>
            </w:pPr>
            <w:r>
              <w:rPr>
                <w:sz w:val="17"/>
                <w:lang w:eastAsia="zh-CN"/>
              </w:rPr>
              <w:t>国家</w:t>
            </w:r>
            <w:r>
              <w:rPr>
                <w:sz w:val="17"/>
                <w:lang w:eastAsia="zh-CN"/>
              </w:rPr>
              <w:t>—</w:t>
            </w:r>
            <w:r>
              <w:rPr>
                <w:sz w:val="17"/>
                <w:lang w:eastAsia="zh-CN"/>
              </w:rPr>
              <w:t>年份面板用于主关系，项目级模型扩充样本，空间</w:t>
            </w:r>
            <w:r>
              <w:rPr>
                <w:sz w:val="17"/>
                <w:lang w:eastAsia="zh-CN"/>
              </w:rPr>
              <w:t>/</w:t>
            </w:r>
            <w:r>
              <w:rPr>
                <w:sz w:val="17"/>
                <w:lang w:eastAsia="zh-CN"/>
              </w:rPr>
              <w:t>夜间灯光用于结果校验。</w:t>
            </w:r>
          </w:p>
        </w:tc>
      </w:tr>
    </w:tbl>
    <w:p w14:paraId="1A9583F6" w14:textId="77777777" w:rsidR="00881E48" w:rsidRDefault="00881E48">
      <w:pPr>
        <w:spacing w:after="40"/>
        <w:rPr>
          <w:lang w:eastAsia="zh-CN"/>
        </w:rPr>
      </w:pPr>
    </w:p>
    <w:p w14:paraId="42FE7D70" w14:textId="3DA5C3F6" w:rsidR="00881E48" w:rsidRDefault="00B06F91" w:rsidP="00B06F91">
      <w:pPr>
        <w:pStyle w:val="a"/>
        <w:numPr>
          <w:ilvl w:val="0"/>
          <w:numId w:val="0"/>
        </w:numPr>
        <w:ind w:left="540"/>
        <w:rPr>
          <w:rFonts w:hint="eastAsia"/>
          <w:lang w:eastAsia="zh-CN"/>
        </w:rPr>
      </w:pPr>
      <w:r>
        <w:rPr>
          <w:rFonts w:hint="eastAsia"/>
          <w:lang w:eastAsia="zh-CN"/>
        </w:rPr>
        <w:t>f</w:t>
      </w:r>
    </w:p>
    <w:sectPr w:rsidR="00881E48" w:rsidSect="00B06F91">
      <w:headerReference w:type="default" r:id="rId8"/>
      <w:footerReference w:type="default" r:id="rId9"/>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2065E" w14:textId="77777777" w:rsidR="005E1360" w:rsidRDefault="005E1360">
      <w:pPr>
        <w:spacing w:after="0" w:line="240" w:lineRule="auto"/>
      </w:pPr>
      <w:r>
        <w:separator/>
      </w:r>
    </w:p>
  </w:endnote>
  <w:endnote w:type="continuationSeparator" w:id="0">
    <w:p w14:paraId="75807C73" w14:textId="77777777" w:rsidR="005E1360" w:rsidRDefault="005E1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C9A71" w14:textId="77777777" w:rsidR="00881E48" w:rsidRDefault="00000000">
    <w:pPr>
      <w:pStyle w:val="a7"/>
      <w:jc w:val="right"/>
    </w:pPr>
    <w:r>
      <w:rPr>
        <w:color w:val="555555"/>
        <w:sz w:val="18"/>
      </w:rPr>
      <w:t xml:space="preserve">Page </w:t>
    </w:r>
    <w:r>
      <w:rPr>
        <w:color w:val="555555"/>
        <w:sz w:val="18"/>
      </w:rPr>
      <w:fldChar w:fldCharType="begin"/>
    </w:r>
    <w:r>
      <w:rPr>
        <w:color w:val="555555"/>
        <w:sz w:val="18"/>
      </w:rPr>
      <w:instrText>PAGE</w:instrText>
    </w:r>
    <w:r w:rsidR="00B06F91">
      <w:rPr>
        <w:color w:val="555555"/>
        <w:sz w:val="18"/>
      </w:rPr>
      <w:fldChar w:fldCharType="separate"/>
    </w:r>
    <w:r w:rsidR="00B06F91">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0A768" w14:textId="77777777" w:rsidR="005E1360" w:rsidRDefault="005E1360">
      <w:pPr>
        <w:spacing w:after="0" w:line="240" w:lineRule="auto"/>
      </w:pPr>
      <w:r>
        <w:separator/>
      </w:r>
    </w:p>
  </w:footnote>
  <w:footnote w:type="continuationSeparator" w:id="0">
    <w:p w14:paraId="7F0EF627" w14:textId="77777777" w:rsidR="005E1360" w:rsidRDefault="005E1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84B0A" w14:textId="77777777" w:rsidR="00881E48" w:rsidRDefault="00000000">
    <w:pPr>
      <w:pStyle w:val="a5"/>
    </w:pPr>
    <w:r>
      <w:rPr>
        <w:color w:val="555555"/>
        <w:sz w:val="18"/>
      </w:rPr>
      <w:t>Africa Energy Transition Proposal | Model Construction and Causal Identification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4636261">
    <w:abstractNumId w:val="8"/>
  </w:num>
  <w:num w:numId="2" w16cid:durableId="1572429215">
    <w:abstractNumId w:val="6"/>
  </w:num>
  <w:num w:numId="3" w16cid:durableId="494148645">
    <w:abstractNumId w:val="5"/>
  </w:num>
  <w:num w:numId="4" w16cid:durableId="996420120">
    <w:abstractNumId w:val="4"/>
  </w:num>
  <w:num w:numId="5" w16cid:durableId="1700005353">
    <w:abstractNumId w:val="7"/>
  </w:num>
  <w:num w:numId="6" w16cid:durableId="452406668">
    <w:abstractNumId w:val="3"/>
  </w:num>
  <w:num w:numId="7" w16cid:durableId="975525329">
    <w:abstractNumId w:val="2"/>
  </w:num>
  <w:num w:numId="8" w16cid:durableId="43143217">
    <w:abstractNumId w:val="1"/>
  </w:num>
  <w:num w:numId="9" w16cid:durableId="900169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1360"/>
    <w:rsid w:val="00881E48"/>
    <w:rsid w:val="00A14A0C"/>
    <w:rsid w:val="00AA1D8D"/>
    <w:rsid w:val="00B06F9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2C6C8"/>
  <w14:defaultImageDpi w14:val="300"/>
  <w15:docId w15:val="{7E299ED9-E837-684E-8161-EEEA1B134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jc w:val="both"/>
    </w:pPr>
    <w:rPr>
      <w:rFonts w:ascii="Calibri" w:eastAsia="宋体" w:hAnsi="Calibri"/>
    </w:rPr>
  </w:style>
  <w:style w:type="paragraph" w:styleId="1">
    <w:name w:val="heading 1"/>
    <w:basedOn w:val="a1"/>
    <w:next w:val="a1"/>
    <w:link w:val="10"/>
    <w:uiPriority w:val="9"/>
    <w:qFormat/>
    <w:rsid w:val="00FC693F"/>
    <w:pPr>
      <w:keepNext/>
      <w:keepLines/>
      <w:spacing w:before="360" w:after="200" w:line="290" w:lineRule="auto"/>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line="290" w:lineRule="auto"/>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line="290" w:lineRule="auto"/>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90" w:lineRule="auto"/>
      <w:ind w:left="540" w:hanging="279"/>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90" w:lineRule="auto"/>
      <w:ind w:left="540" w:hanging="279"/>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B5901</cp:lastModifiedBy>
  <cp:revision>2</cp:revision>
  <dcterms:created xsi:type="dcterms:W3CDTF">2026-05-21T15:34:00Z</dcterms:created>
  <dcterms:modified xsi:type="dcterms:W3CDTF">2026-05-21T15:34:00Z</dcterms:modified>
  <cp:category/>
</cp:coreProperties>
</file>