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BC90" w14:textId="77777777" w:rsidR="00C56AF5" w:rsidRDefault="00000000">
      <w:pPr>
        <w:spacing w:before="480" w:after="480" w:line="288" w:lineRule="auto"/>
        <w:rPr>
          <w:rFonts w:ascii="Arial" w:eastAsia="DengXian" w:hAnsi="Arial" w:cs="Arial"/>
          <w:b/>
          <w:sz w:val="36"/>
          <w:szCs w:val="18"/>
        </w:rPr>
      </w:pPr>
      <w:r w:rsidRPr="00C56AF5">
        <w:rPr>
          <w:rFonts w:ascii="Arial" w:eastAsia="DengXian" w:hAnsi="Arial" w:cs="Arial"/>
          <w:b/>
          <w:sz w:val="36"/>
          <w:szCs w:val="18"/>
        </w:rPr>
        <w:t>二十一世纪的隐性殖民：全球</w:t>
      </w:r>
      <w:r w:rsidRPr="00C56AF5">
        <w:rPr>
          <w:rFonts w:ascii="Arial" w:eastAsia="DengXian" w:hAnsi="Arial" w:cs="Arial"/>
          <w:b/>
          <w:sz w:val="36"/>
          <w:szCs w:val="18"/>
        </w:rPr>
        <w:t>“</w:t>
      </w:r>
      <w:r w:rsidRPr="00C56AF5">
        <w:rPr>
          <w:rFonts w:ascii="Arial" w:eastAsia="DengXian" w:hAnsi="Arial" w:cs="Arial"/>
          <w:b/>
          <w:sz w:val="36"/>
          <w:szCs w:val="18"/>
        </w:rPr>
        <w:t>绿色转型</w:t>
      </w:r>
      <w:r w:rsidRPr="00C56AF5">
        <w:rPr>
          <w:rFonts w:ascii="Arial" w:eastAsia="DengXian" w:hAnsi="Arial" w:cs="Arial"/>
          <w:b/>
          <w:sz w:val="36"/>
          <w:szCs w:val="18"/>
        </w:rPr>
        <w:t>”</w:t>
      </w:r>
      <w:r w:rsidRPr="00C56AF5">
        <w:rPr>
          <w:rFonts w:ascii="Arial" w:eastAsia="DengXian" w:hAnsi="Arial" w:cs="Arial"/>
          <w:b/>
          <w:sz w:val="36"/>
          <w:szCs w:val="18"/>
        </w:rPr>
        <w:t>如何加剧撒哈拉以南非洲的</w:t>
      </w:r>
      <w:r w:rsidRPr="00C56AF5">
        <w:rPr>
          <w:rFonts w:ascii="Arial" w:eastAsia="DengXian" w:hAnsi="Arial" w:cs="Arial"/>
          <w:b/>
          <w:sz w:val="36"/>
          <w:szCs w:val="18"/>
        </w:rPr>
        <w:t>“</w:t>
      </w:r>
      <w:r w:rsidRPr="00C56AF5">
        <w:rPr>
          <w:rFonts w:ascii="Arial" w:eastAsia="DengXian" w:hAnsi="Arial" w:cs="Arial"/>
          <w:b/>
          <w:sz w:val="36"/>
          <w:szCs w:val="18"/>
        </w:rPr>
        <w:t>不公正</w:t>
      </w:r>
      <w:r w:rsidRPr="00C56AF5">
        <w:rPr>
          <w:rFonts w:ascii="Arial" w:eastAsia="DengXian" w:hAnsi="Arial" w:cs="Arial"/>
          <w:b/>
          <w:sz w:val="36"/>
          <w:szCs w:val="18"/>
        </w:rPr>
        <w:t>”</w:t>
      </w:r>
    </w:p>
    <w:p w14:paraId="7D5A610F" w14:textId="2F7D8BED" w:rsidR="00E508AB" w:rsidRPr="00C56AF5" w:rsidRDefault="00000000">
      <w:pPr>
        <w:spacing w:before="480" w:after="480" w:line="288" w:lineRule="auto"/>
        <w:rPr>
          <w:bCs/>
          <w:sz w:val="13"/>
          <w:szCs w:val="15"/>
        </w:rPr>
      </w:pPr>
      <w:r w:rsidRPr="00C56AF5">
        <w:rPr>
          <w:rFonts w:ascii="Arial" w:eastAsia="DengXian" w:hAnsi="Arial" w:cs="Arial"/>
          <w:bCs/>
          <w:sz w:val="28"/>
          <w:szCs w:val="15"/>
        </w:rPr>
        <w:t>——</w:t>
      </w:r>
      <w:r w:rsidRPr="00C56AF5">
        <w:rPr>
          <w:rFonts w:ascii="Arial" w:eastAsia="DengXian" w:hAnsi="Arial" w:cs="Arial"/>
          <w:bCs/>
          <w:sz w:val="28"/>
          <w:szCs w:val="15"/>
        </w:rPr>
        <w:t>基于关键矿产价值链的剥夺与边缘化</w:t>
      </w:r>
    </w:p>
    <w:p w14:paraId="0F4A8A11" w14:textId="6EBB32AB" w:rsidR="00E508AB" w:rsidRPr="00C56AF5" w:rsidRDefault="00000000" w:rsidP="00C56AF5">
      <w:pPr>
        <w:pBdr>
          <w:top w:val="single" w:sz="4" w:space="1" w:color="auto"/>
          <w:bottom w:val="single" w:sz="4" w:space="1" w:color="auto"/>
        </w:pBdr>
        <w:spacing w:before="120" w:after="120" w:line="288" w:lineRule="auto"/>
        <w:rPr>
          <w:rFonts w:ascii="Arial" w:eastAsia="DengXian" w:hAnsi="Arial" w:cs="Arial"/>
          <w:i/>
          <w:iCs/>
        </w:rPr>
      </w:pPr>
      <w:r w:rsidRPr="00C56AF5">
        <w:rPr>
          <w:rFonts w:ascii="Arial" w:eastAsia="DengXian" w:hAnsi="Arial" w:cs="Arial"/>
          <w:b/>
          <w:i/>
          <w:iCs/>
        </w:rPr>
        <w:t>访谈对象</w:t>
      </w:r>
      <w:r w:rsidRPr="00C56AF5">
        <w:rPr>
          <w:rFonts w:ascii="Arial" w:eastAsia="DengXian" w:hAnsi="Arial" w:cs="Arial"/>
          <w:i/>
          <w:iCs/>
        </w:rPr>
        <w:t>：</w:t>
      </w:r>
      <w:proofErr w:type="spellStart"/>
      <w:r w:rsidRPr="00C56AF5">
        <w:rPr>
          <w:rFonts w:ascii="Arial" w:eastAsia="DengXian" w:hAnsi="Arial" w:cs="Arial"/>
          <w:i/>
          <w:iCs/>
        </w:rPr>
        <w:t>Worash</w:t>
      </w:r>
      <w:proofErr w:type="spellEnd"/>
      <w:r w:rsidRPr="00C56AF5">
        <w:rPr>
          <w:rFonts w:ascii="Arial" w:eastAsia="DengXian" w:hAnsi="Arial" w:cs="Arial"/>
          <w:i/>
          <w:iCs/>
        </w:rPr>
        <w:t xml:space="preserve"> Getaneh</w:t>
      </w:r>
      <w:r w:rsidRPr="00C56AF5">
        <w:rPr>
          <w:rFonts w:ascii="Arial" w:eastAsia="DengXian" w:hAnsi="Arial" w:cs="Arial"/>
          <w:i/>
          <w:iCs/>
        </w:rPr>
        <w:t>（亚的斯亚贝巴大学</w:t>
      </w:r>
      <w:r w:rsidR="00C56AF5" w:rsidRPr="00C56AF5">
        <w:rPr>
          <w:rStyle w:val="a5"/>
          <w:rFonts w:ascii="Segoe UI" w:hAnsi="Segoe UI" w:cs="Segoe UI"/>
          <w:b w:val="0"/>
          <w:bCs w:val="0"/>
          <w:i/>
          <w:iCs/>
          <w:color w:val="1A2029"/>
          <w:bdr w:val="none" w:sz="0" w:space="0" w:color="auto" w:frame="1"/>
          <w:shd w:val="clear" w:color="auto" w:fill="FFFFFF"/>
        </w:rPr>
        <w:t>研究与创新副校长</w:t>
      </w:r>
      <w:r w:rsidR="00C56AF5" w:rsidRPr="00C56AF5">
        <w:rPr>
          <w:rStyle w:val="a5"/>
          <w:rFonts w:ascii="Segoe UI" w:hAnsi="Segoe UI" w:cs="Segoe UI" w:hint="eastAsia"/>
          <w:b w:val="0"/>
          <w:bCs w:val="0"/>
          <w:i/>
          <w:iCs/>
          <w:color w:val="1A2029"/>
          <w:bdr w:val="none" w:sz="0" w:space="0" w:color="auto" w:frame="1"/>
          <w:shd w:val="clear" w:color="auto" w:fill="FFFFFF"/>
        </w:rPr>
        <w:t>，</w:t>
      </w:r>
      <w:r w:rsidRPr="00C56AF5">
        <w:rPr>
          <w:rFonts w:ascii="Arial" w:eastAsia="DengXian" w:hAnsi="Arial" w:cs="Arial"/>
          <w:i/>
          <w:iCs/>
        </w:rPr>
        <w:t>地球科学学院教授，经济地质与矿山环境专家）</w:t>
      </w:r>
    </w:p>
    <w:p w14:paraId="1FB6FF6E" w14:textId="2A245FA3" w:rsidR="00C56AF5" w:rsidRPr="00C56AF5" w:rsidRDefault="00C56AF5" w:rsidP="00C56AF5">
      <w:pPr>
        <w:pBdr>
          <w:top w:val="single" w:sz="4" w:space="1" w:color="auto"/>
          <w:bottom w:val="single" w:sz="4" w:space="1" w:color="auto"/>
        </w:pBdr>
        <w:spacing w:before="120" w:after="120" w:line="288" w:lineRule="auto"/>
        <w:rPr>
          <w:rFonts w:hint="eastAsia"/>
          <w:i/>
          <w:iCs/>
        </w:rPr>
      </w:pPr>
      <w:r w:rsidRPr="00C56AF5">
        <w:rPr>
          <w:rFonts w:ascii="Arial" w:eastAsia="DengXian" w:hAnsi="Arial" w:cs="Arial" w:hint="eastAsia"/>
          <w:b/>
          <w:bCs/>
          <w:i/>
          <w:iCs/>
        </w:rPr>
        <w:t>联系方式</w:t>
      </w:r>
      <w:r w:rsidRPr="00C56AF5">
        <w:rPr>
          <w:rFonts w:ascii="Arial" w:eastAsia="DengXian" w:hAnsi="Arial" w:cs="Arial" w:hint="eastAsia"/>
          <w:i/>
          <w:iCs/>
        </w:rPr>
        <w:t>：</w:t>
      </w:r>
      <w:hyperlink r:id="rId6" w:history="1">
        <w:r w:rsidRPr="00C56AF5">
          <w:rPr>
            <w:rStyle w:val="a3"/>
            <w:rFonts w:ascii="Arial" w:eastAsia="DengXian" w:hAnsi="Arial" w:cs="Arial"/>
            <w:i/>
            <w:iCs/>
          </w:rPr>
          <w:t>wgs40@outlook.com</w:t>
        </w:r>
      </w:hyperlink>
      <w:r w:rsidRPr="00C56AF5">
        <w:rPr>
          <w:rFonts w:ascii="Arial" w:eastAsia="DengXian" w:hAnsi="Arial" w:cs="Arial" w:hint="eastAsia"/>
          <w:i/>
          <w:iCs/>
        </w:rPr>
        <w:t>（非常乐意进一步关注该研究并交流）</w:t>
      </w:r>
    </w:p>
    <w:p w14:paraId="399F6D31" w14:textId="77777777" w:rsidR="00E508AB" w:rsidRPr="00C56AF5" w:rsidRDefault="00000000" w:rsidP="00C56AF5">
      <w:pPr>
        <w:pBdr>
          <w:top w:val="single" w:sz="4" w:space="1" w:color="auto"/>
          <w:bottom w:val="single" w:sz="4" w:space="1" w:color="auto"/>
        </w:pBdr>
        <w:spacing w:before="120" w:after="120" w:line="288" w:lineRule="auto"/>
        <w:rPr>
          <w:i/>
          <w:iCs/>
        </w:rPr>
      </w:pPr>
      <w:r w:rsidRPr="00C56AF5">
        <w:rPr>
          <w:rFonts w:ascii="Arial" w:eastAsia="DengXian" w:hAnsi="Arial" w:cs="Arial"/>
          <w:b/>
          <w:i/>
          <w:iCs/>
        </w:rPr>
        <w:t>访谈时间</w:t>
      </w:r>
      <w:r w:rsidRPr="00C56AF5">
        <w:rPr>
          <w:rFonts w:ascii="Arial" w:eastAsia="DengXian" w:hAnsi="Arial" w:cs="Arial"/>
          <w:i/>
          <w:iCs/>
        </w:rPr>
        <w:t>：</w:t>
      </w:r>
      <w:r w:rsidRPr="00C56AF5">
        <w:rPr>
          <w:rFonts w:ascii="Arial" w:eastAsia="DengXian" w:hAnsi="Arial" w:cs="Arial"/>
          <w:i/>
          <w:iCs/>
        </w:rPr>
        <w:t>2026</w:t>
      </w:r>
      <w:r w:rsidRPr="00C56AF5">
        <w:rPr>
          <w:rFonts w:ascii="Arial" w:eastAsia="DengXian" w:hAnsi="Arial" w:cs="Arial"/>
          <w:i/>
          <w:iCs/>
        </w:rPr>
        <w:t>年</w:t>
      </w:r>
      <w:r w:rsidRPr="00C56AF5">
        <w:rPr>
          <w:rFonts w:ascii="Arial" w:eastAsia="DengXian" w:hAnsi="Arial" w:cs="Arial"/>
          <w:i/>
          <w:iCs/>
        </w:rPr>
        <w:t>5</w:t>
      </w:r>
      <w:r w:rsidRPr="00C56AF5">
        <w:rPr>
          <w:rFonts w:ascii="Arial" w:eastAsia="DengXian" w:hAnsi="Arial" w:cs="Arial"/>
          <w:i/>
          <w:iCs/>
        </w:rPr>
        <w:t>月</w:t>
      </w:r>
      <w:r w:rsidRPr="00C56AF5">
        <w:rPr>
          <w:rFonts w:ascii="Arial" w:eastAsia="DengXian" w:hAnsi="Arial" w:cs="Arial"/>
          <w:i/>
          <w:iCs/>
        </w:rPr>
        <w:t>23</w:t>
      </w:r>
      <w:r w:rsidRPr="00C56AF5">
        <w:rPr>
          <w:rFonts w:ascii="Arial" w:eastAsia="DengXian" w:hAnsi="Arial" w:cs="Arial"/>
          <w:i/>
          <w:iCs/>
        </w:rPr>
        <w:t>日</w:t>
      </w:r>
    </w:p>
    <w:p w14:paraId="342CC16D" w14:textId="25727329" w:rsidR="00E508A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这是一个跨越经济学、政治学和生态学的重大前沿议题。全球北方主导的绿色转型正以一种悖论的方式运行：为了实现自身的低碳与公正，正在加剧撒哈拉以南非洲的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不绿色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与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不公正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。本次访谈旨在实证揭示这一问题的存在及其运行机制，即：非洲如何被结构性锁定在全球价值链的底端，并从这场绿色浪潮中被系统性排除。</w:t>
      </w:r>
    </w:p>
    <w:p w14:paraId="34053728" w14:textId="77777777" w:rsidR="00E508AB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>一、问题的实证界定：不公正转型的现实表征</w:t>
      </w:r>
      <w:bookmarkEnd w:id="0"/>
    </w:p>
    <w:p w14:paraId="4721DB16" w14:textId="74A3792F" w:rsidR="00E508A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研究的首要任务是打破绿色转型天然具有道德正当性的滤镜，用实证数据证明这种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隐性殖民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的存在：</w:t>
      </w:r>
    </w:p>
    <w:p w14:paraId="78DEC7DC" w14:textId="77777777" w:rsidR="00E508AB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价值捕获的极度不对称</w:t>
      </w:r>
      <w:r>
        <w:rPr>
          <w:rFonts w:ascii="Arial" w:eastAsia="DengXian" w:hAnsi="Arial" w:cs="Arial"/>
        </w:rPr>
        <w:t>：全球北方的可再生能源产业高度依赖非洲的关键矿产，但非洲仅作为廉价原材料的附庸。关键矿物以极低的价格离境，经全球北方加工制造成新能源装备后，又以指数级的溢价反销回非洲。</w:t>
      </w:r>
    </w:p>
    <w:p w14:paraId="15A64034" w14:textId="77777777" w:rsidR="00E508AB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发展红利的系统性剥夺</w:t>
      </w:r>
      <w:r>
        <w:rPr>
          <w:rFonts w:ascii="Arial" w:eastAsia="DengXian" w:hAnsi="Arial" w:cs="Arial"/>
        </w:rPr>
        <w:t>：尽管出口着支撑全球绿色的资源，非洲却未能实现任何实质性的产业升级或发展红利，更遑论自身的绿色转型</w:t>
      </w:r>
      <w:r>
        <w:rPr>
          <w:rFonts w:ascii="Arial" w:eastAsia="DengXian" w:hAnsi="Arial" w:cs="Arial"/>
        </w:rPr>
        <w:t>——</w:t>
      </w:r>
      <w:r>
        <w:rPr>
          <w:rFonts w:ascii="Arial" w:eastAsia="DengXian" w:hAnsi="Arial" w:cs="Arial"/>
        </w:rPr>
        <w:t>撒哈拉以南非洲仍有近一半人口无法接入现代电力。</w:t>
      </w:r>
    </w:p>
    <w:p w14:paraId="25F9D958" w14:textId="77777777" w:rsidR="00E508AB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生态与社会成本的地方化</w:t>
      </w:r>
      <w:r>
        <w:rPr>
          <w:rFonts w:ascii="Arial" w:eastAsia="DengXian" w:hAnsi="Arial" w:cs="Arial"/>
        </w:rPr>
        <w:t>：资源开采伴随的本土环境破坏和自然资源掠夺，其代价完全由非洲当地社区承担，形成了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全球受益、本地买单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的生态不等价交换。</w:t>
      </w:r>
    </w:p>
    <w:p w14:paraId="7D13BF42" w14:textId="11303EB2" w:rsidR="00E508AB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DengXian" w:hAnsi="Arial" w:cs="Arial"/>
          <w:b/>
          <w:sz w:val="32"/>
        </w:rPr>
        <w:t>二、方法论挑战：揭示隐性剥削的数据黑洞</w:t>
      </w:r>
      <w:bookmarkEnd w:id="1"/>
    </w:p>
    <w:p w14:paraId="799D5350" w14:textId="4DDA6E71" w:rsidR="00E508A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要将上述问题从现象观察上升为学术证成，面临极大的数据与测度挑战，这本身也是全球北方掩盖不平等的机制之一：</w:t>
      </w:r>
    </w:p>
    <w:p w14:paraId="23922C82" w14:textId="77777777" w:rsidR="00E508AB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跨国公司的信息黑箱</w:t>
      </w:r>
      <w:r>
        <w:rPr>
          <w:rFonts w:ascii="Arial" w:eastAsia="DengXian" w:hAnsi="Arial" w:cs="Arial"/>
        </w:rPr>
        <w:t>：关键矿产的开采量、离岸价格与利润分配等核心数据披露严重不足。西方跨国开发商往往以商业机密为由拒绝透明化，即使披露，其真实性与完整</w:t>
      </w:r>
      <w:r>
        <w:rPr>
          <w:rFonts w:ascii="Arial" w:eastAsia="DengXian" w:hAnsi="Arial" w:cs="Arial"/>
        </w:rPr>
        <w:lastRenderedPageBreak/>
        <w:t>性亦存疑。</w:t>
      </w:r>
    </w:p>
    <w:p w14:paraId="39C2483A" w14:textId="58470CE7" w:rsidR="00E508AB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非正规经济的隐形化</w:t>
      </w:r>
      <w:r>
        <w:rPr>
          <w:rFonts w:ascii="Arial" w:eastAsia="DengXian" w:hAnsi="Arial" w:cs="Arial"/>
        </w:rPr>
        <w:t>：在正规采矿之外，庞大的非法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手工采矿、地下交易与走私构成了产业链的暗面。这部分最直接体现底层剥削的数据，在官方统计中被系统性抹除。</w:t>
      </w:r>
    </w:p>
    <w:p w14:paraId="6D599A1B" w14:textId="6D409186" w:rsidR="00E508AB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</w:rPr>
        <w:t>供应链的中间商迷雾</w:t>
      </w:r>
      <w:r>
        <w:rPr>
          <w:rFonts w:ascii="Arial" w:eastAsia="DengXian" w:hAnsi="Arial" w:cs="Arial"/>
        </w:rPr>
        <w:t>：真实的贸易链路极为冗长，并非简单的</w:t>
      </w:r>
      <w:r>
        <w:rPr>
          <w:rFonts w:ascii="Arial" w:eastAsia="DengXian" w:hAnsi="Arial" w:cs="Arial"/>
        </w:rPr>
        <w:t>“</w:t>
      </w:r>
      <w:r w:rsidR="00C56AF5">
        <w:rPr>
          <w:rFonts w:ascii="Arial" w:eastAsia="DengXian" w:hAnsi="Arial" w:cs="Arial" w:hint="eastAsia"/>
        </w:rPr>
        <w:t>全球南方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全球北方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双边交易。复杂的中间商网络掩盖了利润转移的节点，使得价值漏出的追踪变得极其困难。</w:t>
      </w:r>
    </w:p>
    <w:p w14:paraId="2179F120" w14:textId="77777777" w:rsidR="00E508AB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DengXian" w:hAnsi="Arial" w:cs="Arial"/>
          <w:b/>
          <w:sz w:val="32"/>
        </w:rPr>
        <w:t>三、问题成因的深度剖析：买方垄断、制度真空与精英捕获</w:t>
      </w:r>
      <w:bookmarkEnd w:id="2"/>
    </w:p>
    <w:p w14:paraId="5E242114" w14:textId="77777777" w:rsidR="00E508A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这一问题的持续存在，是全球北方结构性压制与非洲内部治理失效交织的必然结果：</w:t>
      </w:r>
    </w:p>
    <w:p w14:paraId="2B15EEE8" w14:textId="01290A02" w:rsidR="00E508AB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DengXian" w:hAnsi="Arial" w:cs="Arial"/>
          <w:b/>
          <w:sz w:val="30"/>
        </w:rPr>
        <w:t>（一）全球北方的结构性垄断与能力壁垒</w:t>
      </w:r>
      <w:bookmarkEnd w:id="3"/>
    </w:p>
    <w:p w14:paraId="037B10AD" w14:textId="77777777" w:rsidR="00E508A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非洲虽拥有资源禀赋，但在开采技术、专业人才与资金上几乎处于真空状态（例如非洲本土关键矿产领域的高等教育及科研力量微乎其微）。这种极端不对称使得全球北方牢牢掌握定价权与规则制定权。此外，全球北方缺乏推动非洲能力建设的意愿，其态度往往完全服务于自身利益最大化。甚至有理由怀疑，全球北方存在隐性的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离岸平衡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策略</w:t>
      </w:r>
      <w:r>
        <w:rPr>
          <w:rFonts w:ascii="Arial" w:eastAsia="DengXian" w:hAnsi="Arial" w:cs="Arial"/>
        </w:rPr>
        <w:t>——</w:t>
      </w:r>
      <w:r>
        <w:rPr>
          <w:rFonts w:ascii="Arial" w:eastAsia="DengXian" w:hAnsi="Arial" w:cs="Arial"/>
        </w:rPr>
        <w:t>通过挑起或默许资源富集区的内部冲突，确保非洲始终处于缺乏强有力政府和权威的碎片化状态，从而为跨国资本以最低成本攫取资源创造条件。</w:t>
      </w:r>
    </w:p>
    <w:p w14:paraId="233B80E2" w14:textId="074BE35F" w:rsidR="00E508AB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DengXian" w:hAnsi="Arial" w:cs="Arial"/>
          <w:b/>
          <w:sz w:val="30"/>
        </w:rPr>
        <w:t>（二）非洲内部的治理溃败与精英捕获</w:t>
      </w:r>
      <w:bookmarkEnd w:id="4"/>
    </w:p>
    <w:p w14:paraId="3CCC353E" w14:textId="77777777" w:rsidR="00E508A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非洲国家自身亦难辞其咎。在制度层面，针对关键矿产的本土立法、产业政策与利益留存机制严重缺失；即便存在，也往往缺乏科学性、公信力与执行效力。长期的内战与政权更迭导致政策极不稳定，无法形成长期的产业发展规划。在社会层面，严重的腐败与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精英捕获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使得微薄的资源红利和外部投资流入上层利益集团的口袋，而非转化为惠及广大民众的公共产品。</w:t>
      </w:r>
    </w:p>
    <w:p w14:paraId="01236EE2" w14:textId="77777777" w:rsidR="00E508AB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DengXian" w:hAnsi="Arial" w:cs="Arial"/>
          <w:b/>
          <w:sz w:val="32"/>
        </w:rPr>
        <w:t>四、对本研究的核心镜鉴：从宏观批判到实证追踪</w:t>
      </w:r>
      <w:bookmarkEnd w:id="5"/>
    </w:p>
    <w:p w14:paraId="47618208" w14:textId="4672E7B5" w:rsidR="00E508A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基于上述分析，本研究的落脚点须从宏观批判转向微观实证，核心</w:t>
      </w:r>
      <w:r w:rsidR="00C56AF5">
        <w:rPr>
          <w:rFonts w:ascii="Arial" w:eastAsia="DengXian" w:hAnsi="Arial" w:cs="Arial" w:hint="eastAsia"/>
        </w:rPr>
        <w:t>可</w:t>
      </w:r>
      <w:r>
        <w:rPr>
          <w:rFonts w:ascii="Arial" w:eastAsia="DengXian" w:hAnsi="Arial" w:cs="Arial"/>
        </w:rPr>
        <w:t>聚焦于以下关键问题：</w:t>
      </w:r>
    </w:p>
    <w:p w14:paraId="02C65403" w14:textId="77777777" w:rsidR="00E508AB" w:rsidRPr="00C56AF5" w:rsidRDefault="00000000">
      <w:pPr>
        <w:spacing w:before="120" w:after="120" w:line="288" w:lineRule="auto"/>
        <w:rPr>
          <w:b/>
          <w:bCs/>
          <w:i/>
          <w:iCs/>
          <w:u w:val="single"/>
        </w:rPr>
      </w:pPr>
      <w:r w:rsidRPr="00C56AF5">
        <w:rPr>
          <w:rFonts w:ascii="Arial" w:eastAsia="DengXian" w:hAnsi="Arial" w:cs="Arial"/>
          <w:b/>
          <w:bCs/>
          <w:i/>
          <w:iCs/>
          <w:u w:val="single"/>
        </w:rPr>
        <w:t>撒哈拉以南非洲的关键矿产产业链上，价值与利润究竟流向了何方？</w:t>
      </w:r>
    </w:p>
    <w:p w14:paraId="0D91B3A3" w14:textId="68248D13" w:rsidR="00E508AB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需要穿透数据黑洞，重构从矿石开采、中间商交易、离岸定价到精深加工的价值流向图谱；</w:t>
      </w:r>
    </w:p>
    <w:p w14:paraId="3E97A97F" w14:textId="5D450152" w:rsidR="00E508A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量化各个环节的利润分配比例，实证揭示全球北方资本、中间商网络与非洲本土精英如何在瓜分资源红利的同时，将生态成本与发展停滞留给了非洲底层。</w:t>
      </w:r>
    </w:p>
    <w:sectPr w:rsidR="00E508AB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E67F1" w14:textId="77777777" w:rsidR="008A6F99" w:rsidRDefault="008A6F99">
      <w:pPr>
        <w:spacing w:after="0" w:line="240" w:lineRule="auto"/>
      </w:pPr>
      <w:r>
        <w:separator/>
      </w:r>
    </w:p>
  </w:endnote>
  <w:endnote w:type="continuationSeparator" w:id="0">
    <w:p w14:paraId="5C82FA38" w14:textId="77777777" w:rsidR="008A6F99" w:rsidRDefault="008A6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4024C" w14:textId="77777777" w:rsidR="00E508AB" w:rsidRDefault="00E508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670D8" w14:textId="77777777" w:rsidR="008A6F99" w:rsidRDefault="008A6F99">
      <w:pPr>
        <w:spacing w:after="0" w:line="240" w:lineRule="auto"/>
      </w:pPr>
      <w:r>
        <w:separator/>
      </w:r>
    </w:p>
  </w:footnote>
  <w:footnote w:type="continuationSeparator" w:id="0">
    <w:p w14:paraId="3F967B1F" w14:textId="77777777" w:rsidR="008A6F99" w:rsidRDefault="008A6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41C0" w14:textId="77777777" w:rsidR="00E508AB" w:rsidRDefault="00E508A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AB"/>
    <w:rsid w:val="008A6F99"/>
    <w:rsid w:val="00A14A0C"/>
    <w:rsid w:val="00C56AF5"/>
    <w:rsid w:val="00E5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8FDD3"/>
  <w15:docId w15:val="{7E299ED9-E837-684E-8161-EEEA1B13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6AF5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56AF5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C56A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wgs40@outlook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B5901</cp:lastModifiedBy>
  <cp:revision>2</cp:revision>
  <dcterms:created xsi:type="dcterms:W3CDTF">2026-05-23T10:54:00Z</dcterms:created>
  <dcterms:modified xsi:type="dcterms:W3CDTF">2026-05-23T10:54:00Z</dcterms:modified>
</cp:coreProperties>
</file>