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00D9" w14:textId="77777777" w:rsidR="00277203" w:rsidRDefault="00277203">
      <w:pPr>
        <w:pStyle w:val="aa"/>
        <w:jc w:val="center"/>
        <w:rPr>
          <w:rFonts w:ascii="Calibri" w:eastAsia="宋体" w:hAnsi="Calibri"/>
          <w:b/>
          <w:lang w:eastAsia="zh-CN"/>
        </w:rPr>
      </w:pPr>
    </w:p>
    <w:p w14:paraId="11EB6B4E" w14:textId="2430F46F" w:rsidR="000E7B82" w:rsidRDefault="00000000">
      <w:pPr>
        <w:pStyle w:val="aa"/>
        <w:jc w:val="center"/>
        <w:rPr>
          <w:lang w:eastAsia="zh-CN"/>
        </w:rPr>
      </w:pPr>
      <w:r>
        <w:rPr>
          <w:rFonts w:ascii="Calibri" w:eastAsia="宋体" w:hAnsi="Calibri"/>
          <w:b/>
          <w:lang w:eastAsia="zh-CN"/>
        </w:rPr>
        <w:t>全球能源转型中的</w:t>
      </w:r>
      <w:r>
        <w:rPr>
          <w:rFonts w:ascii="Calibri" w:eastAsia="宋体" w:hAnsi="Calibri"/>
          <w:b/>
          <w:lang w:eastAsia="zh-CN"/>
        </w:rPr>
        <w:t>“</w:t>
      </w:r>
      <w:r>
        <w:rPr>
          <w:rFonts w:ascii="Calibri" w:eastAsia="宋体" w:hAnsi="Calibri"/>
          <w:b/>
          <w:lang w:eastAsia="zh-CN"/>
        </w:rPr>
        <w:t>非洲纽带</w:t>
      </w:r>
      <w:r>
        <w:rPr>
          <w:rFonts w:ascii="Calibri" w:eastAsia="宋体" w:hAnsi="Calibri"/>
          <w:b/>
          <w:lang w:eastAsia="zh-CN"/>
        </w:rPr>
        <w:t>”</w:t>
      </w:r>
    </w:p>
    <w:p w14:paraId="0F8051E0" w14:textId="69C7B16C" w:rsidR="000E7B82" w:rsidRDefault="00000000">
      <w:pPr>
        <w:jc w:val="center"/>
        <w:rPr>
          <w:b/>
          <w:color w:val="1F4D78"/>
          <w:sz w:val="30"/>
          <w:lang w:eastAsia="zh-CN"/>
        </w:rPr>
      </w:pPr>
      <w:r>
        <w:rPr>
          <w:b/>
          <w:color w:val="1F4D78"/>
          <w:sz w:val="30"/>
          <w:lang w:eastAsia="zh-CN"/>
        </w:rPr>
        <w:t>资源双重性、国际融资博弈与治理溢出效应</w:t>
      </w:r>
    </w:p>
    <w:p w14:paraId="0D4042BA" w14:textId="14256733" w:rsidR="00B12449" w:rsidRPr="00B12449" w:rsidRDefault="00B12449">
      <w:pPr>
        <w:jc w:val="center"/>
        <w:rPr>
          <w:rFonts w:hint="eastAsia"/>
          <w:lang w:eastAsia="zh-CN"/>
        </w:rPr>
      </w:pPr>
      <w:r>
        <w:rPr>
          <w:rFonts w:hint="eastAsia"/>
          <w:b/>
          <w:color w:val="1F4D78"/>
          <w:sz w:val="30"/>
          <w:lang w:eastAsia="zh-CN"/>
        </w:rPr>
        <w:t>（基于</w:t>
      </w:r>
      <w:r>
        <w:rPr>
          <w:rFonts w:hint="eastAsia"/>
          <w:b/>
          <w:color w:val="1F4D78"/>
          <w:sz w:val="30"/>
          <w:lang w:eastAsia="zh-CN"/>
        </w:rPr>
        <w:t>GIS</w:t>
      </w:r>
      <w:r>
        <w:rPr>
          <w:rFonts w:hint="eastAsia"/>
          <w:b/>
          <w:color w:val="1F4D78"/>
          <w:sz w:val="30"/>
          <w:lang w:eastAsia="zh-CN"/>
        </w:rPr>
        <w:t>网格、项目级数据与</w:t>
      </w:r>
      <w:r>
        <w:rPr>
          <w:rFonts w:hint="eastAsia"/>
          <w:b/>
          <w:color w:val="1F4D78"/>
          <w:sz w:val="30"/>
          <w:lang w:eastAsia="zh-CN"/>
        </w:rPr>
        <w:t>SEM</w:t>
      </w:r>
      <w:r>
        <w:rPr>
          <w:rFonts w:hint="eastAsia"/>
          <w:b/>
          <w:color w:val="1F4D78"/>
          <w:sz w:val="30"/>
          <w:lang w:eastAsia="zh-CN"/>
        </w:rPr>
        <w:t>因果推断）</w:t>
      </w:r>
    </w:p>
    <w:p w14:paraId="48D1BD3D" w14:textId="77777777" w:rsidR="000E7B82" w:rsidRDefault="00000000">
      <w:pPr>
        <w:spacing w:after="400"/>
        <w:jc w:val="center"/>
      </w:pPr>
      <w:r>
        <w:rPr>
          <w:i/>
          <w:color w:val="555555"/>
        </w:rPr>
        <w:t>The Africa Nexus in Global Energy Transition: Dual Resource Endowment, International Financial Geopolitics, and Governance Spillovers</w:t>
      </w:r>
    </w:p>
    <w:p w14:paraId="3155B636" w14:textId="77777777" w:rsidR="000E7B82" w:rsidRDefault="000E7B82">
      <w:pPr>
        <w:pBdr>
          <w:bottom w:val="single" w:sz="12" w:space="4" w:color="2E74B5"/>
        </w:pBdr>
        <w:spacing w:after="280"/>
      </w:pPr>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088"/>
        <w:gridCol w:w="7272"/>
      </w:tblGrid>
      <w:tr w:rsidR="000E7B82" w14:paraId="79D517C2" w14:textId="77777777">
        <w:trPr>
          <w:jc w:val="center"/>
        </w:trPr>
        <w:tc>
          <w:tcPr>
            <w:tcW w:w="2088" w:type="dxa"/>
            <w:shd w:val="clear" w:color="auto" w:fill="F4F6F9"/>
            <w:tcMar>
              <w:top w:w="80" w:type="dxa"/>
              <w:left w:w="120" w:type="dxa"/>
              <w:bottom w:w="80" w:type="dxa"/>
              <w:right w:w="120" w:type="dxa"/>
            </w:tcMar>
            <w:vAlign w:val="center"/>
          </w:tcPr>
          <w:p w14:paraId="403C026B" w14:textId="77777777" w:rsidR="000E7B82" w:rsidRDefault="00000000">
            <w:pPr>
              <w:spacing w:after="0" w:line="276" w:lineRule="auto"/>
            </w:pPr>
            <w:proofErr w:type="spellStart"/>
            <w:r>
              <w:rPr>
                <w:b/>
                <w:color w:val="0B2545"/>
                <w:sz w:val="19"/>
              </w:rPr>
              <w:t>研究定位</w:t>
            </w:r>
            <w:proofErr w:type="spellEnd"/>
          </w:p>
        </w:tc>
        <w:tc>
          <w:tcPr>
            <w:tcW w:w="7272" w:type="dxa"/>
            <w:tcMar>
              <w:top w:w="80" w:type="dxa"/>
              <w:left w:w="120" w:type="dxa"/>
              <w:bottom w:w="80" w:type="dxa"/>
              <w:right w:w="120" w:type="dxa"/>
            </w:tcMar>
            <w:vAlign w:val="center"/>
          </w:tcPr>
          <w:p w14:paraId="5935A3AD" w14:textId="0F0D6E64" w:rsidR="000E7B82" w:rsidRDefault="00000000">
            <w:pPr>
              <w:spacing w:after="0" w:line="276" w:lineRule="auto"/>
              <w:rPr>
                <w:lang w:eastAsia="zh-CN"/>
              </w:rPr>
            </w:pPr>
            <w:r>
              <w:rPr>
                <w:sz w:val="19"/>
                <w:lang w:eastAsia="zh-CN"/>
              </w:rPr>
              <w:t>计量经济学</w:t>
            </w:r>
            <w:r>
              <w:rPr>
                <w:sz w:val="19"/>
                <w:lang w:eastAsia="zh-CN"/>
              </w:rPr>
              <w:t xml:space="preserve"> ×</w:t>
            </w:r>
            <w:r>
              <w:rPr>
                <w:sz w:val="19"/>
                <w:lang w:eastAsia="zh-CN"/>
              </w:rPr>
              <w:t>政治经济学</w:t>
            </w:r>
          </w:p>
        </w:tc>
      </w:tr>
      <w:tr w:rsidR="000E7B82" w14:paraId="7FB05462" w14:textId="77777777">
        <w:trPr>
          <w:jc w:val="center"/>
        </w:trPr>
        <w:tc>
          <w:tcPr>
            <w:tcW w:w="2088" w:type="dxa"/>
            <w:shd w:val="clear" w:color="auto" w:fill="F4F6F9"/>
            <w:tcMar>
              <w:top w:w="80" w:type="dxa"/>
              <w:left w:w="120" w:type="dxa"/>
              <w:bottom w:w="80" w:type="dxa"/>
              <w:right w:w="120" w:type="dxa"/>
            </w:tcMar>
            <w:vAlign w:val="center"/>
          </w:tcPr>
          <w:p w14:paraId="59F0DFAA" w14:textId="77777777" w:rsidR="000E7B82" w:rsidRDefault="00000000">
            <w:pPr>
              <w:spacing w:after="0" w:line="276" w:lineRule="auto"/>
            </w:pPr>
            <w:proofErr w:type="spellStart"/>
            <w:r>
              <w:rPr>
                <w:b/>
                <w:color w:val="0B2545"/>
                <w:sz w:val="19"/>
              </w:rPr>
              <w:t>核心对象</w:t>
            </w:r>
            <w:proofErr w:type="spellEnd"/>
          </w:p>
        </w:tc>
        <w:tc>
          <w:tcPr>
            <w:tcW w:w="7272" w:type="dxa"/>
            <w:tcMar>
              <w:top w:w="80" w:type="dxa"/>
              <w:left w:w="120" w:type="dxa"/>
              <w:bottom w:w="80" w:type="dxa"/>
              <w:right w:w="120" w:type="dxa"/>
            </w:tcMar>
            <w:vAlign w:val="center"/>
          </w:tcPr>
          <w:p w14:paraId="08C16E47" w14:textId="77777777" w:rsidR="000E7B82" w:rsidRDefault="00000000">
            <w:pPr>
              <w:spacing w:after="0" w:line="276" w:lineRule="auto"/>
              <w:rPr>
                <w:lang w:eastAsia="zh-CN"/>
              </w:rPr>
            </w:pPr>
            <w:r>
              <w:rPr>
                <w:sz w:val="19"/>
                <w:lang w:eastAsia="zh-CN"/>
              </w:rPr>
              <w:t>非洲关键矿物、可再生能源、国际融资与国内治理的耦合机制</w:t>
            </w:r>
          </w:p>
        </w:tc>
      </w:tr>
      <w:tr w:rsidR="000E7B82" w14:paraId="36304915" w14:textId="77777777">
        <w:trPr>
          <w:jc w:val="center"/>
        </w:trPr>
        <w:tc>
          <w:tcPr>
            <w:tcW w:w="2088" w:type="dxa"/>
            <w:shd w:val="clear" w:color="auto" w:fill="F4F6F9"/>
            <w:tcMar>
              <w:top w:w="80" w:type="dxa"/>
              <w:left w:w="120" w:type="dxa"/>
              <w:bottom w:w="80" w:type="dxa"/>
              <w:right w:w="120" w:type="dxa"/>
            </w:tcMar>
            <w:vAlign w:val="center"/>
          </w:tcPr>
          <w:p w14:paraId="2AA23574" w14:textId="77777777" w:rsidR="000E7B82" w:rsidRDefault="00000000">
            <w:pPr>
              <w:spacing w:after="0" w:line="276" w:lineRule="auto"/>
            </w:pPr>
            <w:proofErr w:type="spellStart"/>
            <w:r>
              <w:rPr>
                <w:b/>
                <w:color w:val="0B2545"/>
                <w:sz w:val="19"/>
              </w:rPr>
              <w:t>建议案例</w:t>
            </w:r>
            <w:proofErr w:type="spellEnd"/>
          </w:p>
        </w:tc>
        <w:tc>
          <w:tcPr>
            <w:tcW w:w="7272" w:type="dxa"/>
            <w:tcMar>
              <w:top w:w="80" w:type="dxa"/>
              <w:left w:w="120" w:type="dxa"/>
              <w:bottom w:w="80" w:type="dxa"/>
              <w:right w:w="120" w:type="dxa"/>
            </w:tcMar>
            <w:vAlign w:val="center"/>
          </w:tcPr>
          <w:p w14:paraId="2BE974BD" w14:textId="77777777" w:rsidR="000E7B82" w:rsidRDefault="00000000">
            <w:pPr>
              <w:spacing w:after="0" w:line="276" w:lineRule="auto"/>
              <w:rPr>
                <w:lang w:eastAsia="zh-CN"/>
              </w:rPr>
            </w:pPr>
            <w:r>
              <w:rPr>
                <w:sz w:val="19"/>
                <w:lang w:eastAsia="zh-CN"/>
              </w:rPr>
              <w:t>南非、肯尼亚、乌干达；扩展样本覆盖撒哈拉以南非洲国家与项目级数据库</w:t>
            </w:r>
          </w:p>
        </w:tc>
      </w:tr>
      <w:tr w:rsidR="000E7B82" w14:paraId="36FFCA07" w14:textId="77777777">
        <w:trPr>
          <w:jc w:val="center"/>
        </w:trPr>
        <w:tc>
          <w:tcPr>
            <w:tcW w:w="2088" w:type="dxa"/>
            <w:shd w:val="clear" w:color="auto" w:fill="F4F6F9"/>
            <w:tcMar>
              <w:top w:w="80" w:type="dxa"/>
              <w:left w:w="120" w:type="dxa"/>
              <w:bottom w:w="80" w:type="dxa"/>
              <w:right w:w="120" w:type="dxa"/>
            </w:tcMar>
            <w:vAlign w:val="center"/>
          </w:tcPr>
          <w:p w14:paraId="75707CF9" w14:textId="77777777" w:rsidR="000E7B82" w:rsidRDefault="00000000">
            <w:pPr>
              <w:spacing w:after="0" w:line="276" w:lineRule="auto"/>
            </w:pPr>
            <w:proofErr w:type="spellStart"/>
            <w:r>
              <w:rPr>
                <w:b/>
                <w:color w:val="0B2545"/>
                <w:sz w:val="19"/>
              </w:rPr>
              <w:t>版本日期</w:t>
            </w:r>
            <w:proofErr w:type="spellEnd"/>
          </w:p>
        </w:tc>
        <w:tc>
          <w:tcPr>
            <w:tcW w:w="7272" w:type="dxa"/>
            <w:tcMar>
              <w:top w:w="80" w:type="dxa"/>
              <w:left w:w="120" w:type="dxa"/>
              <w:bottom w:w="80" w:type="dxa"/>
              <w:right w:w="120" w:type="dxa"/>
            </w:tcMar>
            <w:vAlign w:val="center"/>
          </w:tcPr>
          <w:p w14:paraId="77774E32" w14:textId="7D50EA14" w:rsidR="000E7B82" w:rsidRDefault="00000000">
            <w:pPr>
              <w:spacing w:after="0" w:line="276" w:lineRule="auto"/>
              <w:rPr>
                <w:lang w:eastAsia="zh-CN"/>
              </w:rPr>
            </w:pPr>
            <w:r>
              <w:rPr>
                <w:sz w:val="19"/>
              </w:rPr>
              <w:t>2026</w:t>
            </w:r>
            <w:r>
              <w:rPr>
                <w:sz w:val="19"/>
              </w:rPr>
              <w:t>年</w:t>
            </w:r>
            <w:r>
              <w:rPr>
                <w:sz w:val="19"/>
              </w:rPr>
              <w:t>5</w:t>
            </w:r>
            <w:r>
              <w:rPr>
                <w:sz w:val="19"/>
              </w:rPr>
              <w:t>月</w:t>
            </w:r>
            <w:r w:rsidR="00277203">
              <w:rPr>
                <w:sz w:val="19"/>
              </w:rPr>
              <w:t>21</w:t>
            </w:r>
            <w:r w:rsidR="00277203">
              <w:rPr>
                <w:rFonts w:hint="eastAsia"/>
                <w:sz w:val="19"/>
                <w:lang w:eastAsia="zh-CN"/>
              </w:rPr>
              <w:t>日</w:t>
            </w:r>
          </w:p>
        </w:tc>
      </w:tr>
    </w:tbl>
    <w:p w14:paraId="0DF63DBF" w14:textId="77777777" w:rsidR="000E7B82" w:rsidRDefault="00000000">
      <w:r>
        <w:br w:type="page"/>
      </w:r>
    </w:p>
    <w:p w14:paraId="3AAB7BA3" w14:textId="77777777" w:rsidR="000E7B82" w:rsidRDefault="00000000">
      <w:pPr>
        <w:pStyle w:val="1"/>
      </w:pPr>
      <w:r>
        <w:rPr>
          <w:rFonts w:ascii="Calibri" w:eastAsia="宋体" w:hAnsi="Calibri"/>
        </w:rPr>
        <w:lastRenderedPageBreak/>
        <w:t>一、摘要与核心命题</w:t>
      </w:r>
    </w:p>
    <w:p w14:paraId="5FB2FF58" w14:textId="77777777" w:rsidR="000E7B82" w:rsidRDefault="00000000">
      <w:pPr>
        <w:rPr>
          <w:lang w:eastAsia="zh-CN"/>
        </w:rPr>
      </w:pPr>
      <w:r>
        <w:rPr>
          <w:lang w:eastAsia="zh-CN"/>
        </w:rPr>
        <w:t>非洲在全球能源转型中同时承担两种角色：一方面，钴、铜、锂、锰、铂族金属和稀土等关键矿物使其成为全球低碳供应链的战略节点；另一方面，太阳能、风能、水电、地热和绿氢潜力又使其具备重塑本土能源系统和工业化路径的物理基础。问题在于，资源双重性本身并不必然带来绿色发展收益。若关键矿物收益被外部供应链锁定，而本土可再生能源项目仍受高资本成本、电网瓶颈和治理能力不足约束，非洲可能陷入一种新的</w:t>
      </w:r>
      <w:r>
        <w:rPr>
          <w:lang w:eastAsia="zh-CN"/>
        </w:rPr>
        <w:t>“</w:t>
      </w:r>
      <w:r>
        <w:rPr>
          <w:lang w:eastAsia="zh-CN"/>
        </w:rPr>
        <w:t>绿色资源诅咒</w:t>
      </w:r>
      <w:r>
        <w:rPr>
          <w:lang w:eastAsia="zh-CN"/>
        </w:rPr>
        <w:t>”</w:t>
      </w:r>
      <w:r>
        <w:rPr>
          <w:lang w:eastAsia="zh-CN"/>
        </w:rPr>
        <w:t>：为全球转型提供矿物，却难以完成自身能源转型。</w:t>
      </w:r>
    </w:p>
    <w:p w14:paraId="70FAB8B8" w14:textId="77777777" w:rsidR="000E7B82" w:rsidRDefault="00000000">
      <w:pPr>
        <w:rPr>
          <w:lang w:eastAsia="zh-CN"/>
        </w:rPr>
      </w:pPr>
      <w:r>
        <w:rPr>
          <w:lang w:eastAsia="zh-CN"/>
        </w:rPr>
        <w:t>本研究提出</w:t>
      </w:r>
      <w:r>
        <w:rPr>
          <w:lang w:eastAsia="zh-CN"/>
        </w:rPr>
        <w:t>“</w:t>
      </w:r>
      <w:r>
        <w:rPr>
          <w:lang w:eastAsia="zh-CN"/>
        </w:rPr>
        <w:t>资源</w:t>
      </w:r>
      <w:r>
        <w:rPr>
          <w:lang w:eastAsia="zh-CN"/>
        </w:rPr>
        <w:t>—</w:t>
      </w:r>
      <w:r>
        <w:rPr>
          <w:lang w:eastAsia="zh-CN"/>
        </w:rPr>
        <w:t>金融</w:t>
      </w:r>
      <w:r>
        <w:rPr>
          <w:lang w:eastAsia="zh-CN"/>
        </w:rPr>
        <w:t>—</w:t>
      </w:r>
      <w:r>
        <w:rPr>
          <w:lang w:eastAsia="zh-CN"/>
        </w:rPr>
        <w:t>治理</w:t>
      </w:r>
      <w:r>
        <w:rPr>
          <w:lang w:eastAsia="zh-CN"/>
        </w:rPr>
        <w:t>”</w:t>
      </w:r>
      <w:r>
        <w:rPr>
          <w:lang w:eastAsia="zh-CN"/>
        </w:rPr>
        <w:t>耦合框架，解释非洲国家如何通过国际融资杠杆与国内治理机制的互动，将关键矿物的外部战略价值转化为本土可再生能源投资、绿色工业化能力和能源可及性提升。研究将关键矿物与可再生能源视为两类相互牵引的资源禀赋，将官方发展援助、外国直接投资、优惠贷款、气候融资、</w:t>
      </w:r>
      <w:r>
        <w:rPr>
          <w:lang w:eastAsia="zh-CN"/>
        </w:rPr>
        <w:t>JETP</w:t>
      </w:r>
      <w:r>
        <w:rPr>
          <w:lang w:eastAsia="zh-CN"/>
        </w:rPr>
        <w:t>和中非基础设施合作视为外部金融杠杆，将政策一致性、财政约束、规制能力和公共电力企业治理视为国内缓冲机制，并以可再生能源装机、项目资本成本、电力可及性、本地增加值和碳强度作为转型绩效指标。</w:t>
      </w:r>
    </w:p>
    <w:p w14:paraId="5D8D5E4F" w14:textId="77777777" w:rsidR="000E7B82" w:rsidRDefault="00000000">
      <w:pPr>
        <w:shd w:val="clear" w:color="auto" w:fill="F4F6F9"/>
        <w:spacing w:before="80" w:after="200" w:line="290" w:lineRule="auto"/>
        <w:ind w:left="259" w:right="259"/>
        <w:rPr>
          <w:lang w:eastAsia="zh-CN"/>
        </w:rPr>
      </w:pPr>
      <w:r>
        <w:rPr>
          <w:b/>
          <w:color w:val="1F4D78"/>
          <w:lang w:eastAsia="zh-CN"/>
        </w:rPr>
        <w:t>核心研究问题：</w:t>
      </w:r>
      <w:r>
        <w:rPr>
          <w:lang w:eastAsia="zh-CN"/>
        </w:rPr>
        <w:t>在关键矿物服务全球供应链、可再生能源服务本土转型的双重资源禀赋下，非洲国家能否通过国际融资杠杆与国内治理机制的耦合，打破资源诅咒，实现绿色工业化与能源系统的双重转型？</w:t>
      </w:r>
    </w:p>
    <w:p w14:paraId="51773102" w14:textId="77777777" w:rsidR="00B90830" w:rsidRDefault="00B90830">
      <w:pPr>
        <w:pStyle w:val="1"/>
        <w:rPr>
          <w:rFonts w:ascii="Calibri" w:eastAsia="宋体" w:hAnsi="Calibri"/>
          <w:lang w:eastAsia="zh-CN"/>
        </w:rPr>
      </w:pPr>
    </w:p>
    <w:p w14:paraId="65DA2428" w14:textId="77777777" w:rsidR="00B90830" w:rsidRDefault="00B90830" w:rsidP="00B90830">
      <w:pPr>
        <w:rPr>
          <w:lang w:eastAsia="zh-CN"/>
        </w:rPr>
      </w:pPr>
    </w:p>
    <w:p w14:paraId="23588B13" w14:textId="77777777" w:rsidR="00B90830" w:rsidRDefault="00B90830" w:rsidP="00B90830">
      <w:pPr>
        <w:rPr>
          <w:lang w:eastAsia="zh-CN"/>
        </w:rPr>
      </w:pPr>
    </w:p>
    <w:p w14:paraId="15EEF469" w14:textId="77777777" w:rsidR="00B90830" w:rsidRDefault="00B90830" w:rsidP="00B90830">
      <w:pPr>
        <w:rPr>
          <w:lang w:eastAsia="zh-CN"/>
        </w:rPr>
      </w:pPr>
    </w:p>
    <w:p w14:paraId="5AC3174C" w14:textId="77777777" w:rsidR="00B90830" w:rsidRDefault="00B90830" w:rsidP="00B90830">
      <w:pPr>
        <w:rPr>
          <w:lang w:eastAsia="zh-CN"/>
        </w:rPr>
      </w:pPr>
    </w:p>
    <w:p w14:paraId="003384AD" w14:textId="77777777" w:rsidR="00B90830" w:rsidRDefault="00B90830" w:rsidP="00B90830">
      <w:pPr>
        <w:rPr>
          <w:lang w:eastAsia="zh-CN"/>
        </w:rPr>
      </w:pPr>
    </w:p>
    <w:p w14:paraId="62C1EF10" w14:textId="77777777" w:rsidR="00B90830" w:rsidRPr="00B90830" w:rsidRDefault="00B90830" w:rsidP="00B90830">
      <w:pPr>
        <w:rPr>
          <w:lang w:eastAsia="zh-CN"/>
        </w:rPr>
      </w:pPr>
    </w:p>
    <w:p w14:paraId="1367D318" w14:textId="0C5FC78D" w:rsidR="000E7B82" w:rsidRDefault="00000000">
      <w:pPr>
        <w:pStyle w:val="1"/>
        <w:rPr>
          <w:lang w:eastAsia="zh-CN"/>
        </w:rPr>
      </w:pPr>
      <w:r>
        <w:rPr>
          <w:rFonts w:ascii="Calibri" w:eastAsia="宋体" w:hAnsi="Calibri"/>
          <w:lang w:eastAsia="zh-CN"/>
        </w:rPr>
        <w:lastRenderedPageBreak/>
        <w:t>二、研究背景：为什么是非洲纽带</w:t>
      </w:r>
    </w:p>
    <w:p w14:paraId="111A03C2" w14:textId="77777777" w:rsidR="000E7B82" w:rsidRDefault="00000000">
      <w:pPr>
        <w:rPr>
          <w:lang w:eastAsia="zh-CN"/>
        </w:rPr>
      </w:pPr>
      <w:r>
        <w:rPr>
          <w:lang w:eastAsia="zh-CN"/>
        </w:rPr>
        <w:t>传统资源诅咒研究通常关注石油、天然气或大宗矿产收入如何削弱制度质量、加剧财政波动并挤出制造业能力。能源转型时代的非洲则呈现出更复杂的结构：关键矿物需求上升提高了资源国的地缘战略价值，但全球供应链对矿产的争夺并不必然改善本地能源系统；与此同时，非洲可再生能源潜力巨大，却长期面对融资成本高、项目准备不足、电网薄弱、规制不确定和主权债务压力等约束。</w:t>
      </w:r>
    </w:p>
    <w:p w14:paraId="2E0EDA42" w14:textId="77777777" w:rsidR="000E7B82" w:rsidRDefault="00000000">
      <w:pPr>
        <w:rPr>
          <w:lang w:eastAsia="zh-CN"/>
        </w:rPr>
      </w:pPr>
      <w:r>
        <w:rPr>
          <w:lang w:eastAsia="zh-CN"/>
        </w:rPr>
        <w:t>因此，非洲不是全球能源转型的外围地区，而是一个决定全球转型公平性和系统稳定性的纽带。若国际资本主要流向矿山、港口和出口基础设施，而较少进入本地电网、储能、清洁烹饪和工业用电体系，那么全球低碳供应链可能以新的形式复制资源依附。相反，若关键矿物收益、气候融资和绿色产业政策能够被制度化地连接到本土能源系统，非洲国家就可能把外部资源需求转化为绿色工业化的政策窗口。</w:t>
      </w:r>
    </w:p>
    <w:p w14:paraId="0AD7D2F9" w14:textId="77777777" w:rsidR="000E7B82" w:rsidRDefault="00000000">
      <w:pPr>
        <w:rPr>
          <w:lang w:eastAsia="zh-CN"/>
        </w:rPr>
      </w:pPr>
      <w:r>
        <w:rPr>
          <w:lang w:eastAsia="zh-CN"/>
        </w:rPr>
        <w:t>本研究的经验场域具有明显的时间窗口价值。南非</w:t>
      </w:r>
      <w:r>
        <w:rPr>
          <w:lang w:eastAsia="zh-CN"/>
        </w:rPr>
        <w:t>JETP</w:t>
      </w:r>
      <w:r>
        <w:rPr>
          <w:lang w:eastAsia="zh-CN"/>
        </w:rPr>
        <w:t>、肯尼亚地热与风电扩张、乌干达输配电与可及性项目、赞比亚和刚果（金）的铜钴价值链、纳米比亚绿氢与关键矿物政策、津巴布韦锂矿本地加工政策等，都显示出</w:t>
      </w:r>
      <w:r>
        <w:rPr>
          <w:lang w:eastAsia="zh-CN"/>
        </w:rPr>
        <w:t>“</w:t>
      </w:r>
      <w:r>
        <w:rPr>
          <w:lang w:eastAsia="zh-CN"/>
        </w:rPr>
        <w:t>矿物</w:t>
      </w:r>
      <w:r>
        <w:rPr>
          <w:lang w:eastAsia="zh-CN"/>
        </w:rPr>
        <w:t>—</w:t>
      </w:r>
      <w:r>
        <w:rPr>
          <w:lang w:eastAsia="zh-CN"/>
        </w:rPr>
        <w:t>能源</w:t>
      </w:r>
      <w:r>
        <w:rPr>
          <w:lang w:eastAsia="zh-CN"/>
        </w:rPr>
        <w:t>—</w:t>
      </w:r>
      <w:r>
        <w:rPr>
          <w:lang w:eastAsia="zh-CN"/>
        </w:rPr>
        <w:t>融资</w:t>
      </w:r>
      <w:r>
        <w:rPr>
          <w:lang w:eastAsia="zh-CN"/>
        </w:rPr>
        <w:t>—</w:t>
      </w:r>
      <w:r>
        <w:rPr>
          <w:lang w:eastAsia="zh-CN"/>
        </w:rPr>
        <w:t>治理</w:t>
      </w:r>
      <w:r>
        <w:rPr>
          <w:lang w:eastAsia="zh-CN"/>
        </w:rPr>
        <w:t>”</w:t>
      </w:r>
      <w:r>
        <w:rPr>
          <w:lang w:eastAsia="zh-CN"/>
        </w:rPr>
        <w:t>正在从分散议题转变为政策耦合议题。数据虽然仍不完整，但正因为项目级金融数据、地理资源数据、政策文本和卫星数据分散存在，才为计量识别和公共管理解释提供了研究空间。</w:t>
      </w:r>
    </w:p>
    <w:p w14:paraId="3E620414" w14:textId="77777777" w:rsidR="00B90830" w:rsidRDefault="00B90830">
      <w:pPr>
        <w:rPr>
          <w:lang w:eastAsia="zh-CN"/>
        </w:rPr>
      </w:pPr>
    </w:p>
    <w:p w14:paraId="1D176050" w14:textId="77777777" w:rsidR="00B90830" w:rsidRDefault="00B90830">
      <w:pPr>
        <w:rPr>
          <w:lang w:eastAsia="zh-CN"/>
        </w:rPr>
      </w:pPr>
    </w:p>
    <w:p w14:paraId="575405B7" w14:textId="77777777" w:rsidR="00B90830" w:rsidRDefault="00B90830">
      <w:pPr>
        <w:rPr>
          <w:lang w:eastAsia="zh-CN"/>
        </w:rPr>
      </w:pPr>
    </w:p>
    <w:p w14:paraId="4A484E1C" w14:textId="77777777" w:rsidR="00B90830" w:rsidRDefault="00B90830">
      <w:pPr>
        <w:rPr>
          <w:lang w:eastAsia="zh-CN"/>
        </w:rPr>
      </w:pPr>
    </w:p>
    <w:p w14:paraId="61197F77" w14:textId="77777777" w:rsidR="00B90830" w:rsidRDefault="00B90830">
      <w:pPr>
        <w:rPr>
          <w:lang w:eastAsia="zh-CN"/>
        </w:rPr>
      </w:pPr>
    </w:p>
    <w:p w14:paraId="14C54864" w14:textId="6736F180" w:rsidR="000E7B82" w:rsidRDefault="00000000">
      <w:pPr>
        <w:pStyle w:val="1"/>
        <w:rPr>
          <w:lang w:eastAsia="zh-CN"/>
        </w:rPr>
      </w:pPr>
      <w:r>
        <w:rPr>
          <w:rFonts w:ascii="Calibri" w:eastAsia="宋体" w:hAnsi="Calibri"/>
          <w:lang w:eastAsia="zh-CN"/>
        </w:rPr>
        <w:lastRenderedPageBreak/>
        <w:t>三、理论框架：四组变量</w:t>
      </w:r>
      <w:r w:rsidR="00B12449">
        <w:rPr>
          <w:rFonts w:ascii="Calibri" w:eastAsia="宋体" w:hAnsi="Calibri" w:hint="eastAsia"/>
          <w:lang w:eastAsia="zh-CN"/>
        </w:rPr>
        <w:t>与机制链</w:t>
      </w:r>
    </w:p>
    <w:p w14:paraId="6F76E510" w14:textId="77777777" w:rsidR="000E7B82" w:rsidRDefault="00000000">
      <w:pPr>
        <w:rPr>
          <w:lang w:eastAsia="zh-CN"/>
        </w:rPr>
      </w:pPr>
      <w:r>
        <w:rPr>
          <w:lang w:eastAsia="zh-CN"/>
        </w:rPr>
        <w:t>研究将非洲能源转型拆解为四组变量：资源禀赋组、国际外部性组、国内治理组和转型绩效组。资源禀赋既包括关键矿物的全球供应链价值，也包括可再生能源潜力的本土物理上限；国际外部性体现为融资结构和地缘合作属性；国内治理体现为政策契合度、财政约束和规制能力；转型绩效则包含能源系统、产业发展和可持续发展三类结果。</w:t>
      </w:r>
    </w:p>
    <w:tbl>
      <w:tblPr>
        <w:tblW w:w="6409"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801"/>
        <w:gridCol w:w="2376"/>
        <w:gridCol w:w="2232"/>
      </w:tblGrid>
      <w:tr w:rsidR="00B12449" w14:paraId="62E1995B" w14:textId="77777777" w:rsidTr="00B12449">
        <w:trPr>
          <w:jc w:val="center"/>
        </w:trPr>
        <w:tc>
          <w:tcPr>
            <w:tcW w:w="1801" w:type="dxa"/>
            <w:shd w:val="clear" w:color="auto" w:fill="E8EEF5"/>
            <w:tcMar>
              <w:top w:w="80" w:type="dxa"/>
              <w:left w:w="120" w:type="dxa"/>
              <w:bottom w:w="80" w:type="dxa"/>
              <w:right w:w="120" w:type="dxa"/>
            </w:tcMar>
            <w:vAlign w:val="center"/>
          </w:tcPr>
          <w:p w14:paraId="3F3E949E" w14:textId="77777777" w:rsidR="00B12449" w:rsidRDefault="00B12449">
            <w:pPr>
              <w:spacing w:after="0" w:line="276" w:lineRule="auto"/>
            </w:pPr>
            <w:proofErr w:type="spellStart"/>
            <w:r>
              <w:rPr>
                <w:b/>
                <w:color w:val="0B2545"/>
                <w:sz w:val="19"/>
              </w:rPr>
              <w:t>变量组</w:t>
            </w:r>
            <w:proofErr w:type="spellEnd"/>
          </w:p>
        </w:tc>
        <w:tc>
          <w:tcPr>
            <w:tcW w:w="2376" w:type="dxa"/>
            <w:shd w:val="clear" w:color="auto" w:fill="E8EEF5"/>
            <w:tcMar>
              <w:top w:w="80" w:type="dxa"/>
              <w:left w:w="120" w:type="dxa"/>
              <w:bottom w:w="80" w:type="dxa"/>
              <w:right w:w="120" w:type="dxa"/>
            </w:tcMar>
            <w:vAlign w:val="center"/>
          </w:tcPr>
          <w:p w14:paraId="5ED84A56" w14:textId="77777777" w:rsidR="00B12449" w:rsidRDefault="00B12449">
            <w:pPr>
              <w:spacing w:after="0" w:line="276" w:lineRule="auto"/>
            </w:pPr>
            <w:r>
              <w:rPr>
                <w:b/>
                <w:color w:val="0B2545"/>
                <w:sz w:val="19"/>
              </w:rPr>
              <w:t>核心变量</w:t>
            </w:r>
          </w:p>
        </w:tc>
        <w:tc>
          <w:tcPr>
            <w:tcW w:w="2232" w:type="dxa"/>
            <w:shd w:val="clear" w:color="auto" w:fill="E8EEF5"/>
            <w:tcMar>
              <w:top w:w="80" w:type="dxa"/>
              <w:left w:w="120" w:type="dxa"/>
              <w:bottom w:w="80" w:type="dxa"/>
              <w:right w:w="120" w:type="dxa"/>
            </w:tcMar>
            <w:vAlign w:val="center"/>
          </w:tcPr>
          <w:p w14:paraId="2AA8B663" w14:textId="77777777" w:rsidR="00B12449" w:rsidRDefault="00B12449">
            <w:pPr>
              <w:spacing w:after="0" w:line="276" w:lineRule="auto"/>
            </w:pPr>
            <w:r>
              <w:rPr>
                <w:b/>
                <w:color w:val="0B2545"/>
                <w:sz w:val="19"/>
              </w:rPr>
              <w:t>理论角色</w:t>
            </w:r>
          </w:p>
        </w:tc>
      </w:tr>
      <w:tr w:rsidR="00B12449" w14:paraId="7A67C836" w14:textId="77777777" w:rsidTr="00B12449">
        <w:trPr>
          <w:jc w:val="center"/>
        </w:trPr>
        <w:tc>
          <w:tcPr>
            <w:tcW w:w="1801" w:type="dxa"/>
            <w:tcMar>
              <w:top w:w="80" w:type="dxa"/>
              <w:left w:w="120" w:type="dxa"/>
              <w:bottom w:w="80" w:type="dxa"/>
              <w:right w:w="120" w:type="dxa"/>
            </w:tcMar>
            <w:vAlign w:val="center"/>
          </w:tcPr>
          <w:p w14:paraId="03C52E13" w14:textId="77777777" w:rsidR="00B12449" w:rsidRDefault="00B12449">
            <w:pPr>
              <w:spacing w:after="0" w:line="276" w:lineRule="auto"/>
            </w:pPr>
            <w:proofErr w:type="spellStart"/>
            <w:r>
              <w:rPr>
                <w:sz w:val="18"/>
              </w:rPr>
              <w:t>资源禀赋组</w:t>
            </w:r>
            <w:proofErr w:type="spellEnd"/>
          </w:p>
        </w:tc>
        <w:tc>
          <w:tcPr>
            <w:tcW w:w="2376" w:type="dxa"/>
            <w:tcMar>
              <w:top w:w="80" w:type="dxa"/>
              <w:left w:w="120" w:type="dxa"/>
              <w:bottom w:w="80" w:type="dxa"/>
              <w:right w:w="120" w:type="dxa"/>
            </w:tcMar>
            <w:vAlign w:val="center"/>
          </w:tcPr>
          <w:p w14:paraId="3E85459A" w14:textId="77777777" w:rsidR="00B12449" w:rsidRDefault="00B12449">
            <w:pPr>
              <w:spacing w:after="0" w:line="276" w:lineRule="auto"/>
              <w:rPr>
                <w:lang w:eastAsia="zh-CN"/>
              </w:rPr>
            </w:pPr>
            <w:r>
              <w:rPr>
                <w:sz w:val="18"/>
                <w:lang w:eastAsia="zh-CN"/>
              </w:rPr>
              <w:t>关键矿物分布；可再生能源潜力</w:t>
            </w:r>
          </w:p>
        </w:tc>
        <w:tc>
          <w:tcPr>
            <w:tcW w:w="2232" w:type="dxa"/>
            <w:tcMar>
              <w:top w:w="80" w:type="dxa"/>
              <w:left w:w="120" w:type="dxa"/>
              <w:bottom w:w="80" w:type="dxa"/>
              <w:right w:w="120" w:type="dxa"/>
            </w:tcMar>
            <w:vAlign w:val="center"/>
          </w:tcPr>
          <w:p w14:paraId="19CBEF5A" w14:textId="77777777" w:rsidR="00B12449" w:rsidRDefault="00B12449">
            <w:pPr>
              <w:spacing w:after="0" w:line="276" w:lineRule="auto"/>
            </w:pPr>
            <w:proofErr w:type="spellStart"/>
            <w:r>
              <w:rPr>
                <w:sz w:val="18"/>
              </w:rPr>
              <w:t>外生推力与战略筹码</w:t>
            </w:r>
            <w:proofErr w:type="spellEnd"/>
          </w:p>
        </w:tc>
      </w:tr>
      <w:tr w:rsidR="00B12449" w14:paraId="08755EA1" w14:textId="77777777" w:rsidTr="00B12449">
        <w:trPr>
          <w:jc w:val="center"/>
        </w:trPr>
        <w:tc>
          <w:tcPr>
            <w:tcW w:w="1801" w:type="dxa"/>
            <w:tcMar>
              <w:top w:w="80" w:type="dxa"/>
              <w:left w:w="120" w:type="dxa"/>
              <w:bottom w:w="80" w:type="dxa"/>
              <w:right w:w="120" w:type="dxa"/>
            </w:tcMar>
            <w:vAlign w:val="center"/>
          </w:tcPr>
          <w:p w14:paraId="7A78B3C1" w14:textId="77777777" w:rsidR="00B12449" w:rsidRDefault="00B12449">
            <w:pPr>
              <w:spacing w:after="0" w:line="276" w:lineRule="auto"/>
            </w:pPr>
            <w:proofErr w:type="spellStart"/>
            <w:r>
              <w:rPr>
                <w:sz w:val="18"/>
              </w:rPr>
              <w:t>国际外部性组</w:t>
            </w:r>
            <w:proofErr w:type="spellEnd"/>
          </w:p>
        </w:tc>
        <w:tc>
          <w:tcPr>
            <w:tcW w:w="2376" w:type="dxa"/>
            <w:tcMar>
              <w:top w:w="80" w:type="dxa"/>
              <w:left w:w="120" w:type="dxa"/>
              <w:bottom w:w="80" w:type="dxa"/>
              <w:right w:w="120" w:type="dxa"/>
            </w:tcMar>
            <w:vAlign w:val="center"/>
          </w:tcPr>
          <w:p w14:paraId="0394E1C9" w14:textId="77777777" w:rsidR="00B12449" w:rsidRDefault="00B12449">
            <w:pPr>
              <w:spacing w:after="0" w:line="276" w:lineRule="auto"/>
              <w:rPr>
                <w:lang w:eastAsia="zh-CN"/>
              </w:rPr>
            </w:pPr>
            <w:r>
              <w:rPr>
                <w:sz w:val="18"/>
                <w:lang w:eastAsia="zh-CN"/>
              </w:rPr>
              <w:t>融资结构；地缘合作属性</w:t>
            </w:r>
          </w:p>
        </w:tc>
        <w:tc>
          <w:tcPr>
            <w:tcW w:w="2232" w:type="dxa"/>
            <w:tcMar>
              <w:top w:w="80" w:type="dxa"/>
              <w:left w:w="120" w:type="dxa"/>
              <w:bottom w:w="80" w:type="dxa"/>
              <w:right w:w="120" w:type="dxa"/>
            </w:tcMar>
            <w:vAlign w:val="center"/>
          </w:tcPr>
          <w:p w14:paraId="01A69A70" w14:textId="77777777" w:rsidR="00B12449" w:rsidRDefault="00B12449">
            <w:pPr>
              <w:spacing w:after="0" w:line="276" w:lineRule="auto"/>
            </w:pPr>
            <w:proofErr w:type="spellStart"/>
            <w:r>
              <w:rPr>
                <w:sz w:val="18"/>
              </w:rPr>
              <w:t>金融杠杆与外部约束</w:t>
            </w:r>
            <w:proofErr w:type="spellEnd"/>
          </w:p>
        </w:tc>
      </w:tr>
      <w:tr w:rsidR="00B12449" w14:paraId="3E737A0E" w14:textId="77777777" w:rsidTr="00B12449">
        <w:trPr>
          <w:jc w:val="center"/>
        </w:trPr>
        <w:tc>
          <w:tcPr>
            <w:tcW w:w="1801" w:type="dxa"/>
            <w:tcMar>
              <w:top w:w="80" w:type="dxa"/>
              <w:left w:w="120" w:type="dxa"/>
              <w:bottom w:w="80" w:type="dxa"/>
              <w:right w:w="120" w:type="dxa"/>
            </w:tcMar>
            <w:vAlign w:val="center"/>
          </w:tcPr>
          <w:p w14:paraId="19BC0A27" w14:textId="77777777" w:rsidR="00B12449" w:rsidRDefault="00B12449">
            <w:pPr>
              <w:spacing w:after="0" w:line="276" w:lineRule="auto"/>
            </w:pPr>
            <w:proofErr w:type="spellStart"/>
            <w:r>
              <w:rPr>
                <w:sz w:val="18"/>
              </w:rPr>
              <w:t>国内治理组</w:t>
            </w:r>
            <w:proofErr w:type="spellEnd"/>
          </w:p>
        </w:tc>
        <w:tc>
          <w:tcPr>
            <w:tcW w:w="2376" w:type="dxa"/>
            <w:tcMar>
              <w:top w:w="80" w:type="dxa"/>
              <w:left w:w="120" w:type="dxa"/>
              <w:bottom w:w="80" w:type="dxa"/>
              <w:right w:w="120" w:type="dxa"/>
            </w:tcMar>
            <w:vAlign w:val="center"/>
          </w:tcPr>
          <w:p w14:paraId="5DDE2E77" w14:textId="5A5BBC9D" w:rsidR="00B12449" w:rsidRDefault="00B12449">
            <w:pPr>
              <w:spacing w:after="0" w:line="276" w:lineRule="auto"/>
              <w:rPr>
                <w:lang w:eastAsia="zh-CN"/>
              </w:rPr>
            </w:pPr>
            <w:r>
              <w:rPr>
                <w:sz w:val="18"/>
                <w:lang w:eastAsia="zh-CN"/>
              </w:rPr>
              <w:t>政策契合度；财政约束；规制能力</w:t>
            </w:r>
            <w:proofErr w:type="spellStart"/>
            <w:r>
              <w:rPr>
                <w:sz w:val="18"/>
                <w:lang w:eastAsia="zh-CN"/>
              </w:rPr>
              <w:t>etc</w:t>
            </w:r>
            <w:proofErr w:type="spellEnd"/>
          </w:p>
        </w:tc>
        <w:tc>
          <w:tcPr>
            <w:tcW w:w="2232" w:type="dxa"/>
            <w:tcMar>
              <w:top w:w="80" w:type="dxa"/>
              <w:left w:w="120" w:type="dxa"/>
              <w:bottom w:w="80" w:type="dxa"/>
              <w:right w:w="120" w:type="dxa"/>
            </w:tcMar>
            <w:vAlign w:val="center"/>
          </w:tcPr>
          <w:p w14:paraId="2FA98331" w14:textId="77777777" w:rsidR="00B12449" w:rsidRDefault="00B12449">
            <w:pPr>
              <w:spacing w:after="0" w:line="276" w:lineRule="auto"/>
            </w:pPr>
            <w:proofErr w:type="spellStart"/>
            <w:r>
              <w:rPr>
                <w:sz w:val="18"/>
              </w:rPr>
              <w:t>风险缓冲与转化机制</w:t>
            </w:r>
            <w:proofErr w:type="spellEnd"/>
          </w:p>
        </w:tc>
      </w:tr>
      <w:tr w:rsidR="00B12449" w14:paraId="40ECDABB" w14:textId="77777777" w:rsidTr="00B12449">
        <w:trPr>
          <w:jc w:val="center"/>
        </w:trPr>
        <w:tc>
          <w:tcPr>
            <w:tcW w:w="1801" w:type="dxa"/>
            <w:tcMar>
              <w:top w:w="80" w:type="dxa"/>
              <w:left w:w="120" w:type="dxa"/>
              <w:bottom w:w="80" w:type="dxa"/>
              <w:right w:w="120" w:type="dxa"/>
            </w:tcMar>
            <w:vAlign w:val="center"/>
          </w:tcPr>
          <w:p w14:paraId="6F1E3676" w14:textId="77777777" w:rsidR="00B12449" w:rsidRDefault="00B12449">
            <w:pPr>
              <w:spacing w:after="0" w:line="276" w:lineRule="auto"/>
            </w:pPr>
            <w:proofErr w:type="spellStart"/>
            <w:r>
              <w:rPr>
                <w:sz w:val="18"/>
              </w:rPr>
              <w:t>转型绩效组</w:t>
            </w:r>
            <w:proofErr w:type="spellEnd"/>
          </w:p>
        </w:tc>
        <w:tc>
          <w:tcPr>
            <w:tcW w:w="2376" w:type="dxa"/>
            <w:tcMar>
              <w:top w:w="80" w:type="dxa"/>
              <w:left w:w="120" w:type="dxa"/>
              <w:bottom w:w="80" w:type="dxa"/>
              <w:right w:w="120" w:type="dxa"/>
            </w:tcMar>
            <w:vAlign w:val="center"/>
          </w:tcPr>
          <w:p w14:paraId="751C42BA" w14:textId="4F9C2647" w:rsidR="00B12449" w:rsidRDefault="00B12449">
            <w:pPr>
              <w:spacing w:after="0" w:line="276" w:lineRule="auto"/>
              <w:rPr>
                <w:rFonts w:hint="eastAsia"/>
                <w:lang w:eastAsia="zh-CN"/>
              </w:rPr>
            </w:pPr>
            <w:r>
              <w:rPr>
                <w:sz w:val="18"/>
                <w:lang w:eastAsia="zh-CN"/>
              </w:rPr>
              <w:t>能源</w:t>
            </w:r>
            <w:r>
              <w:rPr>
                <w:rFonts w:hint="eastAsia"/>
                <w:sz w:val="18"/>
                <w:lang w:eastAsia="zh-CN"/>
              </w:rPr>
              <w:t>系统（包括能源可及性）；</w:t>
            </w:r>
            <w:r>
              <w:rPr>
                <w:sz w:val="18"/>
                <w:lang w:eastAsia="zh-CN"/>
              </w:rPr>
              <w:t>绿色工业化；可持续发展</w:t>
            </w:r>
            <w:r>
              <w:rPr>
                <w:rFonts w:hint="eastAsia"/>
                <w:sz w:val="18"/>
                <w:lang w:eastAsia="zh-CN"/>
              </w:rPr>
              <w:t>（包括社会）</w:t>
            </w:r>
          </w:p>
        </w:tc>
        <w:tc>
          <w:tcPr>
            <w:tcW w:w="2232" w:type="dxa"/>
            <w:tcMar>
              <w:top w:w="80" w:type="dxa"/>
              <w:left w:w="120" w:type="dxa"/>
              <w:bottom w:w="80" w:type="dxa"/>
              <w:right w:w="120" w:type="dxa"/>
            </w:tcMar>
            <w:vAlign w:val="center"/>
          </w:tcPr>
          <w:p w14:paraId="5838CF22" w14:textId="77777777" w:rsidR="00B12449" w:rsidRDefault="00B12449">
            <w:pPr>
              <w:spacing w:after="0" w:line="276" w:lineRule="auto"/>
            </w:pPr>
            <w:proofErr w:type="spellStart"/>
            <w:r>
              <w:rPr>
                <w:sz w:val="18"/>
              </w:rPr>
              <w:t>结果变量</w:t>
            </w:r>
            <w:proofErr w:type="spellEnd"/>
          </w:p>
        </w:tc>
      </w:tr>
    </w:tbl>
    <w:p w14:paraId="59901990" w14:textId="77777777" w:rsidR="000E7B82" w:rsidRDefault="000E7B82">
      <w:pPr>
        <w:spacing w:after="40"/>
        <w:rPr>
          <w:lang w:eastAsia="zh-CN"/>
        </w:rPr>
      </w:pPr>
    </w:p>
    <w:p w14:paraId="00457A66" w14:textId="7F5C91E5" w:rsidR="00B12449" w:rsidRPr="00B12449" w:rsidRDefault="00B12449">
      <w:pPr>
        <w:spacing w:after="40"/>
        <w:rPr>
          <w:rFonts w:hint="eastAsia"/>
          <w:b/>
          <w:bCs/>
          <w:i/>
          <w:iCs/>
          <w:u w:val="single"/>
          <w:lang w:eastAsia="zh-CN"/>
        </w:rPr>
      </w:pPr>
      <w:r w:rsidRPr="00B12449">
        <w:rPr>
          <w:rFonts w:hint="eastAsia"/>
          <w:b/>
          <w:bCs/>
          <w:i/>
          <w:iCs/>
          <w:u w:val="single"/>
          <w:lang w:eastAsia="zh-CN"/>
        </w:rPr>
        <w:t>机制链</w:t>
      </w:r>
      <w:r>
        <w:rPr>
          <w:rFonts w:hint="eastAsia"/>
          <w:b/>
          <w:bCs/>
          <w:i/>
          <w:iCs/>
          <w:u w:val="single"/>
          <w:lang w:eastAsia="zh-CN"/>
        </w:rPr>
        <w:t>（研究假设）</w:t>
      </w:r>
      <w:r w:rsidRPr="00B12449">
        <w:rPr>
          <w:rFonts w:hint="eastAsia"/>
          <w:b/>
          <w:bCs/>
          <w:i/>
          <w:iCs/>
          <w:u w:val="single"/>
          <w:lang w:eastAsia="zh-CN"/>
        </w:rPr>
        <w:t>大致如下：</w:t>
      </w:r>
    </w:p>
    <w:p w14:paraId="3C4C3400" w14:textId="0855A9B8" w:rsidR="00B90830" w:rsidRDefault="00B12449">
      <w:pPr>
        <w:spacing w:after="40"/>
        <w:rPr>
          <w:rFonts w:hint="eastAsia"/>
          <w:lang w:eastAsia="zh-CN"/>
        </w:rPr>
      </w:pPr>
      <w:r>
        <w:rPr>
          <w:rFonts w:hint="eastAsia"/>
          <w:lang w:eastAsia="zh-CN"/>
        </w:rPr>
        <w:t>资源禀赋组—</w:t>
      </w:r>
      <w:r>
        <w:rPr>
          <w:lang w:eastAsia="zh-CN"/>
        </w:rPr>
        <w:t>&gt;</w:t>
      </w:r>
      <w:r>
        <w:rPr>
          <w:rFonts w:hint="eastAsia"/>
          <w:lang w:eastAsia="zh-CN"/>
        </w:rPr>
        <w:t>————</w:t>
      </w:r>
      <w:r>
        <w:rPr>
          <w:rFonts w:hint="eastAsia"/>
          <w:lang w:eastAsia="zh-CN"/>
        </w:rPr>
        <w:t xml:space="preserve">   </w:t>
      </w:r>
      <w:r>
        <w:rPr>
          <w:rFonts w:hint="eastAsia"/>
          <w:lang w:eastAsia="zh-CN"/>
        </w:rPr>
        <w:t>国际外部型组</w:t>
      </w:r>
      <w:r>
        <w:rPr>
          <w:rFonts w:hint="eastAsia"/>
          <w:lang w:eastAsia="zh-CN"/>
        </w:rPr>
        <w:t xml:space="preserve">  </w:t>
      </w:r>
      <w:r>
        <w:rPr>
          <w:rFonts w:hint="eastAsia"/>
          <w:lang w:eastAsia="zh-CN"/>
        </w:rPr>
        <w:t>——</w:t>
      </w:r>
      <w:r>
        <w:rPr>
          <w:rFonts w:hint="eastAsia"/>
          <w:lang w:eastAsia="zh-CN"/>
        </w:rPr>
        <w:t>——</w:t>
      </w:r>
      <w:r>
        <w:rPr>
          <w:lang w:eastAsia="zh-CN"/>
        </w:rPr>
        <w:t>&gt;</w:t>
      </w:r>
      <w:r>
        <w:rPr>
          <w:rFonts w:hint="eastAsia"/>
          <w:lang w:eastAsia="zh-CN"/>
        </w:rPr>
        <w:t>—</w:t>
      </w:r>
      <w:r>
        <w:rPr>
          <w:rFonts w:hint="eastAsia"/>
          <w:lang w:eastAsia="zh-CN"/>
        </w:rPr>
        <w:t xml:space="preserve">   </w:t>
      </w:r>
      <w:r>
        <w:rPr>
          <w:rFonts w:hint="eastAsia"/>
          <w:lang w:eastAsia="zh-CN"/>
        </w:rPr>
        <w:t>转型绩效组</w:t>
      </w:r>
    </w:p>
    <w:p w14:paraId="3E5D863C" w14:textId="7EDFFB55" w:rsidR="00B90830" w:rsidRPr="00B12449" w:rsidRDefault="00B12449">
      <w:pPr>
        <w:spacing w:after="40"/>
        <w:rPr>
          <w:rFonts w:hint="eastAsia"/>
          <w:lang w:eastAsia="zh-CN"/>
        </w:rPr>
      </w:pPr>
      <w:r>
        <w:rPr>
          <w:rFonts w:hint="eastAsia"/>
          <w:lang w:eastAsia="zh-CN"/>
        </w:rPr>
        <w:t xml:space="preserve">                       </w:t>
      </w:r>
      <w:r>
        <w:rPr>
          <w:lang w:eastAsia="zh-CN"/>
        </w:rPr>
        <w:t xml:space="preserve">       </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国内治理组</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w:t>
      </w:r>
    </w:p>
    <w:p w14:paraId="61161D2F" w14:textId="77777777" w:rsidR="00B12449" w:rsidRDefault="00B12449">
      <w:pPr>
        <w:spacing w:after="40"/>
        <w:rPr>
          <w:lang w:eastAsia="zh-CN"/>
        </w:rPr>
      </w:pPr>
    </w:p>
    <w:p w14:paraId="17CDA740" w14:textId="77777777" w:rsidR="00B12449" w:rsidRDefault="00B12449">
      <w:pPr>
        <w:spacing w:after="40"/>
        <w:rPr>
          <w:rFonts w:hint="eastAsia"/>
          <w:lang w:eastAsia="zh-CN"/>
        </w:rPr>
      </w:pPr>
    </w:p>
    <w:p w14:paraId="2ADF4C78" w14:textId="77777777" w:rsidR="00B90830" w:rsidRDefault="00B90830">
      <w:pPr>
        <w:spacing w:after="40"/>
        <w:rPr>
          <w:lang w:eastAsia="zh-CN"/>
        </w:rPr>
      </w:pPr>
    </w:p>
    <w:p w14:paraId="4DAC54FE" w14:textId="77777777" w:rsidR="00B12449" w:rsidRDefault="00B12449">
      <w:pPr>
        <w:spacing w:after="40"/>
        <w:rPr>
          <w:lang w:eastAsia="zh-CN"/>
        </w:rPr>
      </w:pPr>
    </w:p>
    <w:p w14:paraId="3FCDF2F9" w14:textId="77777777" w:rsidR="00B90830" w:rsidRDefault="00B90830" w:rsidP="00B90830">
      <w:pPr>
        <w:pStyle w:val="a0"/>
        <w:numPr>
          <w:ilvl w:val="0"/>
          <w:numId w:val="0"/>
        </w:numPr>
        <w:ind w:left="540"/>
        <w:rPr>
          <w:lang w:eastAsia="zh-CN"/>
        </w:rPr>
      </w:pPr>
    </w:p>
    <w:p w14:paraId="198F4FB9" w14:textId="77777777" w:rsidR="00B12449" w:rsidRDefault="00B12449" w:rsidP="00B12449">
      <w:pPr>
        <w:pStyle w:val="a0"/>
        <w:numPr>
          <w:ilvl w:val="0"/>
          <w:numId w:val="0"/>
        </w:numPr>
        <w:rPr>
          <w:rFonts w:hint="eastAsia"/>
          <w:lang w:eastAsia="zh-CN"/>
        </w:rPr>
      </w:pPr>
    </w:p>
    <w:p w14:paraId="1B31BFF7" w14:textId="371EBC9E" w:rsidR="000E7B82" w:rsidRDefault="00B12449">
      <w:pPr>
        <w:pStyle w:val="1"/>
        <w:rPr>
          <w:lang w:eastAsia="zh-CN"/>
        </w:rPr>
      </w:pPr>
      <w:r>
        <w:rPr>
          <w:rFonts w:ascii="Calibri" w:eastAsia="宋体" w:hAnsi="Calibri" w:hint="eastAsia"/>
          <w:lang w:eastAsia="zh-CN"/>
        </w:rPr>
        <w:lastRenderedPageBreak/>
        <w:t>四</w:t>
      </w:r>
      <w:r w:rsidR="00000000">
        <w:rPr>
          <w:rFonts w:ascii="Calibri" w:eastAsia="宋体" w:hAnsi="Calibri"/>
          <w:lang w:eastAsia="zh-CN"/>
        </w:rPr>
        <w:t>、</w:t>
      </w:r>
      <w:r>
        <w:rPr>
          <w:rFonts w:ascii="Calibri" w:eastAsia="宋体" w:hAnsi="Calibri" w:hint="eastAsia"/>
          <w:lang w:eastAsia="zh-CN"/>
        </w:rPr>
        <w:t>研究方法</w:t>
      </w:r>
    </w:p>
    <w:p w14:paraId="5E9E3614" w14:textId="6687E25C" w:rsidR="000E7B82" w:rsidRDefault="00B12449">
      <w:pPr>
        <w:rPr>
          <w:rFonts w:hint="eastAsia"/>
          <w:lang w:eastAsia="zh-CN"/>
        </w:rPr>
      </w:pPr>
      <w:r>
        <w:rPr>
          <w:rFonts w:hint="eastAsia"/>
          <w:b/>
          <w:bCs/>
          <w:i/>
          <w:iCs/>
          <w:u w:val="single"/>
          <w:lang w:eastAsia="zh-CN"/>
        </w:rPr>
        <w:t>数据来源如下（</w:t>
      </w:r>
      <w:r>
        <w:rPr>
          <w:rFonts w:hint="eastAsia"/>
          <w:b/>
          <w:bCs/>
          <w:i/>
          <w:iCs/>
          <w:u w:val="single"/>
          <w:lang w:eastAsia="zh-CN"/>
        </w:rPr>
        <w:t>GIS</w:t>
      </w:r>
      <w:r>
        <w:rPr>
          <w:rFonts w:hint="eastAsia"/>
          <w:b/>
          <w:bCs/>
          <w:i/>
          <w:iCs/>
          <w:u w:val="single"/>
          <w:lang w:eastAsia="zh-CN"/>
        </w:rPr>
        <w:t>与项目级识别）：</w:t>
      </w:r>
    </w:p>
    <w:tbl>
      <w:tblPr>
        <w:tblW w:w="9360" w:type="dxa"/>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800"/>
        <w:gridCol w:w="2520"/>
        <w:gridCol w:w="2520"/>
        <w:gridCol w:w="2520"/>
      </w:tblGrid>
      <w:tr w:rsidR="000E7B82" w14:paraId="78DEC728" w14:textId="77777777">
        <w:trPr>
          <w:jc w:val="center"/>
        </w:trPr>
        <w:tc>
          <w:tcPr>
            <w:tcW w:w="1800" w:type="dxa"/>
            <w:shd w:val="clear" w:color="auto" w:fill="E8EEF5"/>
            <w:tcMar>
              <w:top w:w="80" w:type="dxa"/>
              <w:left w:w="120" w:type="dxa"/>
              <w:bottom w:w="80" w:type="dxa"/>
              <w:right w:w="120" w:type="dxa"/>
            </w:tcMar>
            <w:vAlign w:val="center"/>
          </w:tcPr>
          <w:p w14:paraId="768D84D0" w14:textId="77777777" w:rsidR="000E7B82" w:rsidRDefault="00000000">
            <w:pPr>
              <w:spacing w:after="0" w:line="276" w:lineRule="auto"/>
            </w:pPr>
            <w:proofErr w:type="spellStart"/>
            <w:r>
              <w:rPr>
                <w:b/>
                <w:color w:val="0B2545"/>
                <w:sz w:val="19"/>
              </w:rPr>
              <w:t>识别模块</w:t>
            </w:r>
            <w:proofErr w:type="spellEnd"/>
          </w:p>
        </w:tc>
        <w:tc>
          <w:tcPr>
            <w:tcW w:w="2520" w:type="dxa"/>
            <w:shd w:val="clear" w:color="auto" w:fill="E8EEF5"/>
            <w:tcMar>
              <w:top w:w="80" w:type="dxa"/>
              <w:left w:w="120" w:type="dxa"/>
              <w:bottom w:w="80" w:type="dxa"/>
              <w:right w:w="120" w:type="dxa"/>
            </w:tcMar>
            <w:vAlign w:val="center"/>
          </w:tcPr>
          <w:p w14:paraId="2E2D20D1" w14:textId="77777777" w:rsidR="000E7B82" w:rsidRDefault="00000000">
            <w:pPr>
              <w:spacing w:after="0" w:line="276" w:lineRule="auto"/>
            </w:pPr>
            <w:r>
              <w:rPr>
                <w:b/>
                <w:color w:val="0B2545"/>
                <w:sz w:val="19"/>
              </w:rPr>
              <w:t>核心设计</w:t>
            </w:r>
          </w:p>
        </w:tc>
        <w:tc>
          <w:tcPr>
            <w:tcW w:w="2520" w:type="dxa"/>
            <w:shd w:val="clear" w:color="auto" w:fill="E8EEF5"/>
            <w:tcMar>
              <w:top w:w="80" w:type="dxa"/>
              <w:left w:w="120" w:type="dxa"/>
              <w:bottom w:w="80" w:type="dxa"/>
              <w:right w:w="120" w:type="dxa"/>
            </w:tcMar>
            <w:vAlign w:val="center"/>
          </w:tcPr>
          <w:p w14:paraId="1450B224" w14:textId="77777777" w:rsidR="000E7B82" w:rsidRDefault="00000000">
            <w:pPr>
              <w:spacing w:after="0" w:line="276" w:lineRule="auto"/>
            </w:pPr>
            <w:r>
              <w:rPr>
                <w:b/>
                <w:color w:val="0B2545"/>
                <w:sz w:val="19"/>
              </w:rPr>
              <w:t>因果链条</w:t>
            </w:r>
          </w:p>
        </w:tc>
        <w:tc>
          <w:tcPr>
            <w:tcW w:w="2520" w:type="dxa"/>
            <w:shd w:val="clear" w:color="auto" w:fill="E8EEF5"/>
            <w:tcMar>
              <w:top w:w="80" w:type="dxa"/>
              <w:left w:w="120" w:type="dxa"/>
              <w:bottom w:w="80" w:type="dxa"/>
              <w:right w:w="120" w:type="dxa"/>
            </w:tcMar>
            <w:vAlign w:val="center"/>
          </w:tcPr>
          <w:p w14:paraId="76CEDC1A" w14:textId="77777777" w:rsidR="000E7B82" w:rsidRDefault="00000000">
            <w:pPr>
              <w:spacing w:after="0" w:line="276" w:lineRule="auto"/>
            </w:pPr>
            <w:r>
              <w:rPr>
                <w:b/>
                <w:color w:val="0B2545"/>
                <w:sz w:val="19"/>
              </w:rPr>
              <w:t>主要风险与处理</w:t>
            </w:r>
          </w:p>
        </w:tc>
      </w:tr>
      <w:tr w:rsidR="000E7B82" w14:paraId="7C6E846D" w14:textId="77777777">
        <w:trPr>
          <w:jc w:val="center"/>
        </w:trPr>
        <w:tc>
          <w:tcPr>
            <w:tcW w:w="1800" w:type="dxa"/>
            <w:tcMar>
              <w:top w:w="80" w:type="dxa"/>
              <w:left w:w="120" w:type="dxa"/>
              <w:bottom w:w="80" w:type="dxa"/>
              <w:right w:w="120" w:type="dxa"/>
            </w:tcMar>
            <w:vAlign w:val="center"/>
          </w:tcPr>
          <w:p w14:paraId="158B3129" w14:textId="77777777" w:rsidR="000E7B82" w:rsidRDefault="00000000">
            <w:pPr>
              <w:spacing w:after="0" w:line="276" w:lineRule="auto"/>
            </w:pPr>
            <w:r>
              <w:rPr>
                <w:sz w:val="18"/>
              </w:rPr>
              <w:t>价格冲击与信用传导</w:t>
            </w:r>
          </w:p>
        </w:tc>
        <w:tc>
          <w:tcPr>
            <w:tcW w:w="2520" w:type="dxa"/>
            <w:tcMar>
              <w:top w:w="80" w:type="dxa"/>
              <w:left w:w="120" w:type="dxa"/>
              <w:bottom w:w="80" w:type="dxa"/>
              <w:right w:w="120" w:type="dxa"/>
            </w:tcMar>
            <w:vAlign w:val="center"/>
          </w:tcPr>
          <w:p w14:paraId="17E9AD77" w14:textId="77777777" w:rsidR="000E7B82" w:rsidRDefault="00000000">
            <w:pPr>
              <w:spacing w:after="0" w:line="276" w:lineRule="auto"/>
              <w:rPr>
                <w:lang w:eastAsia="zh-CN"/>
              </w:rPr>
            </w:pPr>
            <w:r>
              <w:rPr>
                <w:sz w:val="18"/>
                <w:lang w:eastAsia="zh-CN"/>
              </w:rPr>
              <w:t>利用国际矿物价格波动与国家矿物暴露度构造</w:t>
            </w:r>
            <w:r>
              <w:rPr>
                <w:sz w:val="18"/>
                <w:lang w:eastAsia="zh-CN"/>
              </w:rPr>
              <w:t>shift-share</w:t>
            </w:r>
            <w:r>
              <w:rPr>
                <w:sz w:val="18"/>
                <w:lang w:eastAsia="zh-CN"/>
              </w:rPr>
              <w:t>冲击</w:t>
            </w:r>
          </w:p>
        </w:tc>
        <w:tc>
          <w:tcPr>
            <w:tcW w:w="2520" w:type="dxa"/>
            <w:tcMar>
              <w:top w:w="80" w:type="dxa"/>
              <w:left w:w="120" w:type="dxa"/>
              <w:bottom w:w="80" w:type="dxa"/>
              <w:right w:w="120" w:type="dxa"/>
            </w:tcMar>
            <w:vAlign w:val="center"/>
          </w:tcPr>
          <w:p w14:paraId="7AB07137" w14:textId="77777777" w:rsidR="000E7B82" w:rsidRDefault="00000000">
            <w:pPr>
              <w:spacing w:after="0" w:line="276" w:lineRule="auto"/>
              <w:rPr>
                <w:lang w:eastAsia="zh-CN"/>
              </w:rPr>
            </w:pPr>
            <w:r>
              <w:rPr>
                <w:sz w:val="18"/>
                <w:lang w:eastAsia="zh-CN"/>
              </w:rPr>
              <w:t>矿物价格</w:t>
            </w:r>
            <w:r>
              <w:rPr>
                <w:sz w:val="18"/>
                <w:lang w:eastAsia="zh-CN"/>
              </w:rPr>
              <w:t xml:space="preserve"> → </w:t>
            </w:r>
            <w:r>
              <w:rPr>
                <w:sz w:val="18"/>
                <w:lang w:eastAsia="zh-CN"/>
              </w:rPr>
              <w:t>主权信用</w:t>
            </w:r>
            <w:r>
              <w:rPr>
                <w:sz w:val="18"/>
                <w:lang w:eastAsia="zh-CN"/>
              </w:rPr>
              <w:t>/</w:t>
            </w:r>
            <w:r>
              <w:rPr>
                <w:sz w:val="18"/>
                <w:lang w:eastAsia="zh-CN"/>
              </w:rPr>
              <w:t>融资承诺</w:t>
            </w:r>
            <w:r>
              <w:rPr>
                <w:sz w:val="18"/>
                <w:lang w:eastAsia="zh-CN"/>
              </w:rPr>
              <w:t xml:space="preserve"> → WACC → </w:t>
            </w:r>
            <w:r>
              <w:rPr>
                <w:sz w:val="18"/>
                <w:lang w:eastAsia="zh-CN"/>
              </w:rPr>
              <w:t>可再生能源项目投运</w:t>
            </w:r>
          </w:p>
        </w:tc>
        <w:tc>
          <w:tcPr>
            <w:tcW w:w="2520" w:type="dxa"/>
            <w:tcMar>
              <w:top w:w="80" w:type="dxa"/>
              <w:left w:w="120" w:type="dxa"/>
              <w:bottom w:w="80" w:type="dxa"/>
              <w:right w:w="120" w:type="dxa"/>
            </w:tcMar>
            <w:vAlign w:val="center"/>
          </w:tcPr>
          <w:p w14:paraId="5DF433A7" w14:textId="77777777" w:rsidR="000E7B82" w:rsidRDefault="00000000">
            <w:pPr>
              <w:spacing w:after="0" w:line="276" w:lineRule="auto"/>
              <w:rPr>
                <w:lang w:eastAsia="zh-CN"/>
              </w:rPr>
            </w:pPr>
            <w:r>
              <w:rPr>
                <w:sz w:val="18"/>
                <w:lang w:eastAsia="zh-CN"/>
              </w:rPr>
              <w:t>控制全球能源价格、国家固定效应、年份固定效应；进行矿种替换和滞后项检验</w:t>
            </w:r>
          </w:p>
        </w:tc>
      </w:tr>
      <w:tr w:rsidR="000E7B82" w14:paraId="2A22223E" w14:textId="77777777">
        <w:trPr>
          <w:jc w:val="center"/>
        </w:trPr>
        <w:tc>
          <w:tcPr>
            <w:tcW w:w="1800" w:type="dxa"/>
            <w:tcMar>
              <w:top w:w="80" w:type="dxa"/>
              <w:left w:w="120" w:type="dxa"/>
              <w:bottom w:w="80" w:type="dxa"/>
              <w:right w:w="120" w:type="dxa"/>
            </w:tcMar>
            <w:vAlign w:val="center"/>
          </w:tcPr>
          <w:p w14:paraId="36DB45FB" w14:textId="77777777" w:rsidR="000E7B82" w:rsidRDefault="00000000">
            <w:pPr>
              <w:spacing w:after="0" w:line="276" w:lineRule="auto"/>
            </w:pPr>
            <w:r>
              <w:rPr>
                <w:sz w:val="18"/>
              </w:rPr>
              <w:t>DID/</w:t>
            </w:r>
            <w:proofErr w:type="spellStart"/>
            <w:r>
              <w:rPr>
                <w:sz w:val="18"/>
              </w:rPr>
              <w:t>事件研究</w:t>
            </w:r>
            <w:proofErr w:type="spellEnd"/>
          </w:p>
        </w:tc>
        <w:tc>
          <w:tcPr>
            <w:tcW w:w="2520" w:type="dxa"/>
            <w:tcMar>
              <w:top w:w="80" w:type="dxa"/>
              <w:left w:w="120" w:type="dxa"/>
              <w:bottom w:w="80" w:type="dxa"/>
              <w:right w:w="120" w:type="dxa"/>
            </w:tcMar>
            <w:vAlign w:val="center"/>
          </w:tcPr>
          <w:p w14:paraId="151875BE" w14:textId="77777777" w:rsidR="000E7B82" w:rsidRDefault="00000000">
            <w:pPr>
              <w:spacing w:after="0" w:line="276" w:lineRule="auto"/>
              <w:rPr>
                <w:lang w:eastAsia="zh-CN"/>
              </w:rPr>
            </w:pPr>
            <w:r>
              <w:rPr>
                <w:sz w:val="18"/>
                <w:lang w:eastAsia="zh-CN"/>
              </w:rPr>
              <w:t>围绕</w:t>
            </w:r>
            <w:r>
              <w:rPr>
                <w:sz w:val="18"/>
                <w:lang w:eastAsia="zh-CN"/>
              </w:rPr>
              <w:t>JETP</w:t>
            </w:r>
            <w:r>
              <w:rPr>
                <w:sz w:val="18"/>
                <w:lang w:eastAsia="zh-CN"/>
              </w:rPr>
              <w:t>、拍卖制改革、电力市场改革、矿产本地加工政策设置事件窗口</w:t>
            </w:r>
          </w:p>
        </w:tc>
        <w:tc>
          <w:tcPr>
            <w:tcW w:w="2520" w:type="dxa"/>
            <w:tcMar>
              <w:top w:w="80" w:type="dxa"/>
              <w:left w:w="120" w:type="dxa"/>
              <w:bottom w:w="80" w:type="dxa"/>
              <w:right w:w="120" w:type="dxa"/>
            </w:tcMar>
            <w:vAlign w:val="center"/>
          </w:tcPr>
          <w:p w14:paraId="6669BF68" w14:textId="77777777" w:rsidR="000E7B82" w:rsidRDefault="00000000">
            <w:pPr>
              <w:spacing w:after="0" w:line="276" w:lineRule="auto"/>
              <w:rPr>
                <w:lang w:eastAsia="zh-CN"/>
              </w:rPr>
            </w:pPr>
            <w:r>
              <w:rPr>
                <w:sz w:val="18"/>
                <w:lang w:eastAsia="zh-CN"/>
              </w:rPr>
              <w:t>政策改革</w:t>
            </w:r>
            <w:r>
              <w:rPr>
                <w:sz w:val="18"/>
                <w:lang w:eastAsia="zh-CN"/>
              </w:rPr>
              <w:t xml:space="preserve"> → </w:t>
            </w:r>
            <w:r>
              <w:rPr>
                <w:sz w:val="18"/>
                <w:lang w:eastAsia="zh-CN"/>
              </w:rPr>
              <w:t>项目融资结构</w:t>
            </w:r>
            <w:r>
              <w:rPr>
                <w:sz w:val="18"/>
                <w:lang w:eastAsia="zh-CN"/>
              </w:rPr>
              <w:t>/</w:t>
            </w:r>
            <w:r>
              <w:rPr>
                <w:sz w:val="18"/>
                <w:lang w:eastAsia="zh-CN"/>
              </w:rPr>
              <w:t>建设概率</w:t>
            </w:r>
            <w:r>
              <w:rPr>
                <w:sz w:val="18"/>
                <w:lang w:eastAsia="zh-CN"/>
              </w:rPr>
              <w:t xml:space="preserve"> → </w:t>
            </w:r>
            <w:r>
              <w:rPr>
                <w:sz w:val="18"/>
                <w:lang w:eastAsia="zh-CN"/>
              </w:rPr>
              <w:t>装机与发电结构</w:t>
            </w:r>
          </w:p>
        </w:tc>
        <w:tc>
          <w:tcPr>
            <w:tcW w:w="2520" w:type="dxa"/>
            <w:tcMar>
              <w:top w:w="80" w:type="dxa"/>
              <w:left w:w="120" w:type="dxa"/>
              <w:bottom w:w="80" w:type="dxa"/>
              <w:right w:w="120" w:type="dxa"/>
            </w:tcMar>
            <w:vAlign w:val="center"/>
          </w:tcPr>
          <w:p w14:paraId="01E0DA44" w14:textId="77777777" w:rsidR="000E7B82" w:rsidRDefault="00000000">
            <w:pPr>
              <w:spacing w:after="0" w:line="276" w:lineRule="auto"/>
              <w:rPr>
                <w:lang w:eastAsia="zh-CN"/>
              </w:rPr>
            </w:pPr>
            <w:r>
              <w:rPr>
                <w:sz w:val="18"/>
                <w:lang w:eastAsia="zh-CN"/>
              </w:rPr>
              <w:t>检验平行趋势；构造相近国家或项目的对照组</w:t>
            </w:r>
          </w:p>
        </w:tc>
      </w:tr>
      <w:tr w:rsidR="000E7B82" w14:paraId="1392F1AC" w14:textId="77777777">
        <w:trPr>
          <w:jc w:val="center"/>
        </w:trPr>
        <w:tc>
          <w:tcPr>
            <w:tcW w:w="1800" w:type="dxa"/>
            <w:tcMar>
              <w:top w:w="80" w:type="dxa"/>
              <w:left w:w="120" w:type="dxa"/>
              <w:bottom w:w="80" w:type="dxa"/>
              <w:right w:w="120" w:type="dxa"/>
            </w:tcMar>
            <w:vAlign w:val="center"/>
          </w:tcPr>
          <w:p w14:paraId="7A887F8F" w14:textId="77777777" w:rsidR="000E7B82" w:rsidRDefault="00000000">
            <w:pPr>
              <w:spacing w:after="0" w:line="276" w:lineRule="auto"/>
            </w:pPr>
            <w:proofErr w:type="spellStart"/>
            <w:r>
              <w:rPr>
                <w:sz w:val="18"/>
              </w:rPr>
              <w:t>项目级生存模型</w:t>
            </w:r>
            <w:proofErr w:type="spellEnd"/>
          </w:p>
        </w:tc>
        <w:tc>
          <w:tcPr>
            <w:tcW w:w="2520" w:type="dxa"/>
            <w:tcMar>
              <w:top w:w="80" w:type="dxa"/>
              <w:left w:w="120" w:type="dxa"/>
              <w:bottom w:w="80" w:type="dxa"/>
              <w:right w:w="120" w:type="dxa"/>
            </w:tcMar>
            <w:vAlign w:val="center"/>
          </w:tcPr>
          <w:p w14:paraId="61929C64" w14:textId="77777777" w:rsidR="000E7B82" w:rsidRDefault="00000000">
            <w:pPr>
              <w:spacing w:after="0" w:line="276" w:lineRule="auto"/>
              <w:rPr>
                <w:lang w:eastAsia="zh-CN"/>
              </w:rPr>
            </w:pPr>
            <w:r>
              <w:rPr>
                <w:sz w:val="18"/>
                <w:lang w:eastAsia="zh-CN"/>
              </w:rPr>
              <w:t>以项目公告、融资关闭、开工、投运为阶段，估计政策与融资对项目存活概率的影响</w:t>
            </w:r>
          </w:p>
        </w:tc>
        <w:tc>
          <w:tcPr>
            <w:tcW w:w="2520" w:type="dxa"/>
            <w:tcMar>
              <w:top w:w="80" w:type="dxa"/>
              <w:left w:w="120" w:type="dxa"/>
              <w:bottom w:w="80" w:type="dxa"/>
              <w:right w:w="120" w:type="dxa"/>
            </w:tcMar>
            <w:vAlign w:val="center"/>
          </w:tcPr>
          <w:p w14:paraId="50868384" w14:textId="77777777" w:rsidR="000E7B82" w:rsidRDefault="00000000">
            <w:pPr>
              <w:spacing w:after="0" w:line="276" w:lineRule="auto"/>
              <w:rPr>
                <w:lang w:eastAsia="zh-CN"/>
              </w:rPr>
            </w:pPr>
            <w:r>
              <w:rPr>
                <w:sz w:val="18"/>
                <w:lang w:eastAsia="zh-CN"/>
              </w:rPr>
              <w:t>政策去风险</w:t>
            </w:r>
            <w:r>
              <w:rPr>
                <w:sz w:val="18"/>
                <w:lang w:eastAsia="zh-CN"/>
              </w:rPr>
              <w:t xml:space="preserve"> → </w:t>
            </w:r>
            <w:r>
              <w:rPr>
                <w:sz w:val="18"/>
                <w:lang w:eastAsia="zh-CN"/>
              </w:rPr>
              <w:t>融资关闭率</w:t>
            </w:r>
            <w:r>
              <w:rPr>
                <w:sz w:val="18"/>
                <w:lang w:eastAsia="zh-CN"/>
              </w:rPr>
              <w:t xml:space="preserve"> → </w:t>
            </w:r>
            <w:r>
              <w:rPr>
                <w:sz w:val="18"/>
                <w:lang w:eastAsia="zh-CN"/>
              </w:rPr>
              <w:t>投运概率</w:t>
            </w:r>
          </w:p>
        </w:tc>
        <w:tc>
          <w:tcPr>
            <w:tcW w:w="2520" w:type="dxa"/>
            <w:tcMar>
              <w:top w:w="80" w:type="dxa"/>
              <w:left w:w="120" w:type="dxa"/>
              <w:bottom w:w="80" w:type="dxa"/>
              <w:right w:w="120" w:type="dxa"/>
            </w:tcMar>
            <w:vAlign w:val="center"/>
          </w:tcPr>
          <w:p w14:paraId="53703AF7" w14:textId="77777777" w:rsidR="000E7B82" w:rsidRDefault="00000000">
            <w:pPr>
              <w:spacing w:after="0" w:line="276" w:lineRule="auto"/>
              <w:rPr>
                <w:lang w:eastAsia="zh-CN"/>
              </w:rPr>
            </w:pPr>
            <w:r>
              <w:rPr>
                <w:sz w:val="18"/>
                <w:lang w:eastAsia="zh-CN"/>
              </w:rPr>
              <w:t>处理右删失；区分技术类型和开发商背景</w:t>
            </w:r>
          </w:p>
        </w:tc>
      </w:tr>
      <w:tr w:rsidR="000E7B82" w14:paraId="36BE488D" w14:textId="77777777">
        <w:trPr>
          <w:jc w:val="center"/>
        </w:trPr>
        <w:tc>
          <w:tcPr>
            <w:tcW w:w="1800" w:type="dxa"/>
            <w:tcMar>
              <w:top w:w="80" w:type="dxa"/>
              <w:left w:w="120" w:type="dxa"/>
              <w:bottom w:w="80" w:type="dxa"/>
              <w:right w:w="120" w:type="dxa"/>
            </w:tcMar>
            <w:vAlign w:val="center"/>
          </w:tcPr>
          <w:p w14:paraId="074E0218" w14:textId="77777777" w:rsidR="000E7B82" w:rsidRDefault="00000000">
            <w:pPr>
              <w:spacing w:after="0" w:line="276" w:lineRule="auto"/>
            </w:pPr>
            <w:proofErr w:type="spellStart"/>
            <w:r>
              <w:rPr>
                <w:sz w:val="18"/>
              </w:rPr>
              <w:t>空间计量</w:t>
            </w:r>
            <w:proofErr w:type="spellEnd"/>
          </w:p>
        </w:tc>
        <w:tc>
          <w:tcPr>
            <w:tcW w:w="2520" w:type="dxa"/>
            <w:tcMar>
              <w:top w:w="80" w:type="dxa"/>
              <w:left w:w="120" w:type="dxa"/>
              <w:bottom w:w="80" w:type="dxa"/>
              <w:right w:w="120" w:type="dxa"/>
            </w:tcMar>
            <w:vAlign w:val="center"/>
          </w:tcPr>
          <w:p w14:paraId="56B30572" w14:textId="77777777" w:rsidR="000E7B82" w:rsidRDefault="00000000">
            <w:pPr>
              <w:spacing w:after="0" w:line="276" w:lineRule="auto"/>
              <w:rPr>
                <w:lang w:eastAsia="zh-CN"/>
              </w:rPr>
            </w:pPr>
            <w:r>
              <w:rPr>
                <w:sz w:val="18"/>
                <w:lang w:eastAsia="zh-CN"/>
              </w:rPr>
              <w:t>建立</w:t>
            </w:r>
            <w:r>
              <w:rPr>
                <w:sz w:val="18"/>
                <w:lang w:eastAsia="zh-CN"/>
              </w:rPr>
              <w:t>0.5°×0.5°</w:t>
            </w:r>
            <w:r>
              <w:rPr>
                <w:sz w:val="18"/>
                <w:lang w:eastAsia="zh-CN"/>
              </w:rPr>
              <w:t>格网，叠加矿区、风光资源、电网、道路、人口和夜间灯光</w:t>
            </w:r>
          </w:p>
        </w:tc>
        <w:tc>
          <w:tcPr>
            <w:tcW w:w="2520" w:type="dxa"/>
            <w:tcMar>
              <w:top w:w="80" w:type="dxa"/>
              <w:left w:w="120" w:type="dxa"/>
              <w:bottom w:w="80" w:type="dxa"/>
              <w:right w:w="120" w:type="dxa"/>
            </w:tcMar>
            <w:vAlign w:val="center"/>
          </w:tcPr>
          <w:p w14:paraId="2CE4BF21" w14:textId="77777777" w:rsidR="000E7B82" w:rsidRDefault="00000000">
            <w:pPr>
              <w:spacing w:after="0" w:line="276" w:lineRule="auto"/>
              <w:rPr>
                <w:lang w:eastAsia="zh-CN"/>
              </w:rPr>
            </w:pPr>
            <w:r>
              <w:rPr>
                <w:sz w:val="18"/>
                <w:lang w:eastAsia="zh-CN"/>
              </w:rPr>
              <w:t>资源重叠</w:t>
            </w:r>
            <w:r>
              <w:rPr>
                <w:sz w:val="18"/>
                <w:lang w:eastAsia="zh-CN"/>
              </w:rPr>
              <w:t xml:space="preserve"> → </w:t>
            </w:r>
            <w:r>
              <w:rPr>
                <w:sz w:val="18"/>
                <w:lang w:eastAsia="zh-CN"/>
              </w:rPr>
              <w:t>基础设施溢出</w:t>
            </w:r>
            <w:r>
              <w:rPr>
                <w:sz w:val="18"/>
                <w:lang w:eastAsia="zh-CN"/>
              </w:rPr>
              <w:t>/</w:t>
            </w:r>
            <w:r>
              <w:rPr>
                <w:sz w:val="18"/>
                <w:lang w:eastAsia="zh-CN"/>
              </w:rPr>
              <w:t>环境压力</w:t>
            </w:r>
            <w:r>
              <w:rPr>
                <w:sz w:val="18"/>
                <w:lang w:eastAsia="zh-CN"/>
              </w:rPr>
              <w:t xml:space="preserve"> → </w:t>
            </w:r>
            <w:r>
              <w:rPr>
                <w:sz w:val="18"/>
                <w:lang w:eastAsia="zh-CN"/>
              </w:rPr>
              <w:t>社区能源与发展结果</w:t>
            </w:r>
          </w:p>
        </w:tc>
        <w:tc>
          <w:tcPr>
            <w:tcW w:w="2520" w:type="dxa"/>
            <w:tcMar>
              <w:top w:w="80" w:type="dxa"/>
              <w:left w:w="120" w:type="dxa"/>
              <w:bottom w:w="80" w:type="dxa"/>
              <w:right w:w="120" w:type="dxa"/>
            </w:tcMar>
            <w:vAlign w:val="center"/>
          </w:tcPr>
          <w:p w14:paraId="5E853139" w14:textId="77777777" w:rsidR="000E7B82" w:rsidRDefault="00000000">
            <w:pPr>
              <w:spacing w:after="0" w:line="276" w:lineRule="auto"/>
              <w:rPr>
                <w:lang w:eastAsia="zh-CN"/>
              </w:rPr>
            </w:pPr>
            <w:r>
              <w:rPr>
                <w:sz w:val="18"/>
                <w:lang w:eastAsia="zh-CN"/>
              </w:rPr>
              <w:t>使用空间滞后模型、缓冲区匹配和地形</w:t>
            </w:r>
            <w:r>
              <w:rPr>
                <w:sz w:val="18"/>
                <w:lang w:eastAsia="zh-CN"/>
              </w:rPr>
              <w:t>/</w:t>
            </w:r>
            <w:r>
              <w:rPr>
                <w:sz w:val="18"/>
                <w:lang w:eastAsia="zh-CN"/>
              </w:rPr>
              <w:t>距离控制</w:t>
            </w:r>
          </w:p>
        </w:tc>
      </w:tr>
      <w:tr w:rsidR="000E7B82" w14:paraId="439CDFE4" w14:textId="77777777">
        <w:trPr>
          <w:jc w:val="center"/>
        </w:trPr>
        <w:tc>
          <w:tcPr>
            <w:tcW w:w="1800" w:type="dxa"/>
            <w:tcMar>
              <w:top w:w="80" w:type="dxa"/>
              <w:left w:w="120" w:type="dxa"/>
              <w:bottom w:w="80" w:type="dxa"/>
              <w:right w:w="120" w:type="dxa"/>
            </w:tcMar>
            <w:vAlign w:val="center"/>
          </w:tcPr>
          <w:p w14:paraId="3CF211D4" w14:textId="77777777" w:rsidR="000E7B82" w:rsidRDefault="00000000">
            <w:pPr>
              <w:spacing w:after="0" w:line="276" w:lineRule="auto"/>
            </w:pPr>
            <w:proofErr w:type="spellStart"/>
            <w:r>
              <w:rPr>
                <w:sz w:val="18"/>
              </w:rPr>
              <w:t>合成控制</w:t>
            </w:r>
            <w:proofErr w:type="spellEnd"/>
            <w:r>
              <w:rPr>
                <w:sz w:val="18"/>
              </w:rPr>
              <w:t>/</w:t>
            </w:r>
            <w:proofErr w:type="spellStart"/>
            <w:r>
              <w:rPr>
                <w:sz w:val="18"/>
              </w:rPr>
              <w:t>比较案例</w:t>
            </w:r>
            <w:proofErr w:type="spellEnd"/>
          </w:p>
        </w:tc>
        <w:tc>
          <w:tcPr>
            <w:tcW w:w="2520" w:type="dxa"/>
            <w:tcMar>
              <w:top w:w="80" w:type="dxa"/>
              <w:left w:w="120" w:type="dxa"/>
              <w:bottom w:w="80" w:type="dxa"/>
              <w:right w:w="120" w:type="dxa"/>
            </w:tcMar>
            <w:vAlign w:val="center"/>
          </w:tcPr>
          <w:p w14:paraId="2DA2CC3B" w14:textId="77777777" w:rsidR="000E7B82" w:rsidRDefault="00000000">
            <w:pPr>
              <w:spacing w:after="0" w:line="276" w:lineRule="auto"/>
              <w:rPr>
                <w:lang w:eastAsia="zh-CN"/>
              </w:rPr>
            </w:pPr>
            <w:r>
              <w:rPr>
                <w:sz w:val="18"/>
                <w:lang w:eastAsia="zh-CN"/>
              </w:rPr>
              <w:t>以南非、肯尼亚、乌干达为深度案例，构造政策冲击前后的反事实路径</w:t>
            </w:r>
          </w:p>
        </w:tc>
        <w:tc>
          <w:tcPr>
            <w:tcW w:w="2520" w:type="dxa"/>
            <w:tcMar>
              <w:top w:w="80" w:type="dxa"/>
              <w:left w:w="120" w:type="dxa"/>
              <w:bottom w:w="80" w:type="dxa"/>
              <w:right w:w="120" w:type="dxa"/>
            </w:tcMar>
            <w:vAlign w:val="center"/>
          </w:tcPr>
          <w:p w14:paraId="5981C195" w14:textId="77777777" w:rsidR="000E7B82" w:rsidRDefault="00000000">
            <w:pPr>
              <w:spacing w:after="0" w:line="276" w:lineRule="auto"/>
              <w:rPr>
                <w:lang w:eastAsia="zh-CN"/>
              </w:rPr>
            </w:pPr>
            <w:r>
              <w:rPr>
                <w:sz w:val="18"/>
                <w:lang w:eastAsia="zh-CN"/>
              </w:rPr>
              <w:t>政策组合</w:t>
            </w:r>
            <w:r>
              <w:rPr>
                <w:sz w:val="18"/>
                <w:lang w:eastAsia="zh-CN"/>
              </w:rPr>
              <w:t xml:space="preserve"> → </w:t>
            </w:r>
            <w:r>
              <w:rPr>
                <w:sz w:val="18"/>
                <w:lang w:eastAsia="zh-CN"/>
              </w:rPr>
              <w:t>转型绩效差异</w:t>
            </w:r>
          </w:p>
        </w:tc>
        <w:tc>
          <w:tcPr>
            <w:tcW w:w="2520" w:type="dxa"/>
            <w:tcMar>
              <w:top w:w="80" w:type="dxa"/>
              <w:left w:w="120" w:type="dxa"/>
              <w:bottom w:w="80" w:type="dxa"/>
              <w:right w:w="120" w:type="dxa"/>
            </w:tcMar>
            <w:vAlign w:val="center"/>
          </w:tcPr>
          <w:p w14:paraId="61EC5C46" w14:textId="77777777" w:rsidR="000E7B82" w:rsidRDefault="00000000">
            <w:pPr>
              <w:spacing w:after="0" w:line="276" w:lineRule="auto"/>
              <w:rPr>
                <w:lang w:eastAsia="zh-CN"/>
              </w:rPr>
            </w:pPr>
            <w:r>
              <w:rPr>
                <w:sz w:val="18"/>
                <w:lang w:eastAsia="zh-CN"/>
              </w:rPr>
              <w:t>用于机制解释，不替代大样本估计</w:t>
            </w:r>
          </w:p>
        </w:tc>
      </w:tr>
    </w:tbl>
    <w:p w14:paraId="3478E925" w14:textId="11AA85A7" w:rsidR="00B12449" w:rsidRDefault="00B12449" w:rsidP="00B12449">
      <w:pPr>
        <w:rPr>
          <w:rFonts w:hint="eastAsia"/>
          <w:lang w:eastAsia="zh-CN"/>
        </w:rPr>
      </w:pPr>
      <w:r>
        <w:rPr>
          <w:rFonts w:hint="eastAsia"/>
          <w:b/>
          <w:bCs/>
          <w:i/>
          <w:iCs/>
          <w:u w:val="single"/>
          <w:lang w:eastAsia="zh-CN"/>
        </w:rPr>
        <w:t>模型构建</w:t>
      </w:r>
      <w:r>
        <w:rPr>
          <w:rFonts w:hint="eastAsia"/>
          <w:b/>
          <w:bCs/>
          <w:i/>
          <w:iCs/>
          <w:u w:val="single"/>
          <w:lang w:eastAsia="zh-CN"/>
        </w:rPr>
        <w:t>如下</w:t>
      </w:r>
      <w:r>
        <w:rPr>
          <w:rFonts w:hint="eastAsia"/>
          <w:b/>
          <w:bCs/>
          <w:i/>
          <w:iCs/>
          <w:u w:val="single"/>
          <w:lang w:eastAsia="zh-CN"/>
        </w:rPr>
        <w:t>（</w:t>
      </w:r>
      <w:r>
        <w:rPr>
          <w:rFonts w:hint="eastAsia"/>
          <w:b/>
          <w:bCs/>
          <w:i/>
          <w:iCs/>
          <w:u w:val="single"/>
          <w:lang w:eastAsia="zh-CN"/>
        </w:rPr>
        <w:t>SEM</w:t>
      </w:r>
      <w:r>
        <w:rPr>
          <w:rFonts w:hint="eastAsia"/>
          <w:b/>
          <w:bCs/>
          <w:i/>
          <w:iCs/>
          <w:u w:val="single"/>
          <w:lang w:eastAsia="zh-CN"/>
        </w:rPr>
        <w:t>因果识别）</w:t>
      </w:r>
      <w:r>
        <w:rPr>
          <w:rFonts w:hint="eastAsia"/>
          <w:b/>
          <w:bCs/>
          <w:i/>
          <w:iCs/>
          <w:u w:val="single"/>
          <w:lang w:eastAsia="zh-CN"/>
        </w:rPr>
        <w:t>：</w:t>
      </w:r>
    </w:p>
    <w:p w14:paraId="25F4A331" w14:textId="77777777" w:rsidR="00B12449" w:rsidRPr="00B12449" w:rsidRDefault="00B12449">
      <w:pPr>
        <w:spacing w:after="40"/>
        <w:rPr>
          <w:rFonts w:hint="eastAsia"/>
          <w:lang w:eastAsia="zh-CN"/>
        </w:rPr>
      </w:pPr>
    </w:p>
    <w:p w14:paraId="5F804813" w14:textId="173ABF83" w:rsidR="000E7B82" w:rsidRDefault="00277203">
      <w:pPr>
        <w:pStyle w:val="1"/>
        <w:rPr>
          <w:lang w:eastAsia="zh-CN"/>
        </w:rPr>
      </w:pPr>
      <w:r>
        <w:rPr>
          <w:rFonts w:ascii="Calibri" w:eastAsia="宋体" w:hAnsi="Calibri" w:hint="eastAsia"/>
          <w:lang w:eastAsia="zh-CN"/>
        </w:rPr>
        <w:lastRenderedPageBreak/>
        <w:t>七</w:t>
      </w:r>
      <w:r>
        <w:rPr>
          <w:rFonts w:ascii="Calibri" w:eastAsia="宋体" w:hAnsi="Calibri"/>
          <w:lang w:eastAsia="zh-CN"/>
        </w:rPr>
        <w:t>、预期创新与学术贡献</w:t>
      </w:r>
    </w:p>
    <w:p w14:paraId="5759DC2A" w14:textId="77777777" w:rsidR="000E7B82" w:rsidRDefault="00000000">
      <w:pPr>
        <w:pStyle w:val="a0"/>
        <w:rPr>
          <w:lang w:eastAsia="zh-CN"/>
        </w:rPr>
      </w:pPr>
      <w:r>
        <w:rPr>
          <w:lang w:eastAsia="zh-CN"/>
        </w:rPr>
        <w:t>理论创新：提出</w:t>
      </w:r>
      <w:r>
        <w:rPr>
          <w:lang w:eastAsia="zh-CN"/>
        </w:rPr>
        <w:t>“</w:t>
      </w:r>
      <w:r>
        <w:rPr>
          <w:lang w:eastAsia="zh-CN"/>
        </w:rPr>
        <w:t>关键矿物供全球、可再生能源供本土</w:t>
      </w:r>
      <w:r>
        <w:rPr>
          <w:lang w:eastAsia="zh-CN"/>
        </w:rPr>
        <w:t>”</w:t>
      </w:r>
      <w:r>
        <w:rPr>
          <w:lang w:eastAsia="zh-CN"/>
        </w:rPr>
        <w:t>的资源双重性框架，突破传统资源诅咒研究只关注出口收入和制度退化的单线叙事。</w:t>
      </w:r>
    </w:p>
    <w:p w14:paraId="2D601A3D" w14:textId="77777777" w:rsidR="000E7B82" w:rsidRDefault="00000000">
      <w:pPr>
        <w:pStyle w:val="a0"/>
        <w:rPr>
          <w:lang w:eastAsia="zh-CN"/>
        </w:rPr>
      </w:pPr>
      <w:r>
        <w:rPr>
          <w:lang w:eastAsia="zh-CN"/>
        </w:rPr>
        <w:t>机制创新：把国际融资、资本成本、电网吸纳能力和国内治理能力连接为可检验的传导链条，解释为什么资源潜力不能自动转化为能源转型绩效。</w:t>
      </w:r>
    </w:p>
    <w:p w14:paraId="5ADB6DFA" w14:textId="77777777" w:rsidR="000E7B82" w:rsidRDefault="00000000">
      <w:pPr>
        <w:pStyle w:val="a0"/>
        <w:rPr>
          <w:lang w:eastAsia="zh-CN"/>
        </w:rPr>
      </w:pPr>
      <w:r>
        <w:rPr>
          <w:lang w:eastAsia="zh-CN"/>
        </w:rPr>
        <w:t>方法创新：将地理物理数据、项目级融资数据、政策文本</w:t>
      </w:r>
      <w:r>
        <w:rPr>
          <w:lang w:eastAsia="zh-CN"/>
        </w:rPr>
        <w:t>NLP</w:t>
      </w:r>
      <w:r>
        <w:rPr>
          <w:lang w:eastAsia="zh-CN"/>
        </w:rPr>
        <w:t>和卫星夜间灯光数据对齐，在宏观面板样本不足的情况下提升识别强度。</w:t>
      </w:r>
    </w:p>
    <w:p w14:paraId="2F16E52A" w14:textId="77777777" w:rsidR="000E7B82" w:rsidRDefault="00000000">
      <w:pPr>
        <w:pStyle w:val="a0"/>
        <w:rPr>
          <w:lang w:eastAsia="zh-CN"/>
        </w:rPr>
      </w:pPr>
      <w:r>
        <w:rPr>
          <w:lang w:eastAsia="zh-CN"/>
        </w:rPr>
        <w:t>政策创新：为非盟《</w:t>
      </w:r>
      <w:r>
        <w:rPr>
          <w:lang w:eastAsia="zh-CN"/>
        </w:rPr>
        <w:t>2063</w:t>
      </w:r>
      <w:r>
        <w:rPr>
          <w:lang w:eastAsia="zh-CN"/>
        </w:rPr>
        <w:t>年议程》、</w:t>
      </w:r>
      <w:r>
        <w:rPr>
          <w:lang w:eastAsia="zh-CN"/>
        </w:rPr>
        <w:t>JETP</w:t>
      </w:r>
      <w:r>
        <w:rPr>
          <w:lang w:eastAsia="zh-CN"/>
        </w:rPr>
        <w:t>设计、关键矿物伙伴关系和绿色工业政策提供机制性建议，尤其关注矿产收益如何制度化回流本土能源系统。</w:t>
      </w:r>
    </w:p>
    <w:p w14:paraId="1C6251D4" w14:textId="7560AFB3" w:rsidR="000E7B82" w:rsidRDefault="00277203">
      <w:pPr>
        <w:pStyle w:val="1"/>
        <w:rPr>
          <w:lang w:eastAsia="zh-CN"/>
        </w:rPr>
      </w:pPr>
      <w:r>
        <w:rPr>
          <w:rFonts w:ascii="Calibri" w:eastAsia="宋体" w:hAnsi="Calibri" w:hint="eastAsia"/>
          <w:lang w:eastAsia="zh-CN"/>
        </w:rPr>
        <w:t>八</w:t>
      </w:r>
      <w:r>
        <w:rPr>
          <w:rFonts w:ascii="Calibri" w:eastAsia="宋体" w:hAnsi="Calibri"/>
          <w:lang w:eastAsia="zh-CN"/>
        </w:rPr>
        <w:t>、执行计划与阶段产出</w:t>
      </w:r>
    </w:p>
    <w:p w14:paraId="66283789" w14:textId="77777777" w:rsidR="000E7B82" w:rsidRDefault="000E7B82">
      <w:pPr>
        <w:spacing w:after="40"/>
      </w:pPr>
    </w:p>
    <w:p w14:paraId="5AD592F6" w14:textId="4ED7621D" w:rsidR="000E7B82" w:rsidRDefault="00277203">
      <w:pPr>
        <w:pStyle w:val="1"/>
        <w:rPr>
          <w:lang w:eastAsia="zh-CN"/>
        </w:rPr>
      </w:pPr>
      <w:r>
        <w:rPr>
          <w:rFonts w:ascii="Calibri" w:eastAsia="宋体" w:hAnsi="Calibri" w:hint="eastAsia"/>
          <w:lang w:eastAsia="zh-CN"/>
        </w:rPr>
        <w:t>九</w:t>
      </w:r>
      <w:r>
        <w:rPr>
          <w:rFonts w:ascii="Calibri" w:eastAsia="宋体" w:hAnsi="Calibri"/>
          <w:lang w:eastAsia="zh-CN"/>
        </w:rPr>
        <w:t>、潜在风险与应对方案</w:t>
      </w:r>
    </w:p>
    <w:p w14:paraId="3ADAA0BE" w14:textId="29F2296D" w:rsidR="000E7B82" w:rsidRDefault="000E7B82">
      <w:pPr>
        <w:rPr>
          <w:lang w:eastAsia="zh-CN"/>
        </w:rPr>
      </w:pPr>
    </w:p>
    <w:sectPr w:rsidR="000E7B82" w:rsidSect="00B90830">
      <w:headerReference w:type="default" r:id="rId8"/>
      <w:footerReference w:type="default" r:id="rId9"/>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6297D" w14:textId="77777777" w:rsidR="0071601C" w:rsidRDefault="0071601C">
      <w:pPr>
        <w:spacing w:after="0" w:line="240" w:lineRule="auto"/>
      </w:pPr>
      <w:r>
        <w:separator/>
      </w:r>
    </w:p>
  </w:endnote>
  <w:endnote w:type="continuationSeparator" w:id="0">
    <w:p w14:paraId="40165D95" w14:textId="77777777" w:rsidR="0071601C" w:rsidRDefault="00716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30E5" w14:textId="77777777" w:rsidR="000E7B82" w:rsidRDefault="00000000">
    <w:pPr>
      <w:pStyle w:val="a7"/>
      <w:jc w:val="right"/>
    </w:pPr>
    <w:r>
      <w:rPr>
        <w:color w:val="555555"/>
        <w:sz w:val="18"/>
      </w:rPr>
      <w:t xml:space="preserve">Page </w:t>
    </w:r>
    <w:r>
      <w:rPr>
        <w:color w:val="555555"/>
        <w:sz w:val="18"/>
      </w:rPr>
      <w:fldChar w:fldCharType="begin"/>
    </w:r>
    <w:r>
      <w:rPr>
        <w:color w:val="555555"/>
        <w:sz w:val="18"/>
      </w:rPr>
      <w:instrText>PAGE</w:instrText>
    </w:r>
    <w:r>
      <w:rPr>
        <w:color w:val="555555"/>
        <w:sz w:val="18"/>
      </w:rPr>
      <w:fldChar w:fldCharType="separate"/>
    </w:r>
    <w:r w:rsidR="00277203">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8C100" w14:textId="77777777" w:rsidR="0071601C" w:rsidRDefault="0071601C">
      <w:pPr>
        <w:spacing w:after="0" w:line="240" w:lineRule="auto"/>
      </w:pPr>
      <w:r>
        <w:separator/>
      </w:r>
    </w:p>
  </w:footnote>
  <w:footnote w:type="continuationSeparator" w:id="0">
    <w:p w14:paraId="21245105" w14:textId="77777777" w:rsidR="0071601C" w:rsidRDefault="00716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3368" w14:textId="77777777" w:rsidR="000E7B82" w:rsidRDefault="00000000">
    <w:pPr>
      <w:pStyle w:val="a5"/>
      <w:jc w:val="left"/>
    </w:pPr>
    <w:r>
      <w:rPr>
        <w:color w:val="555555"/>
        <w:sz w:val="18"/>
      </w:rPr>
      <w:t>Research Proposal | Africa Nexus in Global Energy Transition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0769371">
    <w:abstractNumId w:val="8"/>
  </w:num>
  <w:num w:numId="2" w16cid:durableId="2013560731">
    <w:abstractNumId w:val="6"/>
  </w:num>
  <w:num w:numId="3" w16cid:durableId="669454054">
    <w:abstractNumId w:val="5"/>
  </w:num>
  <w:num w:numId="4" w16cid:durableId="955406083">
    <w:abstractNumId w:val="4"/>
  </w:num>
  <w:num w:numId="5" w16cid:durableId="5715681">
    <w:abstractNumId w:val="7"/>
  </w:num>
  <w:num w:numId="6" w16cid:durableId="1347056119">
    <w:abstractNumId w:val="3"/>
  </w:num>
  <w:num w:numId="7" w16cid:durableId="439377489">
    <w:abstractNumId w:val="2"/>
  </w:num>
  <w:num w:numId="8" w16cid:durableId="1143162733">
    <w:abstractNumId w:val="1"/>
  </w:num>
  <w:num w:numId="9" w16cid:durableId="639265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B82"/>
    <w:rsid w:val="0015074B"/>
    <w:rsid w:val="00277203"/>
    <w:rsid w:val="0029639D"/>
    <w:rsid w:val="00326F90"/>
    <w:rsid w:val="0071601C"/>
    <w:rsid w:val="00A14A0C"/>
    <w:rsid w:val="00AA1D8D"/>
    <w:rsid w:val="00B12449"/>
    <w:rsid w:val="00B47730"/>
    <w:rsid w:val="00B90830"/>
    <w:rsid w:val="00CB0664"/>
    <w:rsid w:val="00EA4F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B3758"/>
  <w14:defaultImageDpi w14:val="300"/>
  <w15:docId w15:val="{7E299ED9-E837-684E-8161-EEEA1B13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Calibri" w:eastAsia="宋体" w:hAnsi="Calibri"/>
      <w:color w:val="000000"/>
    </w:rPr>
  </w:style>
  <w:style w:type="paragraph" w:styleId="1">
    <w:name w:val="heading 1"/>
    <w:basedOn w:val="a1"/>
    <w:next w:val="a1"/>
    <w:link w:val="10"/>
    <w:uiPriority w:val="9"/>
    <w:qFormat/>
    <w:rsid w:val="00FC693F"/>
    <w:pPr>
      <w:keepNext/>
      <w:keepLines/>
      <w:spacing w:before="360" w:after="200" w:line="290"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line="290" w:lineRule="auto"/>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line="290"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0B2545"/>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0" w:hanging="279"/>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0" w:hanging="279"/>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B5901</cp:lastModifiedBy>
  <cp:revision>4</cp:revision>
  <dcterms:created xsi:type="dcterms:W3CDTF">2026-05-21T11:44:00Z</dcterms:created>
  <dcterms:modified xsi:type="dcterms:W3CDTF">2026-05-21T15:21:00Z</dcterms:modified>
  <cp:category/>
</cp:coreProperties>
</file>