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locadora_carro;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locadora_carro;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if not exists cliente(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nome varchar(255)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CPF varchar(255) not null UNIQUE,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CEP varchar(255) not null UNIQUE,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telefone varchar(255) not null UNIQUE,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idade int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)COMMENT "armazena as informações do cliente";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if not exists funcionario(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nomeF varchar(255)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CPF_F varchar(255) not null UNIQUE,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CEP_F varchar(255) not null UNIQUE,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telefone_F varchar(255) not null UNIQUE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)COMMENT "armazena dados do funcionário";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if not exists fornecedor(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CNPJ varchar(255) not null UNIQUE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)COMMENT "armazena dados do fornecedor";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if not exists carro(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PLACA varchar(255) not null unique,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id_fornecedor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quilometragemKM varchar(255)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constraint fk_fornecedor_carro foreign key(id_fornecedor)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references fornecedor(codigo)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)COMMENT "Informações do carro, quilometragem em KM";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if not exists locadora(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id_carro int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id_funcionario int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id_cliente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valor varchar(255)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duraçãoD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Constraint fk_carro_loc foreign key(id_carro)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references carro(codigo),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constraint fk_func_loc foreign key(id_funcionario)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references funcionario(codigo),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constraint fk_cliente_loc foreign key(id_cliente)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references cliente(codigo)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)COMMENT "Informações da locação";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