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Respuestas al feedback</w:t>
        <w:br/>
        <w:t>de maestría</w:t>
      </w:r>
    </w:p>
    <w:p>
      <w:pPr>
        <w:pStyle w:val="Subtitle"/>
      </w:pPr>
      <w:r>
        <w:t>LinkMaker · Diferenciación funcional y plan de evaluación</w:t>
      </w:r>
    </w:p>
    <w:p>
      <w:r>
        <w:t>Documento de trabajo para contrastar ideas con el profesor</w:t>
        <w:br/>
        <w:t>Revisión de fuentes y del repositorio al 25 de septiembre de 2026</w:t>
      </w:r>
    </w:p>
    <w:p>
      <w:pPr>
        <w:pStyle w:val="Heading2"/>
      </w:pPr>
      <w:r>
        <w:t>La dirección que recomiendo</w:t>
      </w:r>
    </w:p>
    <w:p>
      <w:r>
        <w:t>Centrar la tesis en ayudar a un lector a rastrear una afirmación del Markdown hasta la evidencia del resultado y el código que la produce. La contribución principal sería generar automáticamente relaciones verificables en notebooks existentes y reducir el trabajo de construirlas o revisarlas. La interfaz sirve a ese objetivo; la recuperación de contexto sería una optimización que debe demostrar que conserva las relaciones importantes.</w:t>
      </w:r>
    </w:p>
    <w:p>
      <w:pPr>
        <w:pStyle w:val="Heading2"/>
      </w:pPr>
      <w:r>
        <w:t>Respuesta breve a cada punto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top"/>
            <w:tcMar>
              <w:top w:w="90" w:type="dxa"/>
              <w:left w:w="90" w:type="dxa"/>
              <w:bottom w:w="90" w:type="dxa"/>
              <w:right w:w="90" w:type="dxa"/>
            </w:tcMar>
            <w:shd w:fill="EDF1F4"/>
          </w:tcPr>
          <w:p>
            <w:pPr>
              <w:spacing w:after="40" w:line="245" w:lineRule="auto"/>
            </w:pPr>
            <w:r>
              <w:rPr>
                <w:b/>
                <w:sz w:val="19"/>
              </w:rPr>
              <w:t>Feedback</w:t>
            </w:r>
          </w:p>
        </w:tc>
        <w:tc>
          <w:tcPr>
            <w:tcW w:type="dxa" w:w="7370"/>
            <w:vAlign w:val="top"/>
            <w:tcMar>
              <w:top w:w="90" w:type="dxa"/>
              <w:left w:w="90" w:type="dxa"/>
              <w:bottom w:w="90" w:type="dxa"/>
              <w:right w:w="90" w:type="dxa"/>
            </w:tcMar>
            <w:shd w:fill="EDF1F4"/>
          </w:tcPr>
          <w:p>
            <w:pPr>
              <w:spacing w:after="40" w:line="245" w:lineRule="auto"/>
            </w:pPr>
            <w:r>
              <w:rPr>
                <w:b/>
                <w:sz w:val="19"/>
              </w:rPr>
              <w:t>Respuesta y siguiente paso</w:t>
            </w:r>
          </w:p>
        </w:tc>
      </w:tr>
      <w:tr>
        <w:trPr>
          <w:cantSplit/>
        </w:trPr>
        <w:tc>
          <w:tcPr>
            <w:tcW w:type="dxa" w:w="2268"/>
            <w:vAlign w:val="top"/>
            <w:tcMar>
              <w:top w:w="90" w:type="dxa"/>
              <w:left w:w="90" w:type="dxa"/>
              <w:bottom w:w="90" w:type="dxa"/>
              <w:right w:w="90" w:type="dxa"/>
            </w:tcMar>
          </w:tcPr>
          <w:p>
            <w:pPr>
              <w:spacing w:after="40" w:line="245" w:lineRule="auto"/>
            </w:pPr>
            <w:r>
              <w:rPr>
                <w:b w:val="0"/>
                <w:sz w:val="19"/>
              </w:rPr>
              <w:t>Reducir el contexto</w:t>
            </w:r>
          </w:p>
        </w:tc>
        <w:tc>
          <w:tcPr>
            <w:tcW w:type="dxa" w:w="7370"/>
            <w:vAlign w:val="top"/>
            <w:tcMar>
              <w:top w:w="90" w:type="dxa"/>
              <w:left w:w="90" w:type="dxa"/>
              <w:bottom w:w="90" w:type="dxa"/>
              <w:right w:w="90" w:type="dxa"/>
            </w:tcMar>
          </w:tcPr>
          <w:p>
            <w:pPr>
              <w:spacing w:after="40" w:line="245" w:lineRule="auto"/>
            </w:pPr>
            <w:r>
              <w:rPr>
                <w:b w:val="0"/>
                <w:sz w:val="19"/>
              </w:rPr>
              <w:t>Sí. Probar recuperación léxica reproducible antes del LLM y medir Recall@k, calidad final y tokens. No asumir que filtrar mejora la precisión.</w:t>
            </w:r>
          </w:p>
        </w:tc>
      </w:tr>
      <w:tr>
        <w:trPr>
          <w:cantSplit/>
        </w:trPr>
        <w:tc>
          <w:tcPr>
            <w:tcW w:type="dxa" w:w="2268"/>
            <w:vAlign w:val="top"/>
            <w:tcMar>
              <w:top w:w="90" w:type="dxa"/>
              <w:left w:w="90" w:type="dxa"/>
              <w:bottom w:w="90" w:type="dxa"/>
              <w:right w:w="90" w:type="dxa"/>
            </w:tcMar>
          </w:tcPr>
          <w:p>
            <w:pPr>
              <w:spacing w:after="40" w:line="245" w:lineRule="auto"/>
            </w:pPr>
            <w:r>
              <w:rPr>
                <w:b w:val="0"/>
                <w:sz w:val="19"/>
              </w:rPr>
              <w:t>Evaluar el output</w:t>
            </w:r>
          </w:p>
        </w:tc>
        <w:tc>
          <w:tcPr>
            <w:tcW w:type="dxa" w:w="7370"/>
            <w:vAlign w:val="top"/>
            <w:tcMar>
              <w:top w:w="90" w:type="dxa"/>
              <w:left w:w="90" w:type="dxa"/>
              <w:bottom w:w="90" w:type="dxa"/>
              <w:right w:w="90" w:type="dxa"/>
            </w:tcMar>
          </w:tcPr>
          <w:p>
            <w:pPr>
              <w:spacing w:after="40" w:line="245" w:lineRule="auto"/>
            </w:pPr>
            <w:r>
              <w:rPr>
                <w:b w:val="0"/>
                <w:sz w:val="19"/>
              </w:rPr>
              <w:t>Prioridad inmediata. Comparar la misma entrada con y sin texto de ejecución; separar este experimento del que añade código a las imágenes o tablas.</w:t>
            </w:r>
          </w:p>
        </w:tc>
      </w:tr>
      <w:tr>
        <w:trPr>
          <w:cantSplit/>
        </w:trPr>
        <w:tc>
          <w:tcPr>
            <w:tcW w:type="dxa" w:w="2268"/>
            <w:vAlign w:val="top"/>
            <w:tcMar>
              <w:top w:w="90" w:type="dxa"/>
              <w:left w:w="90" w:type="dxa"/>
              <w:bottom w:w="90" w:type="dxa"/>
              <w:right w:w="90" w:type="dxa"/>
            </w:tcMar>
          </w:tcPr>
          <w:p>
            <w:pPr>
              <w:spacing w:after="40" w:line="245" w:lineRule="auto"/>
            </w:pPr>
            <w:r>
              <w:rPr>
                <w:b w:val="0"/>
                <w:sz w:val="19"/>
              </w:rPr>
              <w:t>Revisar VIS 2026</w:t>
            </w:r>
          </w:p>
        </w:tc>
        <w:tc>
          <w:tcPr>
            <w:tcW w:type="dxa" w:w="7370"/>
            <w:vAlign w:val="top"/>
            <w:tcMar>
              <w:top w:w="90" w:type="dxa"/>
              <w:left w:w="90" w:type="dxa"/>
              <w:bottom w:w="90" w:type="dxa"/>
              <w:right w:w="90" w:type="dxa"/>
            </w:tcMar>
          </w:tcPr>
          <w:p>
            <w:pPr>
              <w:spacing w:after="40" w:line="245" w:lineRule="auto"/>
            </w:pPr>
            <w:r>
              <w:rPr>
                <w:b w:val="0"/>
                <w:sz w:val="19"/>
              </w:rPr>
              <w:t>Hay antecedentes relevantes: ChartFI, GeoAuthor, Chart2SVG y Geranium. EvidenceLens aparece entre los short papers y afecta la propuesta de verificación.</w:t>
            </w:r>
          </w:p>
        </w:tc>
      </w:tr>
      <w:tr>
        <w:trPr>
          <w:cantSplit/>
        </w:trPr>
        <w:tc>
          <w:tcPr>
            <w:tcW w:type="dxa" w:w="2268"/>
            <w:vAlign w:val="top"/>
            <w:tcMar>
              <w:top w:w="90" w:type="dxa"/>
              <w:left w:w="90" w:type="dxa"/>
              <w:bottom w:w="90" w:type="dxa"/>
              <w:right w:w="90" w:type="dxa"/>
            </w:tcMar>
          </w:tcPr>
          <w:p>
            <w:pPr>
              <w:spacing w:after="40" w:line="245" w:lineRule="auto"/>
            </w:pPr>
            <w:r>
              <w:rPr>
                <w:b w:val="0"/>
                <w:sz w:val="19"/>
              </w:rPr>
              <w:t>Diferenciarse de InterLink</w:t>
            </w:r>
          </w:p>
        </w:tc>
        <w:tc>
          <w:tcPr>
            <w:tcW w:type="dxa" w:w="7370"/>
            <w:vAlign w:val="top"/>
            <w:tcMar>
              <w:top w:w="90" w:type="dxa"/>
              <w:left w:w="90" w:type="dxa"/>
              <w:bottom w:w="90" w:type="dxa"/>
              <w:right w:w="90" w:type="dxa"/>
            </w:tcMar>
          </w:tcPr>
          <w:p>
            <w:pPr>
              <w:spacing w:after="40" w:line="245" w:lineRule="auto"/>
            </w:pPr>
            <w:r>
              <w:rPr>
                <w:b w:val="0"/>
                <w:sz w:val="19"/>
              </w:rPr>
              <w:t>La oportunidad está en obtener y revisar relaciones automáticamente. Dos columnas, hover y resaltado ya tienen antecedentes.</w:t>
            </w:r>
          </w:p>
        </w:tc>
      </w:tr>
      <w:tr>
        <w:trPr>
          <w:cantSplit/>
        </w:trPr>
        <w:tc>
          <w:tcPr>
            <w:tcW w:type="dxa" w:w="2268"/>
            <w:vAlign w:val="top"/>
            <w:tcMar>
              <w:top w:w="90" w:type="dxa"/>
              <w:left w:w="90" w:type="dxa"/>
              <w:bottom w:w="90" w:type="dxa"/>
              <w:right w:w="90" w:type="dxa"/>
            </w:tcMar>
          </w:tcPr>
          <w:p>
            <w:pPr>
              <w:spacing w:after="40" w:line="245" w:lineRule="auto"/>
            </w:pPr>
            <w:r>
              <w:rPr>
                <w:b w:val="0"/>
                <w:sz w:val="19"/>
              </w:rPr>
              <w:t>Justificar las funciones</w:t>
            </w:r>
          </w:p>
        </w:tc>
        <w:tc>
          <w:tcPr>
            <w:tcW w:type="dxa" w:w="7370"/>
            <w:vAlign w:val="top"/>
            <w:tcMar>
              <w:top w:w="90" w:type="dxa"/>
              <w:left w:w="90" w:type="dxa"/>
              <w:bottom w:w="90" w:type="dxa"/>
              <w:right w:w="90" w:type="dxa"/>
            </w:tcMar>
          </w:tcPr>
          <w:p>
            <w:pPr>
              <w:spacing w:after="40" w:line="245" w:lineRule="auto"/>
            </w:pPr>
            <w:r>
              <w:rPr>
                <w:b w:val="0"/>
                <w:sz w:val="19"/>
              </w:rPr>
              <w:t>Entrevistar y observar a personas que leen, revisan o reutilizan notebooks. Vincular cada función con una dificultad y una tarea concreta.</w:t>
            </w:r>
          </w:p>
        </w:tc>
      </w:tr>
      <w:tr>
        <w:trPr>
          <w:cantSplit/>
        </w:trPr>
        <w:tc>
          <w:tcPr>
            <w:tcW w:type="dxa" w:w="2268"/>
            <w:vAlign w:val="top"/>
            <w:tcMar>
              <w:top w:w="90" w:type="dxa"/>
              <w:left w:w="90" w:type="dxa"/>
              <w:bottom w:w="90" w:type="dxa"/>
              <w:right w:w="90" w:type="dxa"/>
            </w:tcMar>
          </w:tcPr>
          <w:p>
            <w:pPr>
              <w:spacing w:after="40" w:line="245" w:lineRule="auto"/>
            </w:pPr>
            <w:r>
              <w:rPr>
                <w:b w:val="0"/>
                <w:sz w:val="19"/>
              </w:rPr>
              <w:t>Diseñar la evaluación</w:t>
            </w:r>
          </w:p>
        </w:tc>
        <w:tc>
          <w:tcPr>
            <w:tcW w:type="dxa" w:w="7370"/>
            <w:vAlign w:val="top"/>
            <w:tcMar>
              <w:top w:w="90" w:type="dxa"/>
              <w:left w:w="90" w:type="dxa"/>
              <w:bottom w:w="90" w:type="dxa"/>
              <w:right w:w="90" w:type="dxa"/>
            </w:tcMar>
          </w:tcPr>
          <w:p>
            <w:pPr>
              <w:spacing w:after="40" w:line="245" w:lineRule="auto"/>
            </w:pPr>
            <w:r>
              <w:rPr>
                <w:b w:val="0"/>
                <w:sz w:val="19"/>
              </w:rPr>
              <w:t>Combinar benchmark técnico y ablaciones. Añadir estudio con usuarios si se quiere afirmar una mejora en comprensión, revisión o esfuerzo.</w:t>
            </w:r>
          </w:p>
        </w:tc>
      </w:tr>
    </w:tbl>
    <w:p>
      <w:pPr>
        <w:spacing w:after="0"/>
      </w:pPr>
    </w:p>
    <w:p>
      <w:pPr>
        <w:pStyle w:val="Heading2"/>
      </w:pPr>
      <w:r>
        <w:t>Cómo leer este documento</w:t>
      </w:r>
    </w:p>
    <w:p>
      <w:r>
        <w:t>Evidencia: hallazgos publicados o archivos locales revisados. Propuesta: decisiones de investigación aún por implementar o evaluar. La mejora observada en ejemplos es evidencia cualitativa valiosa; atribuirla al contexto añadido exige una comparación controlada. Las citas numeradas enlazan a las fuentes al final.</w:t>
      </w:r>
    </w:p>
    <w:p>
      <w:r>
        <w:br w:type="page"/>
      </w:r>
    </w:p>
    <w:p>
      <w:pPr>
        <w:pStyle w:val="Heading1"/>
      </w:pPr>
      <w:r>
        <w:t>1  Diferencial funcional defendible</w:t>
      </w:r>
    </w:p>
    <w:p>
      <w:r>
        <w:t>InterLink presenta relaciones predefinidas mediante dos columnas, resaltado, navegación por hover y fijación de celdas. Incluye un prototipo separado para especificarlas manualmente y deja su generación automática como trabajo futuro. Por tanto, la oportunidad respecto a ese sistema está en cómo se obtienen y revisan los enlaces. [1, secciones 4–5 y 7]</w:t>
      </w:r>
    </w:p>
    <w:p>
      <w:pPr>
        <w:pStyle w:val="Heading2"/>
      </w:pPr>
      <w:r>
        <w:t>Propuesta central de la tesis</w:t>
      </w:r>
    </w:p>
    <w:p>
      <w:r>
        <w:t>“LinkMaker asiste la lectura y revisión de notebooks mediante relaciones automáticas entre afirmaciones, evidencia de ejecución y código, que el usuario puede inspeccionar y corregir”. Esta es una formulación de trabajo, no una afirmación de novedad ya demostrada frente a toda la literatura.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200"/>
      </w:tblGrid>
      <w:tr>
        <w:trPr>
          <w:cantSplit/>
          <w:tblHeader/>
        </w:trPr>
        <w:tc>
          <w:tcPr>
            <w:tcW w:type="dxa" w:w="2438"/>
            <w:vAlign w:val="top"/>
            <w:tcMar>
              <w:top w:w="90" w:type="dxa"/>
              <w:left w:w="90" w:type="dxa"/>
              <w:bottom w:w="90" w:type="dxa"/>
              <w:right w:w="90" w:type="dxa"/>
            </w:tcMar>
            <w:shd w:fill="EDF1F4"/>
          </w:tcPr>
          <w:p>
            <w:pPr>
              <w:spacing w:after="40" w:line="245" w:lineRule="auto"/>
            </w:pPr>
            <w:r>
              <w:rPr>
                <w:b/>
                <w:sz w:val="19"/>
              </w:rPr>
              <w:t>Capacidad</w:t>
            </w:r>
          </w:p>
        </w:tc>
        <w:tc>
          <w:tcPr>
            <w:tcW w:type="dxa" w:w="7200"/>
            <w:vAlign w:val="top"/>
            <w:tcMar>
              <w:top w:w="90" w:type="dxa"/>
              <w:left w:w="90" w:type="dxa"/>
              <w:bottom w:w="90" w:type="dxa"/>
              <w:right w:w="90" w:type="dxa"/>
            </w:tcMar>
            <w:shd w:fill="EDF1F4"/>
          </w:tcPr>
          <w:p>
            <w:pPr>
              <w:spacing w:after="40" w:line="245" w:lineRule="auto"/>
            </w:pPr>
            <w:r>
              <w:rPr>
                <w:b/>
                <w:sz w:val="19"/>
              </w:rPr>
              <w:t>Estado y papel en la contribución</w:t>
            </w:r>
          </w:p>
        </w:tc>
      </w:tr>
      <w:tr>
        <w:trPr>
          <w:cantSplit/>
        </w:trPr>
        <w:tc>
          <w:tcPr>
            <w:tcW w:type="dxa" w:w="2438"/>
            <w:vAlign w:val="top"/>
            <w:tcMar>
              <w:top w:w="90" w:type="dxa"/>
              <w:left w:w="90" w:type="dxa"/>
              <w:bottom w:w="90" w:type="dxa"/>
              <w:right w:w="90" w:type="dxa"/>
            </w:tcMar>
          </w:tcPr>
          <w:p>
            <w:pPr>
              <w:spacing w:after="40" w:line="245" w:lineRule="auto"/>
            </w:pPr>
            <w:r>
              <w:rPr>
                <w:b w:val="0"/>
                <w:sz w:val="19"/>
              </w:rPr>
              <w:t>Contexto de ejecución</w:t>
            </w:r>
          </w:p>
        </w:tc>
        <w:tc>
          <w:tcPr>
            <w:tcW w:type="dxa" w:w="7200"/>
            <w:vAlign w:val="top"/>
            <w:tcMar>
              <w:top w:w="90" w:type="dxa"/>
              <w:left w:w="90" w:type="dxa"/>
              <w:bottom w:w="90" w:type="dxa"/>
              <w:right w:w="90" w:type="dxa"/>
            </w:tcMar>
          </w:tcPr>
          <w:p>
            <w:pPr>
              <w:spacing w:after="40" w:line="245" w:lineRule="auto"/>
            </w:pPr>
            <w:r>
              <w:rPr>
                <w:b w:val="0"/>
                <w:sz w:val="19"/>
              </w:rPr>
              <w:t>Implementado: texto del output para Markdown–código; código productor para Markdown–output. Hipótesis: resolver referencias que el código o la imagen aislados dejan ambiguas.</w:t>
            </w:r>
          </w:p>
        </w:tc>
      </w:tr>
      <w:tr>
        <w:trPr>
          <w:cantSplit/>
        </w:trPr>
        <w:tc>
          <w:tcPr>
            <w:tcW w:type="dxa" w:w="2438"/>
            <w:vAlign w:val="top"/>
            <w:tcMar>
              <w:top w:w="90" w:type="dxa"/>
              <w:left w:w="90" w:type="dxa"/>
              <w:bottom w:w="90" w:type="dxa"/>
              <w:right w:w="90" w:type="dxa"/>
            </w:tcMar>
          </w:tcPr>
          <w:p>
            <w:pPr>
              <w:spacing w:after="40" w:line="245" w:lineRule="auto"/>
            </w:pPr>
            <w:r>
              <w:rPr>
                <w:b w:val="0"/>
                <w:sz w:val="19"/>
              </w:rPr>
              <w:t>Evidencia localizada</w:t>
            </w:r>
          </w:p>
        </w:tc>
        <w:tc>
          <w:tcPr>
            <w:tcW w:type="dxa" w:w="7200"/>
            <w:vAlign w:val="top"/>
            <w:tcMar>
              <w:top w:w="90" w:type="dxa"/>
              <w:left w:w="90" w:type="dxa"/>
              <w:bottom w:w="90" w:type="dxa"/>
              <w:right w:w="90" w:type="dxa"/>
            </w:tcMar>
          </w:tcPr>
          <w:p>
            <w:pPr>
              <w:spacing w:after="40" w:line="245" w:lineRule="auto"/>
            </w:pPr>
            <w:r>
              <w:rPr>
                <w:b w:val="0"/>
                <w:sz w:val="19"/>
              </w:rPr>
              <w:t>Implementado: fragmentos de código, regiones de imágenes y celdas físicas de tablas HTML. Beneficio propuesto: comprobar exactamente qué contenido motivó el enlace.</w:t>
            </w:r>
          </w:p>
        </w:tc>
      </w:tr>
      <w:tr>
        <w:trPr>
          <w:cantSplit/>
        </w:trPr>
        <w:tc>
          <w:tcPr>
            <w:tcW w:type="dxa" w:w="2438"/>
            <w:vAlign w:val="top"/>
            <w:tcMar>
              <w:top w:w="90" w:type="dxa"/>
              <w:left w:w="90" w:type="dxa"/>
              <w:bottom w:w="90" w:type="dxa"/>
              <w:right w:w="90" w:type="dxa"/>
            </w:tcMar>
          </w:tcPr>
          <w:p>
            <w:pPr>
              <w:spacing w:after="40" w:line="245" w:lineRule="auto"/>
            </w:pPr>
            <w:r>
              <w:rPr>
                <w:b w:val="0"/>
                <w:sz w:val="19"/>
              </w:rPr>
              <w:t>Explicación visible</w:t>
            </w:r>
          </w:p>
        </w:tc>
        <w:tc>
          <w:tcPr>
            <w:tcW w:type="dxa" w:w="7200"/>
            <w:vAlign w:val="top"/>
            <w:tcMar>
              <w:top w:w="90" w:type="dxa"/>
              <w:left w:w="90" w:type="dxa"/>
              <w:bottom w:w="90" w:type="dxa"/>
              <w:right w:w="90" w:type="dxa"/>
            </w:tcMar>
          </w:tcPr>
          <w:p>
            <w:pPr>
              <w:spacing w:after="40" w:line="245" w:lineRule="auto"/>
            </w:pPr>
            <w:r>
              <w:rPr>
                <w:b w:val="0"/>
                <w:sz w:val="19"/>
              </w:rPr>
              <w:t>Implementada: razón devuelta por el modelo. Debe tratarse como explicación propuesta, no como demostración de corrección.</w:t>
            </w:r>
          </w:p>
        </w:tc>
      </w:tr>
      <w:tr>
        <w:trPr>
          <w:cantSplit/>
        </w:trPr>
        <w:tc>
          <w:tcPr>
            <w:tcW w:type="dxa" w:w="2438"/>
            <w:vAlign w:val="top"/>
            <w:tcMar>
              <w:top w:w="90" w:type="dxa"/>
              <w:left w:w="90" w:type="dxa"/>
              <w:bottom w:w="90" w:type="dxa"/>
              <w:right w:w="90" w:type="dxa"/>
            </w:tcMar>
          </w:tcPr>
          <w:p>
            <w:pPr>
              <w:spacing w:after="40" w:line="245" w:lineRule="auto"/>
            </w:pPr>
            <w:r>
              <w:rPr>
                <w:b w:val="0"/>
                <w:sz w:val="19"/>
              </w:rPr>
              <w:t>Revisión de sugerencias</w:t>
            </w:r>
          </w:p>
        </w:tc>
        <w:tc>
          <w:tcPr>
            <w:tcW w:type="dxa" w:w="7200"/>
            <w:vAlign w:val="top"/>
            <w:tcMar>
              <w:top w:w="90" w:type="dxa"/>
              <w:left w:w="90" w:type="dxa"/>
              <w:bottom w:w="90" w:type="dxa"/>
              <w:right w:w="90" w:type="dxa"/>
            </w:tcMar>
          </w:tcPr>
          <w:p>
            <w:pPr>
              <w:spacing w:after="40" w:line="245" w:lineRule="auto"/>
            </w:pPr>
            <w:r>
              <w:rPr>
                <w:b w:val="0"/>
                <w:sz w:val="19"/>
              </w:rPr>
              <w:t>Propuesta prioritaria: aceptar, rechazar o corregir el destino; distinguir sugerencia de relación revisada. Medir esfuerzo y errores que quedan sin corregir.</w:t>
            </w:r>
          </w:p>
        </w:tc>
      </w:tr>
      <w:tr>
        <w:trPr>
          <w:cantSplit/>
        </w:trPr>
        <w:tc>
          <w:tcPr>
            <w:tcW w:type="dxa" w:w="2438"/>
            <w:vAlign w:val="top"/>
            <w:tcMar>
              <w:top w:w="90" w:type="dxa"/>
              <w:left w:w="90" w:type="dxa"/>
              <w:bottom w:w="90" w:type="dxa"/>
              <w:right w:w="90" w:type="dxa"/>
            </w:tcMar>
          </w:tcPr>
          <w:p>
            <w:pPr>
              <w:spacing w:after="40" w:line="245" w:lineRule="auto"/>
            </w:pPr>
            <w:r>
              <w:rPr>
                <w:b w:val="0"/>
                <w:sz w:val="19"/>
              </w:rPr>
              <w:t>Validez tras cambios</w:t>
            </w:r>
          </w:p>
        </w:tc>
        <w:tc>
          <w:tcPr>
            <w:tcW w:type="dxa" w:w="7200"/>
            <w:vAlign w:val="top"/>
            <w:tcMar>
              <w:top w:w="90" w:type="dxa"/>
              <w:left w:w="90" w:type="dxa"/>
              <w:bottom w:w="90" w:type="dxa"/>
              <w:right w:w="90" w:type="dxa"/>
            </w:tcMar>
          </w:tcPr>
          <w:p>
            <w:pPr>
              <w:spacing w:after="40" w:line="245" w:lineRule="auto"/>
            </w:pPr>
            <w:r>
              <w:rPr>
                <w:b w:val="0"/>
                <w:sz w:val="19"/>
              </w:rPr>
              <w:t>Parcial: se comprueba el snapshot de tablas. Propuesta posterior: registrar versiones de texto, código y output y marcar enlaces desactualizados.</w:t>
            </w:r>
          </w:p>
        </w:tc>
      </w:tr>
      <w:tr>
        <w:trPr>
          <w:cantSplit/>
        </w:trPr>
        <w:tc>
          <w:tcPr>
            <w:tcW w:type="dxa" w:w="2438"/>
            <w:vAlign w:val="top"/>
            <w:tcMar>
              <w:top w:w="90" w:type="dxa"/>
              <w:left w:w="90" w:type="dxa"/>
              <w:bottom w:w="90" w:type="dxa"/>
              <w:right w:w="90" w:type="dxa"/>
            </w:tcMar>
          </w:tcPr>
          <w:p>
            <w:pPr>
              <w:spacing w:after="40" w:line="245" w:lineRule="auto"/>
            </w:pPr>
            <w:r>
              <w:rPr>
                <w:b w:val="0"/>
                <w:sz w:val="19"/>
              </w:rPr>
              <w:t>Recuperación previa</w:t>
            </w:r>
          </w:p>
        </w:tc>
        <w:tc>
          <w:tcPr>
            <w:tcW w:type="dxa" w:w="7200"/>
            <w:vAlign w:val="top"/>
            <w:tcMar>
              <w:top w:w="90" w:type="dxa"/>
              <w:left w:w="90" w:type="dxa"/>
              <w:bottom w:w="90" w:type="dxa"/>
              <w:right w:w="90" w:type="dxa"/>
            </w:tcMar>
          </w:tcPr>
          <w:p>
            <w:pPr>
              <w:spacing w:after="40" w:line="245" w:lineRule="auto"/>
            </w:pPr>
            <w:r>
              <w:rPr>
                <w:b w:val="0"/>
                <w:sz w:val="19"/>
              </w:rPr>
              <w:t>Propuesta: seleccionar candidatos antes de llamar al LLM. Apoya escalabilidad; no es por sí sola una función nueva para el lector.</w:t>
            </w:r>
          </w:p>
        </w:tc>
      </w:tr>
    </w:tbl>
    <w:p>
      <w:pPr>
        <w:spacing w:after="0"/>
      </w:pPr>
    </w:p>
    <w:p>
      <w:pPr>
        <w:pStyle w:val="Heading2"/>
      </w:pPr>
      <w:r>
        <w:t>Acotar la promesa</w:t>
      </w:r>
    </w:p>
    <w:p>
      <w:r>
        <w:t>No equiparar relación temática con evidencia que respalda una conclusión. “Describe este código”, “se apoya en este resultado” y “contradice este resultado” son relaciones distintas. Para la primera versión, definir claramente las dos primeras; incorporar contradicciones como casos negativos y permitir abstención. No prometer verificación general de la verdad ni reconstrucción completa de dependencias.</w:t>
      </w:r>
    </w:p>
    <w:p>
      <w:r>
        <w:t>La revisión asistida también tiene antecedentes, como Kori y ChartText. El diferencial debe situarse en el contexto ejecutable del notebook, la granularidad de la evidencia y el beneficio medido, no únicamente en añadir un botón de corrección. [6–7]</w:t>
      </w:r>
    </w:p>
    <w:p>
      <w:r>
        <w:br w:type="page"/>
      </w:r>
    </w:p>
    <w:p>
      <w:pPr>
        <w:pStyle w:val="Heading1"/>
      </w:pPr>
      <w:r>
        <w:t>2  Trabajos relacionados en VIS 2026</w:t>
      </w:r>
    </w:p>
    <w:p>
      <w:r>
        <w:t>La página oficial distingue full papers y short papers; la primera sección incluye también trabajos de TVCG y CG&amp;A presentados en la conferencia. Por ello, aparecer allí no implica que todos sean artículos originales del mismo track. La revisión siguiente es focalizada, no una revisión sistemática exhaustiva.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746"/>
      </w:tblGrid>
      <w:tr>
        <w:trPr>
          <w:cantSplit/>
          <w:tblHeader/>
        </w:trPr>
        <w:tc>
          <w:tcPr>
            <w:tcW w:type="dxa" w:w="2891"/>
            <w:vAlign w:val="top"/>
            <w:tcMar>
              <w:top w:w="90" w:type="dxa"/>
              <w:left w:w="90" w:type="dxa"/>
              <w:bottom w:w="90" w:type="dxa"/>
              <w:right w:w="90" w:type="dxa"/>
            </w:tcMar>
            <w:shd w:fill="EDF1F4"/>
          </w:tcPr>
          <w:p>
            <w:pPr>
              <w:spacing w:after="40" w:line="245" w:lineRule="auto"/>
            </w:pPr>
            <w:r>
              <w:rPr>
                <w:b/>
                <w:sz w:val="19"/>
              </w:rPr>
              <w:t>Trabajo y clasificación</w:t>
            </w:r>
          </w:p>
        </w:tc>
        <w:tc>
          <w:tcPr>
            <w:tcW w:type="dxa" w:w="6746"/>
            <w:vAlign w:val="top"/>
            <w:tcMar>
              <w:top w:w="90" w:type="dxa"/>
              <w:left w:w="90" w:type="dxa"/>
              <w:bottom w:w="90" w:type="dxa"/>
              <w:right w:w="90" w:type="dxa"/>
            </w:tcMar>
            <w:shd w:fill="EDF1F4"/>
          </w:tcPr>
          <w:p>
            <w:pPr>
              <w:spacing w:after="40" w:line="245" w:lineRule="auto"/>
            </w:pPr>
            <w:r>
              <w:rPr>
                <w:b/>
                <w:sz w:val="19"/>
              </w:rPr>
              <w:t>Qué aporta y cómo afecta a LinkMaker</w:t>
            </w:r>
          </w:p>
        </w:tc>
      </w:tr>
      <w:tr>
        <w:trPr>
          <w:cantSplit/>
        </w:trPr>
        <w:tc>
          <w:tcPr>
            <w:tcW w:type="dxa" w:w="2891"/>
            <w:vAlign w:val="top"/>
            <w:tcMar>
              <w:top w:w="90" w:type="dxa"/>
              <w:left w:w="90" w:type="dxa"/>
              <w:bottom w:w="90" w:type="dxa"/>
              <w:right w:w="90" w:type="dxa"/>
            </w:tcMar>
          </w:tcPr>
          <w:p>
            <w:pPr>
              <w:spacing w:after="40" w:line="245" w:lineRule="auto"/>
            </w:pPr>
            <w:r>
              <w:rPr>
                <w:b w:val="0"/>
                <w:sz w:val="19"/>
              </w:rPr>
              <w:t>ChartFI</w:t>
              <w:br/>
              <w:t>Full papers</w:t>
            </w:r>
          </w:p>
        </w:tc>
        <w:tc>
          <w:tcPr>
            <w:tcW w:type="dxa" w:w="6746"/>
            <w:vAlign w:val="top"/>
            <w:tcMar>
              <w:top w:w="90" w:type="dxa"/>
              <w:left w:w="90" w:type="dxa"/>
              <w:bottom w:w="90" w:type="dxa"/>
              <w:right w:w="90" w:type="dxa"/>
            </w:tcMar>
          </w:tcPr>
          <w:p>
            <w:pPr>
              <w:spacing w:after="40" w:line="245" w:lineRule="auto"/>
            </w:pPr>
            <w:r>
              <w:rPr>
                <w:b w:val="0"/>
                <w:sz w:val="19"/>
              </w:rPr>
              <w:t>Evalúa descripciones de gráficos en fidelidad, cobertura, información y agudeza; presenta 896 pares gráfico–descripción. Útil para diseñar evaluación semántica de explicaciones. No sustituye un benchmark de relaciones entre celdas. [3]</w:t>
            </w:r>
          </w:p>
        </w:tc>
      </w:tr>
      <w:tr>
        <w:trPr>
          <w:cantSplit/>
        </w:trPr>
        <w:tc>
          <w:tcPr>
            <w:tcW w:type="dxa" w:w="2891"/>
            <w:vAlign w:val="top"/>
            <w:tcMar>
              <w:top w:w="90" w:type="dxa"/>
              <w:left w:w="90" w:type="dxa"/>
              <w:bottom w:w="90" w:type="dxa"/>
              <w:right w:w="90" w:type="dxa"/>
            </w:tcMar>
          </w:tcPr>
          <w:p>
            <w:pPr>
              <w:spacing w:after="40" w:line="245" w:lineRule="auto"/>
            </w:pPr>
            <w:r>
              <w:rPr>
                <w:b w:val="0"/>
                <w:sz w:val="19"/>
              </w:rPr>
              <w:t>GeoAuthor</w:t>
              <w:br/>
              <w:t>Full papers · TVCG</w:t>
            </w:r>
          </w:p>
        </w:tc>
        <w:tc>
          <w:tcPr>
            <w:tcW w:type="dxa" w:w="6746"/>
            <w:vAlign w:val="top"/>
            <w:tcMar>
              <w:top w:w="90" w:type="dxa"/>
              <w:left w:w="90" w:type="dxa"/>
              <w:bottom w:w="90" w:type="dxa"/>
              <w:right w:w="90" w:type="dxa"/>
            </w:tcMar>
          </w:tcPr>
          <w:p>
            <w:pPr>
              <w:spacing w:after="40" w:line="245" w:lineRule="auto"/>
            </w:pPr>
            <w:r>
              <w:rPr>
                <w:b w:val="0"/>
                <w:sz w:val="19"/>
              </w:rPr>
              <w:t>Sincroniza texto y visualizaciones geográficas durante la autoría; parte de entrevistas. Impide defender la interacción bidireccional como novedad general. Su contexto es crear artículos, no rastrear ejecución en notebooks. [4]</w:t>
            </w:r>
          </w:p>
        </w:tc>
      </w:tr>
      <w:tr>
        <w:trPr>
          <w:cantSplit/>
        </w:trPr>
        <w:tc>
          <w:tcPr>
            <w:tcW w:type="dxa" w:w="2891"/>
            <w:vAlign w:val="top"/>
            <w:tcMar>
              <w:top w:w="90" w:type="dxa"/>
              <w:left w:w="90" w:type="dxa"/>
              <w:bottom w:w="90" w:type="dxa"/>
              <w:right w:w="90" w:type="dxa"/>
            </w:tcMar>
          </w:tcPr>
          <w:p>
            <w:pPr>
              <w:spacing w:after="40" w:line="245" w:lineRule="auto"/>
            </w:pPr>
            <w:r>
              <w:rPr>
                <w:b w:val="0"/>
                <w:sz w:val="19"/>
              </w:rPr>
              <w:t>Chart2SVG</w:t>
              <w:br/>
              <w:t>Full papers</w:t>
            </w:r>
          </w:p>
        </w:tc>
        <w:tc>
          <w:tcPr>
            <w:tcW w:type="dxa" w:w="6746"/>
            <w:vAlign w:val="top"/>
            <w:tcMar>
              <w:top w:w="90" w:type="dxa"/>
              <w:left w:w="90" w:type="dxa"/>
              <w:bottom w:w="90" w:type="dxa"/>
              <w:right w:w="90" w:type="dxa"/>
            </w:tcMar>
          </w:tcPr>
          <w:p>
            <w:pPr>
              <w:spacing w:after="40" w:line="245" w:lineRule="auto"/>
            </w:pPr>
            <w:r>
              <w:rPr>
                <w:b w:val="0"/>
                <w:sz w:val="19"/>
              </w:rPr>
              <w:t>Reconstruye gráficos rasterizados como SVG semánticamente estructurado. Es pertinente para localizar evidencia visual; no resuelve directamente Markdown–código. Antes de adoptarlo, comparar su complejidad con usar estructura ya disponible. [5]</w:t>
            </w:r>
          </w:p>
        </w:tc>
      </w:tr>
      <w:tr>
        <w:trPr>
          <w:cantSplit/>
        </w:trPr>
        <w:tc>
          <w:tcPr>
            <w:tcW w:type="dxa" w:w="2891"/>
            <w:vAlign w:val="top"/>
            <w:tcMar>
              <w:top w:w="90" w:type="dxa"/>
              <w:left w:w="90" w:type="dxa"/>
              <w:bottom w:w="90" w:type="dxa"/>
              <w:right w:w="90" w:type="dxa"/>
            </w:tcMar>
          </w:tcPr>
          <w:p>
            <w:pPr>
              <w:spacing w:after="40" w:line="245" w:lineRule="auto"/>
            </w:pPr>
            <w:r>
              <w:rPr>
                <w:b w:val="0"/>
                <w:sz w:val="19"/>
              </w:rPr>
              <w:t>Geranium</w:t>
              <w:br/>
              <w:t>Full papers · TVCG</w:t>
            </w:r>
          </w:p>
        </w:tc>
        <w:tc>
          <w:tcPr>
            <w:tcW w:type="dxa" w:w="6746"/>
            <w:vAlign w:val="top"/>
            <w:tcMar>
              <w:top w:w="90" w:type="dxa"/>
              <w:left w:w="90" w:type="dxa"/>
              <w:bottom w:w="90" w:type="dxa"/>
              <w:right w:w="90" w:type="dxa"/>
            </w:tcMar>
          </w:tcPr>
          <w:p>
            <w:pPr>
              <w:spacing w:after="40" w:line="245" w:lineRule="auto"/>
            </w:pPr>
            <w:r>
              <w:rPr>
                <w:b w:val="0"/>
                <w:sz w:val="19"/>
              </w:rPr>
              <w:t>Recupera visualizaciones genómicas mediante imagen, texto o especificación y permite reutilizarlas. Sirve como antecedente de recuperación multimodal; recupera ejemplos de gráficos, no candidatos Markdown dentro de un notebook. [8]</w:t>
            </w:r>
          </w:p>
        </w:tc>
      </w:tr>
      <w:tr>
        <w:trPr>
          <w:cantSplit/>
        </w:trPr>
        <w:tc>
          <w:tcPr>
            <w:tcW w:type="dxa" w:w="2891"/>
            <w:vAlign w:val="top"/>
            <w:tcMar>
              <w:top w:w="90" w:type="dxa"/>
              <w:left w:w="90" w:type="dxa"/>
              <w:bottom w:w="90" w:type="dxa"/>
              <w:right w:w="90" w:type="dxa"/>
            </w:tcMar>
          </w:tcPr>
          <w:p>
            <w:pPr>
              <w:spacing w:after="40" w:line="245" w:lineRule="auto"/>
            </w:pPr>
            <w:r>
              <w:rPr>
                <w:b w:val="0"/>
                <w:sz w:val="19"/>
              </w:rPr>
              <w:t>EvidenceLens</w:t>
              <w:br/>
              <w:t>Short papers</w:t>
            </w:r>
          </w:p>
        </w:tc>
        <w:tc>
          <w:tcPr>
            <w:tcW w:type="dxa" w:w="6746"/>
            <w:vAlign w:val="top"/>
            <w:tcMar>
              <w:top w:w="90" w:type="dxa"/>
              <w:left w:w="90" w:type="dxa"/>
              <w:bottom w:w="90" w:type="dxa"/>
              <w:right w:w="90" w:type="dxa"/>
            </w:tcMar>
          </w:tcPr>
          <w:p>
            <w:pPr>
              <w:spacing w:after="40" w:line="245" w:lineRule="auto"/>
            </w:pPr>
            <w:r>
              <w:rPr>
                <w:b w:val="0"/>
                <w:sz w:val="19"/>
              </w:rPr>
              <w:t>Organiza afirmaciones y evidencia de texto, tablas y gráficos para auditar respuestas financieras. Es un antecedente cercano si LinkMaker se presenta como verificación de afirmaciones; diferenciar por código productor y estado de ejecución. [9]</w:t>
            </w:r>
          </w:p>
        </w:tc>
      </w:tr>
    </w:tbl>
    <w:p>
      <w:pPr>
        <w:spacing w:after="0"/>
      </w:pPr>
    </w:p>
    <w:p>
      <w:pPr>
        <w:pStyle w:val="Heading2"/>
      </w:pPr>
      <w:r>
        <w:t>Prioridad de lectura</w:t>
      </w:r>
    </w:p>
    <w:p>
      <w:r>
        <w:t>Leer primero ChartFI para la evaluación de evidencia y EvidenceLens para delimitar la contribución de revisión. GeoAuthor ayuda a justificar decisiones a partir de necesidades; Geranium orienta la recuperación. Chart2SVG es una referencia técnica secundaria salvo que la localización de imágenes se vuelva el problema central.</w:t>
      </w:r>
    </w:p>
    <w:p>
      <w:pPr>
        <w:pStyle w:val="Heading2"/>
      </w:pPr>
      <w:r>
        <w:t>Límites de esta revisión</w:t>
      </w:r>
    </w:p>
    <w:p>
      <w:r>
        <w:t>Se contrastaron los títulos con la lista oficial y con artículos, resúmenes o páginas de autores. Las implicaciones para LinkMaker son propuestas propias. La búsqueda no identificó de forma inequívoca el artículo de Fabricio. Tampoco se debe dar por identificado el “paper de enlaces manuales” sin su título: InterLink y Kori son antecedentes pertinentes, pero podrían no ser el trabajo aludido.</w:t>
      </w:r>
    </w:p>
    <w:p>
      <w:r>
        <w:br w:type="page"/>
      </w:r>
    </w:p>
    <w:p>
      <w:pPr>
        <w:pStyle w:val="Heading1"/>
      </w:pPr>
      <w:r>
        <w:t>3  Justificar la necesidad con usuarios</w:t>
      </w:r>
    </w:p>
    <w:p>
      <w:pPr>
        <w:pStyle w:val="Heading2"/>
      </w:pPr>
      <w:r>
        <w:t>Cómo lo hicieron los antecedentes</w:t>
      </w:r>
    </w:p>
    <w:p>
      <w:r>
        <w:t>InterLink entrevistó a seis usuarios experimentados: usaron notebooks propios o de Kaggle y explicaron dificultades tras intentar comprenderlos. Después evaluó a 12 participantes con dos interfaces y dos notebooks, contrabalanceando el orden. Midió respuestas, tiempo y confianza; reportó exactitud de 0,92 frente a 0,81, sin diferencia significativa en tiempo. Esto estudia lectura con relaciones preparadas, no precisión de generación automática. [1, secciones 3 y 6]</w:t>
      </w:r>
    </w:p>
    <w:p>
      <w:r>
        <w:t>Kori combina construcción manual y sugerencias. En su estudio de 11 personas se reprodujeron referencias y se creó una historia; se recogieron valoraciones e entrevistas. Los usuarios aceptaban o descartaban sugerencias, y algunos emplearon los enlaces para comprobar afirmaciones. No fue una comparación controlada entre herramientas. Es útil para estudiar control y corrección, sin copiar su diseño como prueba de superioridad. [6, sección 7.2]</w:t>
      </w:r>
    </w:p>
    <w:p>
      <w:pPr>
        <w:pStyle w:val="Heading2"/>
      </w:pPr>
      <w:r>
        <w:t>Estudio formativo propuesto</w:t>
      </w:r>
    </w:p>
    <w:p>
      <w:r>
        <w:t>Reclutar inicialmente 6–10 personas que realmente revisen, reciban o reutilicen notebooks: analistas, investigadores y data scientists, con experiencia variada. El número es un punto de planificación, no garantía de saturación. Registrar roles y frecuencia de estas tareas; el cargo profesional por sí solo no define la población.</w:t>
      </w:r>
    </w:p>
    <w:p>
      <w:pPr>
        <w:pStyle w:val="ListBullet"/>
      </w:pPr>
      <w:r>
        <w:t>Sesiones de 45–60 minutos. Empezar por un episodio reciente y un notebook real; usar uno público equivalente si hay restricciones de confidencialidad.</w:t>
      </w:r>
    </w:p>
    <w:p>
      <w:pPr>
        <w:pStyle w:val="ListBullet"/>
      </w:pPr>
      <w:r>
        <w:t>Observar una tarea sin LinkMaker: encontrar de dónde sale una conclusión, localizar la transformación responsable o decidir qué reutilizar. Registrar búsquedas, saltos y dudas.</w:t>
      </w:r>
    </w:p>
    <w:p>
      <w:pPr>
        <w:pStyle w:val="ListBullet"/>
      </w:pPr>
      <w:r>
        <w:t>Preguntar “¿cómo compruebas esta afirmación?” y “¿qué evidencia te falta?”. Evitar empezar con “¿te ayudarían enlaces automáticos?”, que favorece respuestas complacientes.</w:t>
      </w:r>
    </w:p>
    <w:p>
      <w:pPr>
        <w:pStyle w:val="ListBullet"/>
      </w:pPr>
      <w:r>
        <w:t>Mostrar el prototipo al final, incluyendo una sugerencia errónea. Observar si la detectan y qué necesitan para corregirla; no medir solo si les gusta la interfaz.</w:t>
      </w:r>
    </w:p>
    <w:p>
      <w:pPr>
        <w:pStyle w:val="Heading2"/>
      </w:pPr>
      <w:r>
        <w:t>Entregable del estudio</w:t>
      </w:r>
    </w:p>
    <w:p>
      <w:r>
        <w:t>Una matriz de episodios observados → dificultades → requisitos → funciones → tareas de evaluación. Codificar entrevistas, conservar ejemplos y casos contrarios, discutir discrepancias entre investigadores y documentar decisiones. No convertir frecuencia de menciones en representatividad estadística. Tramitar consentimiento y requisitos éticos de la universidad antes del reclutamiento.</w:t>
      </w:r>
    </w:p>
    <w:p>
      <w:r>
        <w:t>Si los usuarios encuentran fácilmente la evidencia o el coste de revisar enlaces supera el ahorro, hay que reducir o cambiar el alcance. “Buscar el match” es un medio; el objetivo es resolver una tarea de lectura o revisión que realmente cueste trabajo.</w:t>
      </w:r>
    </w:p>
    <w:p>
      <w:r>
        <w:br w:type="page"/>
      </w:r>
    </w:p>
    <w:p>
      <w:pPr>
        <w:pStyle w:val="Heading1"/>
      </w:pPr>
      <w:r>
        <w:t>4  Reducir contexto mediante recuperación</w:t>
      </w:r>
    </w:p>
    <w:p>
      <w:pPr>
        <w:pStyle w:val="Heading2"/>
      </w:pPr>
      <w:r>
        <w:t>Sí a la idea con una condición</w:t>
      </w:r>
    </w:p>
    <w:p>
      <w:r>
        <w:t>El recuperador debe descartar contexto irrelevante sin eliminar la evidencia necesaria. BM25 ofrece una base léxica reproducible con corpus, parámetros y desempates fijos. Opera sobre texto, por lo que antes hay que representar la imagen mediante información textual disponible; no basta con pasar píxeles a BM25. [10]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313"/>
      </w:tblGrid>
      <w:tr>
        <w:trPr>
          <w:cantSplit/>
          <w:tblHeader/>
        </w:trPr>
        <w:tc>
          <w:tcPr>
            <w:tcW w:type="dxa" w:w="2324"/>
            <w:vAlign w:val="top"/>
            <w:tcMar>
              <w:top w:w="90" w:type="dxa"/>
              <w:left w:w="90" w:type="dxa"/>
              <w:bottom w:w="90" w:type="dxa"/>
              <w:right w:w="90" w:type="dxa"/>
            </w:tcMar>
            <w:shd w:fill="EDF1F4"/>
          </w:tcPr>
          <w:p>
            <w:pPr>
              <w:spacing w:after="40" w:line="245" w:lineRule="auto"/>
            </w:pPr>
            <w:r>
              <w:rPr>
                <w:b/>
                <w:sz w:val="19"/>
              </w:rPr>
              <w:t>Etapa propuesta</w:t>
            </w:r>
          </w:p>
        </w:tc>
        <w:tc>
          <w:tcPr>
            <w:tcW w:type="dxa" w:w="7313"/>
            <w:vAlign w:val="top"/>
            <w:tcMar>
              <w:top w:w="90" w:type="dxa"/>
              <w:left w:w="90" w:type="dxa"/>
              <w:bottom w:w="90" w:type="dxa"/>
              <w:right w:w="90" w:type="dxa"/>
            </w:tcMar>
            <w:shd w:fill="EDF1F4"/>
          </w:tcPr>
          <w:p>
            <w:pPr>
              <w:spacing w:after="40" w:line="245" w:lineRule="auto"/>
            </w:pPr>
            <w:r>
              <w:rPr>
                <w:b/>
                <w:sz w:val="19"/>
              </w:rPr>
              <w:t>Decisión concreta</w:t>
            </w:r>
          </w:p>
        </w:tc>
      </w:tr>
      <w:tr>
        <w:trPr>
          <w:cantSplit/>
        </w:trPr>
        <w:tc>
          <w:tcPr>
            <w:tcW w:type="dxa" w:w="2324"/>
            <w:vAlign w:val="top"/>
            <w:tcMar>
              <w:top w:w="90" w:type="dxa"/>
              <w:left w:w="90" w:type="dxa"/>
              <w:bottom w:w="90" w:type="dxa"/>
              <w:right w:w="90" w:type="dxa"/>
            </w:tcMar>
          </w:tcPr>
          <w:p>
            <w:pPr>
              <w:spacing w:after="40" w:line="245" w:lineRule="auto"/>
            </w:pPr>
            <w:r>
              <w:rPr>
                <w:b w:val="0"/>
                <w:sz w:val="19"/>
              </w:rPr>
              <w:t>1 · Construir unidades</w:t>
            </w:r>
          </w:p>
        </w:tc>
        <w:tc>
          <w:tcPr>
            <w:tcW w:type="dxa" w:w="7313"/>
            <w:vAlign w:val="top"/>
            <w:tcMar>
              <w:top w:w="90" w:type="dxa"/>
              <w:left w:w="90" w:type="dxa"/>
              <w:bottom w:w="90" w:type="dxa"/>
              <w:right w:w="90" w:type="dxa"/>
            </w:tcMar>
          </w:tcPr>
          <w:p>
            <w:pPr>
              <w:spacing w:after="40" w:line="245" w:lineRule="auto"/>
            </w:pPr>
            <w:r>
              <w:rPr>
                <w:b w:val="0"/>
                <w:sz w:val="19"/>
              </w:rPr>
              <w:t>Indexar párrafos o frases de Markdown conservando encabezado, cellId y offsets. No fragmentar de forma que una afirmación pierda la condición o comparación que la explica.</w:t>
            </w:r>
          </w:p>
        </w:tc>
      </w:tr>
      <w:tr>
        <w:trPr>
          <w:cantSplit/>
        </w:trPr>
        <w:tc>
          <w:tcPr>
            <w:tcW w:type="dxa" w:w="2324"/>
            <w:vAlign w:val="top"/>
            <w:tcMar>
              <w:top w:w="90" w:type="dxa"/>
              <w:left w:w="90" w:type="dxa"/>
              <w:bottom w:w="90" w:type="dxa"/>
              <w:right w:w="90" w:type="dxa"/>
            </w:tcMar>
          </w:tcPr>
          <w:p>
            <w:pPr>
              <w:spacing w:after="40" w:line="245" w:lineRule="auto"/>
            </w:pPr>
            <w:r>
              <w:rPr>
                <w:b w:val="0"/>
                <w:sz w:val="19"/>
              </w:rPr>
              <w:t>2 · Describir el output</w:t>
            </w:r>
          </w:p>
        </w:tc>
        <w:tc>
          <w:tcPr>
            <w:tcW w:type="dxa" w:w="7313"/>
            <w:vAlign w:val="top"/>
            <w:tcMar>
              <w:top w:w="90" w:type="dxa"/>
              <w:left w:w="90" w:type="dxa"/>
              <w:bottom w:w="90" w:type="dxa"/>
              <w:right w:w="90" w:type="dxa"/>
            </w:tcMar>
          </w:tcPr>
          <w:p>
            <w:pPr>
              <w:spacing w:after="40" w:line="245" w:lineRule="auto"/>
            </w:pPr>
            <w:r>
              <w:rPr>
                <w:b w:val="0"/>
                <w:sz w:val="19"/>
              </w:rPr>
              <w:t>Priorizar texto de SVG/DOM, etiquetas accesibles y encabezados de tablas. Añadir nombres y etiquetas del código productor como contexto separado. Si solo hay raster, usar OCR y registrar sus errores.</w:t>
            </w:r>
          </w:p>
        </w:tc>
      </w:tr>
      <w:tr>
        <w:trPr>
          <w:cantSplit/>
        </w:trPr>
        <w:tc>
          <w:tcPr>
            <w:tcW w:type="dxa" w:w="2324"/>
            <w:vAlign w:val="top"/>
            <w:tcMar>
              <w:top w:w="90" w:type="dxa"/>
              <w:left w:w="90" w:type="dxa"/>
              <w:bottom w:w="90" w:type="dxa"/>
              <w:right w:w="90" w:type="dxa"/>
            </w:tcMar>
          </w:tcPr>
          <w:p>
            <w:pPr>
              <w:spacing w:after="40" w:line="245" w:lineRule="auto"/>
            </w:pPr>
            <w:r>
              <w:rPr>
                <w:b w:val="0"/>
                <w:sz w:val="19"/>
              </w:rPr>
              <w:t>3 · Recuperar candidatos</w:t>
            </w:r>
          </w:p>
        </w:tc>
        <w:tc>
          <w:tcPr>
            <w:tcW w:type="dxa" w:w="7313"/>
            <w:vAlign w:val="top"/>
            <w:tcMar>
              <w:top w:w="90" w:type="dxa"/>
              <w:left w:w="90" w:type="dxa"/>
              <w:bottom w:w="90" w:type="dxa"/>
              <w:right w:w="90" w:type="dxa"/>
            </w:tcMar>
          </w:tcPr>
          <w:p>
            <w:pPr>
              <w:spacing w:after="40" w:line="245" w:lineRule="auto"/>
            </w:pPr>
            <w:r>
              <w:rPr>
                <w:b w:val="0"/>
                <w:sz w:val="19"/>
              </w:rPr>
              <w:t>Consultar por títulos, ejes, leyendas, variables, unidades y valores. Usar BM25 y añadir vecinos inmediatos como respaldo, sin limitar toda la búsqueda a proximidad.</w:t>
            </w:r>
          </w:p>
        </w:tc>
      </w:tr>
      <w:tr>
        <w:trPr>
          <w:cantSplit/>
        </w:trPr>
        <w:tc>
          <w:tcPr>
            <w:tcW w:type="dxa" w:w="2324"/>
            <w:vAlign w:val="top"/>
            <w:tcMar>
              <w:top w:w="90" w:type="dxa"/>
              <w:left w:w="90" w:type="dxa"/>
              <w:bottom w:w="90" w:type="dxa"/>
              <w:right w:w="90" w:type="dxa"/>
            </w:tcMar>
          </w:tcPr>
          <w:p>
            <w:pPr>
              <w:spacing w:after="40" w:line="245" w:lineRule="auto"/>
            </w:pPr>
            <w:r>
              <w:rPr>
                <w:b w:val="0"/>
                <w:sz w:val="19"/>
              </w:rPr>
              <w:t>4 · Conservar contexto</w:t>
            </w:r>
          </w:p>
        </w:tc>
        <w:tc>
          <w:tcPr>
            <w:tcW w:type="dxa" w:w="7313"/>
            <w:vAlign w:val="top"/>
            <w:tcMar>
              <w:top w:w="90" w:type="dxa"/>
              <w:left w:w="90" w:type="dxa"/>
              <w:bottom w:w="90" w:type="dxa"/>
              <w:right w:w="90" w:type="dxa"/>
            </w:tcMar>
          </w:tcPr>
          <w:p>
            <w:pPr>
              <w:spacing w:after="40" w:line="245" w:lineRule="auto"/>
            </w:pPr>
            <w:r>
              <w:rPr>
                <w:b w:val="0"/>
                <w:sz w:val="19"/>
              </w:rPr>
              <w:t>Reunir top-k candidatos más sus encabezados y contexto mínimo, deduplicar y restaurar el orden original. Para comparaciones, conservar varias evidencias y sus productores.</w:t>
            </w:r>
          </w:p>
        </w:tc>
      </w:tr>
      <w:tr>
        <w:trPr>
          <w:cantSplit/>
        </w:trPr>
        <w:tc>
          <w:tcPr>
            <w:tcW w:type="dxa" w:w="2324"/>
            <w:vAlign w:val="top"/>
            <w:tcMar>
              <w:top w:w="90" w:type="dxa"/>
              <w:left w:w="90" w:type="dxa"/>
              <w:bottom w:w="90" w:type="dxa"/>
              <w:right w:w="90" w:type="dxa"/>
            </w:tcMar>
          </w:tcPr>
          <w:p>
            <w:pPr>
              <w:spacing w:after="40" w:line="245" w:lineRule="auto"/>
            </w:pPr>
            <w:r>
              <w:rPr>
                <w:b w:val="0"/>
                <w:sz w:val="19"/>
              </w:rPr>
              <w:t>5 · Resolver con el LLM</w:t>
            </w:r>
          </w:p>
        </w:tc>
        <w:tc>
          <w:tcPr>
            <w:tcW w:type="dxa" w:w="7313"/>
            <w:vAlign w:val="top"/>
            <w:tcMar>
              <w:top w:w="90" w:type="dxa"/>
              <w:left w:w="90" w:type="dxa"/>
              <w:bottom w:w="90" w:type="dxa"/>
              <w:right w:w="90" w:type="dxa"/>
            </w:tcMar>
          </w:tcPr>
          <w:p>
            <w:pPr>
              <w:spacing w:after="40" w:line="245" w:lineRule="auto"/>
            </w:pPr>
            <w:r>
              <w:rPr>
                <w:b w:val="0"/>
                <w:sz w:val="19"/>
              </w:rPr>
              <w:t>Enviar candidatos, output y código productor. Devolver relaciones con IDs y evidencia localizada o abstenerse. La posición en el ranking no demuestra una relación.</w:t>
            </w:r>
          </w:p>
        </w:tc>
      </w:tr>
      <w:tr>
        <w:trPr>
          <w:cantSplit/>
        </w:trPr>
        <w:tc>
          <w:tcPr>
            <w:tcW w:type="dxa" w:w="2324"/>
            <w:vAlign w:val="top"/>
            <w:tcMar>
              <w:top w:w="90" w:type="dxa"/>
              <w:left w:w="90" w:type="dxa"/>
              <w:bottom w:w="90" w:type="dxa"/>
              <w:right w:w="90" w:type="dxa"/>
            </w:tcMar>
          </w:tcPr>
          <w:p>
            <w:pPr>
              <w:spacing w:after="40" w:line="245" w:lineRule="auto"/>
            </w:pPr>
            <w:r>
              <w:rPr>
                <w:b w:val="0"/>
                <w:sz w:val="19"/>
              </w:rPr>
              <w:t>6 · Aplicar respaldo</w:t>
            </w:r>
          </w:p>
        </w:tc>
        <w:tc>
          <w:tcPr>
            <w:tcW w:type="dxa" w:w="7313"/>
            <w:vAlign w:val="top"/>
            <w:tcMar>
              <w:top w:w="90" w:type="dxa"/>
              <w:left w:w="90" w:type="dxa"/>
              <w:bottom w:w="90" w:type="dxa"/>
              <w:right w:w="90" w:type="dxa"/>
            </w:tcMar>
          </w:tcPr>
          <w:p>
            <w:pPr>
              <w:spacing w:after="40" w:line="245" w:lineRule="auto"/>
            </w:pPr>
            <w:r>
              <w:rPr>
                <w:b w:val="0"/>
                <w:sz w:val="19"/>
              </w:rPr>
              <w:t>Si faltan descriptores, ampliar candidatos o usar contexto completo. Registrar cuándo ocurre; incluir ese coste en la evaluación.</w:t>
            </w:r>
          </w:p>
        </w:tc>
      </w:tr>
    </w:tbl>
    <w:p>
      <w:pPr>
        <w:spacing w:after="0"/>
      </w:pPr>
    </w:p>
    <w:p>
      <w:pPr>
        <w:pStyle w:val="Heading2"/>
      </w:pPr>
      <w:r>
        <w:t>Qué significa determinístico aquí</w:t>
      </w:r>
    </w:p>
    <w:p>
      <w:r>
        <w:t>Extracción de DOM, tokenización y ranking pueden reproducirse bajo una configuración fija. OCR puede utilizar modelos y producir errores; una descripción generada por otro LLM añade coste y variabilidad. No llamar “pipeline determinístico” a toda la solución si contiene esas etapas. Evaluarlas por separado.</w:t>
      </w:r>
    </w:p>
    <w:p>
      <w:pPr>
        <w:pStyle w:val="Heading2"/>
      </w:pPr>
      <w:r>
        <w:t>¿Es RAG?</w:t>
      </w:r>
    </w:p>
    <w:p>
      <w:r>
        <w:t>Puede describirse como extracción de relaciones aumentada por recuperación, inspirada en el patrón recuperar y después generar. RAG es un antecedente arquitectónico, no una contribución suficiente en sí mismo. El objetivo aquí es seleccionar y localizar relaciones, no responder preguntas abiertas. [11]</w:t>
      </w:r>
    </w:p>
    <w:p>
      <w:r>
        <w:t>Experimento inicial: contexto completo frente a BM25 con k = 5, 10 y 20, ajustado solo en desarrollo. Medir Recall@k y calidad final, especialmente en paráfrasis y relaciones lejanas. Un objetivo provisional como Recall@k ≥ 95 % debe acordarse antes del test; no es un resultado actual ni un umbral universal.</w:t>
      </w:r>
    </w:p>
    <w:p>
      <w:r>
        <w:br w:type="page"/>
      </w:r>
    </w:p>
    <w:p>
      <w:pPr>
        <w:pStyle w:val="Heading1"/>
      </w:pPr>
      <w:r>
        <w:t>5  Ablaciones para medir el contexto</w:t>
      </w:r>
    </w:p>
    <w:p>
      <w:r>
        <w:t>Separar dos cambios que suelen confundirse: añadir texto de ejecución para enlazar Markdown con código y añadir código productor para enlazar Markdown con un output visual. Hacer primero estas ablaciones sin recuperación para que el filtrado no confunda sus efectos.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4139"/>
        <w:gridCol w:w="3515"/>
      </w:tblGrid>
      <w:tr>
        <w:trPr>
          <w:cantSplit/>
          <w:tblHeader/>
        </w:trPr>
        <w:tc>
          <w:tcPr>
            <w:tcW w:type="dxa" w:w="1984"/>
            <w:vAlign w:val="top"/>
            <w:tcMar>
              <w:top w:w="90" w:type="dxa"/>
              <w:left w:w="90" w:type="dxa"/>
              <w:bottom w:w="90" w:type="dxa"/>
              <w:right w:w="90" w:type="dxa"/>
            </w:tcMar>
            <w:shd w:fill="EDF1F4"/>
          </w:tcPr>
          <w:p>
            <w:pPr>
              <w:spacing w:after="40" w:line="245" w:lineRule="auto"/>
            </w:pPr>
            <w:r>
              <w:rPr>
                <w:b/>
                <w:sz w:val="19"/>
              </w:rPr>
              <w:t>Experimento</w:t>
            </w:r>
          </w:p>
        </w:tc>
        <w:tc>
          <w:tcPr>
            <w:tcW w:type="dxa" w:w="4139"/>
            <w:vAlign w:val="top"/>
            <w:tcMar>
              <w:top w:w="90" w:type="dxa"/>
              <w:left w:w="90" w:type="dxa"/>
              <w:bottom w:w="90" w:type="dxa"/>
              <w:right w:w="90" w:type="dxa"/>
            </w:tcMar>
            <w:shd w:fill="EDF1F4"/>
          </w:tcPr>
          <w:p>
            <w:pPr>
              <w:spacing w:after="40" w:line="245" w:lineRule="auto"/>
            </w:pPr>
            <w:r>
              <w:rPr>
                <w:b/>
                <w:sz w:val="19"/>
              </w:rPr>
              <w:t>Comparación controlada</w:t>
            </w:r>
          </w:p>
        </w:tc>
        <w:tc>
          <w:tcPr>
            <w:tcW w:type="dxa" w:w="3515"/>
            <w:vAlign w:val="top"/>
            <w:tcMar>
              <w:top w:w="90" w:type="dxa"/>
              <w:left w:w="90" w:type="dxa"/>
              <w:bottom w:w="90" w:type="dxa"/>
              <w:right w:w="90" w:type="dxa"/>
            </w:tcMar>
            <w:shd w:fill="EDF1F4"/>
          </w:tcPr>
          <w:p>
            <w:pPr>
              <w:spacing w:after="40" w:line="245" w:lineRule="auto"/>
            </w:pPr>
            <w:r>
              <w:rPr>
                <w:b/>
                <w:sz w:val="19"/>
              </w:rPr>
              <w:t>Qué se mide</w:t>
            </w:r>
          </w:p>
        </w:tc>
      </w:tr>
      <w:tr>
        <w:trPr>
          <w:cantSplit/>
        </w:trPr>
        <w:tc>
          <w:tcPr>
            <w:tcW w:type="dxa" w:w="1984"/>
            <w:vAlign w:val="top"/>
            <w:tcMar>
              <w:top w:w="90" w:type="dxa"/>
              <w:left w:w="90" w:type="dxa"/>
              <w:bottom w:w="90" w:type="dxa"/>
              <w:right w:w="90" w:type="dxa"/>
            </w:tcMar>
          </w:tcPr>
          <w:p>
            <w:pPr>
              <w:spacing w:after="40" w:line="245" w:lineRule="auto"/>
            </w:pPr>
            <w:r>
              <w:rPr>
                <w:b w:val="0"/>
                <w:sz w:val="19"/>
              </w:rPr>
              <w:t>A · Markdown–código</w:t>
            </w:r>
          </w:p>
        </w:tc>
        <w:tc>
          <w:tcPr>
            <w:tcW w:type="dxa" w:w="4139"/>
            <w:vAlign w:val="top"/>
            <w:tcMar>
              <w:top w:w="90" w:type="dxa"/>
              <w:left w:w="90" w:type="dxa"/>
              <w:bottom w:w="90" w:type="dxa"/>
              <w:right w:w="90" w:type="dxa"/>
            </w:tcMar>
          </w:tcPr>
          <w:p>
            <w:pPr>
              <w:spacing w:after="40" w:line="245" w:lineRule="auto"/>
            </w:pPr>
            <w:r>
              <w:rPr>
                <w:b w:val="0"/>
                <w:sz w:val="19"/>
              </w:rPr>
              <w:t>A0: Markdown + código.</w:t>
              <w:br/>
              <w:t>A1: misma entrada + outputText disponible.</w:t>
            </w:r>
          </w:p>
        </w:tc>
        <w:tc>
          <w:tcPr>
            <w:tcW w:type="dxa" w:w="3515"/>
            <w:vAlign w:val="top"/>
            <w:tcMar>
              <w:top w:w="90" w:type="dxa"/>
              <w:left w:w="90" w:type="dxa"/>
              <w:bottom w:w="90" w:type="dxa"/>
              <w:right w:w="90" w:type="dxa"/>
            </w:tcMar>
          </w:tcPr>
          <w:p>
            <w:pPr>
              <w:spacing w:after="40" w:line="245" w:lineRule="auto"/>
            </w:pPr>
            <w:r>
              <w:rPr>
                <w:b w:val="0"/>
                <w:sz w:val="19"/>
              </w:rPr>
              <w:t>Calidad de pares y fragmentos; separar afirmaciones numéricas, operaciones y comparaciones.</w:t>
            </w:r>
          </w:p>
        </w:tc>
      </w:tr>
      <w:tr>
        <w:trPr>
          <w:cantSplit/>
        </w:trPr>
        <w:tc>
          <w:tcPr>
            <w:tcW w:type="dxa" w:w="1984"/>
            <w:vAlign w:val="top"/>
            <w:tcMar>
              <w:top w:w="90" w:type="dxa"/>
              <w:left w:w="90" w:type="dxa"/>
              <w:bottom w:w="90" w:type="dxa"/>
              <w:right w:w="90" w:type="dxa"/>
            </w:tcMar>
          </w:tcPr>
          <w:p>
            <w:pPr>
              <w:spacing w:after="40" w:line="245" w:lineRule="auto"/>
            </w:pPr>
            <w:r>
              <w:rPr>
                <w:b w:val="0"/>
                <w:sz w:val="19"/>
              </w:rPr>
              <w:t>B · Markdown–output</w:t>
            </w:r>
          </w:p>
        </w:tc>
        <w:tc>
          <w:tcPr>
            <w:tcW w:type="dxa" w:w="4139"/>
            <w:vAlign w:val="top"/>
            <w:tcMar>
              <w:top w:w="90" w:type="dxa"/>
              <w:left w:w="90" w:type="dxa"/>
              <w:bottom w:w="90" w:type="dxa"/>
              <w:right w:w="90" w:type="dxa"/>
            </w:tcMar>
          </w:tcPr>
          <w:p>
            <w:pPr>
              <w:spacing w:after="40" w:line="245" w:lineRule="auto"/>
            </w:pPr>
            <w:r>
              <w:rPr>
                <w:b w:val="0"/>
                <w:sz w:val="19"/>
              </w:rPr>
              <w:t>B0: Markdown + mismo output.</w:t>
              <w:br/>
              <w:t>B1: misma entrada + código productor.</w:t>
            </w:r>
          </w:p>
        </w:tc>
        <w:tc>
          <w:tcPr>
            <w:tcW w:type="dxa" w:w="3515"/>
            <w:vAlign w:val="top"/>
            <w:tcMar>
              <w:top w:w="90" w:type="dxa"/>
              <w:left w:w="90" w:type="dxa"/>
              <w:bottom w:w="90" w:type="dxa"/>
              <w:right w:w="90" w:type="dxa"/>
            </w:tcMar>
          </w:tcPr>
          <w:p>
            <w:pPr>
              <w:spacing w:after="40" w:line="245" w:lineRule="auto"/>
            </w:pPr>
            <w:r>
              <w:rPr>
                <w:b w:val="0"/>
                <w:sz w:val="19"/>
              </w:rPr>
              <w:t>Calidad de relación y localización. Reportar tablas HTML y gráficos por separado.</w:t>
            </w:r>
          </w:p>
        </w:tc>
      </w:tr>
      <w:tr>
        <w:trPr>
          <w:cantSplit/>
        </w:trPr>
        <w:tc>
          <w:tcPr>
            <w:tcW w:type="dxa" w:w="1984"/>
            <w:vAlign w:val="top"/>
            <w:tcMar>
              <w:top w:w="90" w:type="dxa"/>
              <w:left w:w="90" w:type="dxa"/>
              <w:bottom w:w="90" w:type="dxa"/>
              <w:right w:w="90" w:type="dxa"/>
            </w:tcMar>
          </w:tcPr>
          <w:p>
            <w:pPr>
              <w:spacing w:after="40" w:line="245" w:lineRule="auto"/>
            </w:pPr>
            <w:r>
              <w:rPr>
                <w:b w:val="0"/>
                <w:sz w:val="19"/>
              </w:rPr>
              <w:t>C · Recuperación</w:t>
            </w:r>
          </w:p>
        </w:tc>
        <w:tc>
          <w:tcPr>
            <w:tcW w:type="dxa" w:w="4139"/>
            <w:vAlign w:val="top"/>
            <w:tcMar>
              <w:top w:w="90" w:type="dxa"/>
              <w:left w:w="90" w:type="dxa"/>
              <w:bottom w:w="90" w:type="dxa"/>
              <w:right w:w="90" w:type="dxa"/>
            </w:tcMar>
          </w:tcPr>
          <w:p>
            <w:pPr>
              <w:spacing w:after="40" w:line="245" w:lineRule="auto"/>
            </w:pPr>
            <w:r>
              <w:rPr>
                <w:b w:val="0"/>
                <w:sz w:val="19"/>
              </w:rPr>
              <w:t>C0: contexto completo.</w:t>
              <w:br/>
              <w:t>C1: BM25 top-k.</w:t>
              <w:br/>
              <w:t>Mantener la variante de contexto ganadora.</w:t>
            </w:r>
          </w:p>
        </w:tc>
        <w:tc>
          <w:tcPr>
            <w:tcW w:type="dxa" w:w="3515"/>
            <w:vAlign w:val="top"/>
            <w:tcMar>
              <w:top w:w="90" w:type="dxa"/>
              <w:left w:w="90" w:type="dxa"/>
              <w:bottom w:w="90" w:type="dxa"/>
              <w:right w:w="90" w:type="dxa"/>
            </w:tcMar>
          </w:tcPr>
          <w:p>
            <w:pPr>
              <w:spacing w:after="40" w:line="245" w:lineRule="auto"/>
            </w:pPr>
            <w:r>
              <w:rPr>
                <w:b w:val="0"/>
                <w:sz w:val="19"/>
              </w:rPr>
              <w:t>Recall@k, F1 final, tokens, coste y latencia. Incluir el coste de OCR y de los respaldos.</w:t>
            </w:r>
          </w:p>
        </w:tc>
      </w:tr>
    </w:tbl>
    <w:p>
      <w:pPr>
        <w:spacing w:after="0"/>
      </w:pPr>
    </w:p>
    <w:p>
      <w:pPr>
        <w:pStyle w:val="Heading2"/>
      </w:pPr>
      <w:r>
        <w:t>Controles necesarios</w:t>
      </w:r>
    </w:p>
    <w:p>
      <w:pPr>
        <w:pStyle w:val="ListBullet"/>
      </w:pPr>
      <w:r>
        <w:t>Congelar notebook, outputs, etiquetas, versión del prompt, modelo, razonamiento y parámetros disponibles. Mantener las instrucciones comunes; quitar únicamente el campo de contexto que se estudia.</w:t>
      </w:r>
    </w:p>
    <w:p>
      <w:pPr>
        <w:pStyle w:val="ListBullet"/>
      </w:pPr>
      <w:r>
        <w:t>Repetir 3–5 veces por condición y alternar su orden. Las repeticiones estiman variabilidad del modelo; no sustituyen distintos notebooks.</w:t>
      </w:r>
    </w:p>
    <w:p>
      <w:pPr>
        <w:pStyle w:val="ListBullet"/>
      </w:pPr>
      <w:r>
        <w:t>Guardar el input real, versión o hash, respuesta sin procesar, validaciones, tokens y tiempos. El runner actual no registra una bandera de ablación ni todo este contexto experimental.</w:t>
      </w:r>
    </w:p>
    <w:p>
      <w:pPr>
        <w:pStyle w:val="ListBullet"/>
      </w:pPr>
      <w:r>
        <w:t>Comparar ganancias y pérdidas por la misma afirmación. Clasificar casos en que el nuevo contexto ayuda, no cambia o induce un enlace incorrecto. No seleccionar solo ejemplos favorables.</w:t>
      </w:r>
    </w:p>
    <w:p>
      <w:pPr>
        <w:pStyle w:val="Heading2"/>
      </w:pPr>
      <w:r>
        <w:t>Punto de partida local confirmado</w:t>
      </w:r>
    </w:p>
    <w:p>
      <w:r>
        <w:t>Las tres ejecuciones guardadas con identificador gpt-5.6-luna y razonamiento low, del 24/09/2026, evaluaron pares Markdown–código sobre 36 pares únicos de referencia. Recalculando desde las predicciones: precisión agregada 59,0 %, recall 75,9 % y F1 66,4 %; latencia media 41,8 s. La agregación suma TP, FP y FN de las ejecuciones, no promedia sus F1. [L1–L2]</w:t>
      </w:r>
    </w:p>
    <w:p>
      <w:r>
        <w:t>Estos datos no evalúan relaciones Markdown–output ni prueban el efecto causal del texto añadido. Las etiquetas pueden ser incompletas: una predicción fuera de la referencia merece revisión antes de considerarla un error semántico definitivo. Los ejemplos nuevos observados apoyan la hipótesis y deben incluirse como casos ilustrativos, no reemplazar la ablación.</w:t>
      </w:r>
    </w:p>
    <w:p>
      <w:r>
        <w:t>Caso para la ablación: el Markdown de Titanic compara Decision Tree y Random Forest como modelos con igual puntuación; la tabla muestra 86,76 para ambos. El texto del output permite comprobar esa igualdad. Hay que medir si A1 recupera correctamente ese enlace y A0 lo omite, además de buscar casos donde A1 empeora. [L3]</w:t>
      </w:r>
    </w:p>
    <w:p>
      <w:r>
        <w:br w:type="page"/>
      </w:r>
    </w:p>
    <w:p>
      <w:pPr>
        <w:pStyle w:val="Heading1"/>
      </w:pPr>
      <w:r>
        <w:t>6  Benchmark técnico y comparaciones</w:t>
      </w:r>
    </w:p>
    <w:p>
      <w:pPr>
        <w:pStyle w:val="Heading2"/>
      </w:pPr>
      <w:r>
        <w:t>Construir una referencia que permita responder</w:t>
      </w:r>
    </w:p>
    <w:p>
      <w:r>
        <w:t>Usar Titanic como piloto, ya muy explorado, y reservar notebooks no usados para ajustar prompts. Un alcance inicial de 12–20 notebooks de varios dominios es una meta de trabajo ajustable al presupuesto de anotación, no garantía de generalización. Incluir tablas, gráficos, outputs ausentes, referencias lejanas, comparaciones y afirmaciones que no tienen evidencia suficiente.</w:t>
      </w:r>
    </w:p>
    <w:p>
      <w:r>
        <w:t>Dos anotadores deben identificar relaciones y destinos sin conocer la condición del modelo; adjudicar desacuerdos con una rúbrica. Permitir múltiples destinos válidos y diferenciar “relacionado” de “respalda”. Anotar exhaustivamente el universo elegido o muestrear candidatos positivos y negativos con un protocolo explícito. Revisar únicamente predicciones del sistema sesga la referencia y deja omisiones sin detectar.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200"/>
      </w:tblGrid>
      <w:tr>
        <w:trPr>
          <w:cantSplit/>
          <w:tblHeader/>
        </w:trPr>
        <w:tc>
          <w:tcPr>
            <w:tcW w:type="dxa" w:w="2438"/>
            <w:vAlign w:val="top"/>
            <w:tcMar>
              <w:top w:w="90" w:type="dxa"/>
              <w:left w:w="90" w:type="dxa"/>
              <w:bottom w:w="90" w:type="dxa"/>
              <w:right w:w="90" w:type="dxa"/>
            </w:tcMar>
            <w:shd w:fill="EDF1F4"/>
          </w:tcPr>
          <w:p>
            <w:pPr>
              <w:spacing w:after="40" w:line="245" w:lineRule="auto"/>
            </w:pPr>
            <w:r>
              <w:rPr>
                <w:b/>
                <w:sz w:val="19"/>
              </w:rPr>
              <w:t>Nivel</w:t>
            </w:r>
          </w:p>
        </w:tc>
        <w:tc>
          <w:tcPr>
            <w:tcW w:type="dxa" w:w="7200"/>
            <w:vAlign w:val="top"/>
            <w:tcMar>
              <w:top w:w="90" w:type="dxa"/>
              <w:left w:w="90" w:type="dxa"/>
              <w:bottom w:w="90" w:type="dxa"/>
              <w:right w:w="90" w:type="dxa"/>
            </w:tcMar>
            <w:shd w:fill="EDF1F4"/>
          </w:tcPr>
          <w:p>
            <w:pPr>
              <w:spacing w:after="40" w:line="245" w:lineRule="auto"/>
            </w:pPr>
            <w:r>
              <w:rPr>
                <w:b/>
                <w:sz w:val="19"/>
              </w:rPr>
              <w:t>Métrica y precaución</w:t>
            </w:r>
          </w:p>
        </w:tc>
      </w:tr>
      <w:tr>
        <w:trPr>
          <w:cantSplit/>
        </w:trPr>
        <w:tc>
          <w:tcPr>
            <w:tcW w:type="dxa" w:w="2438"/>
            <w:vAlign w:val="top"/>
            <w:tcMar>
              <w:top w:w="90" w:type="dxa"/>
              <w:left w:w="90" w:type="dxa"/>
              <w:bottom w:w="90" w:type="dxa"/>
              <w:right w:w="90" w:type="dxa"/>
            </w:tcMar>
          </w:tcPr>
          <w:p>
            <w:pPr>
              <w:spacing w:after="40" w:line="245" w:lineRule="auto"/>
            </w:pPr>
            <w:r>
              <w:rPr>
                <w:b w:val="0"/>
                <w:sz w:val="19"/>
              </w:rPr>
              <w:t>Relación entre celdas</w:t>
            </w:r>
          </w:p>
        </w:tc>
        <w:tc>
          <w:tcPr>
            <w:tcW w:type="dxa" w:w="7200"/>
            <w:vAlign w:val="top"/>
            <w:tcMar>
              <w:top w:w="90" w:type="dxa"/>
              <w:left w:w="90" w:type="dxa"/>
              <w:bottom w:w="90" w:type="dxa"/>
              <w:right w:w="90" w:type="dxa"/>
            </w:tcMar>
          </w:tcPr>
          <w:p>
            <w:pPr>
              <w:spacing w:after="40" w:line="245" w:lineRule="auto"/>
            </w:pPr>
            <w:r>
              <w:rPr>
                <w:b w:val="0"/>
                <w:sz w:val="19"/>
              </w:rPr>
              <w:t>Precision, recall y F1 sobre pares únicos. Reportar micro y promedio por notebook; desglosar tipo de relación y modalidad.</w:t>
            </w:r>
          </w:p>
        </w:tc>
      </w:tr>
      <w:tr>
        <w:trPr>
          <w:cantSplit/>
        </w:trPr>
        <w:tc>
          <w:tcPr>
            <w:tcW w:type="dxa" w:w="2438"/>
            <w:vAlign w:val="top"/>
            <w:tcMar>
              <w:top w:w="90" w:type="dxa"/>
              <w:left w:w="90" w:type="dxa"/>
              <w:bottom w:w="90" w:type="dxa"/>
              <w:right w:w="90" w:type="dxa"/>
            </w:tcMar>
          </w:tcPr>
          <w:p>
            <w:pPr>
              <w:spacing w:after="40" w:line="245" w:lineRule="auto"/>
            </w:pPr>
            <w:r>
              <w:rPr>
                <w:b w:val="0"/>
                <w:sz w:val="19"/>
              </w:rPr>
              <w:t>Fragmentos de texto/código</w:t>
            </w:r>
          </w:p>
        </w:tc>
        <w:tc>
          <w:tcPr>
            <w:tcW w:type="dxa" w:w="7200"/>
            <w:vAlign w:val="top"/>
            <w:tcMar>
              <w:top w:w="90" w:type="dxa"/>
              <w:left w:w="90" w:type="dxa"/>
              <w:bottom w:w="90" w:type="dxa"/>
              <w:right w:w="90" w:type="dxa"/>
            </w:tcMar>
          </w:tcPr>
          <w:p>
            <w:pPr>
              <w:spacing w:after="40" w:line="245" w:lineRule="auto"/>
            </w:pPr>
            <w:r>
              <w:rPr>
                <w:b w:val="0"/>
                <w:sz w:val="19"/>
              </w:rPr>
              <w:t>Coincidencia exacta y solapamiento de tokens o caracteres, con normalización fijada de antemano. No confundir fragmento válido con vínculo correcto.</w:t>
            </w:r>
          </w:p>
        </w:tc>
      </w:tr>
      <w:tr>
        <w:trPr>
          <w:cantSplit/>
        </w:trPr>
        <w:tc>
          <w:tcPr>
            <w:tcW w:type="dxa" w:w="2438"/>
            <w:vAlign w:val="top"/>
            <w:tcMar>
              <w:top w:w="90" w:type="dxa"/>
              <w:left w:w="90" w:type="dxa"/>
              <w:bottom w:w="90" w:type="dxa"/>
              <w:right w:w="90" w:type="dxa"/>
            </w:tcMar>
          </w:tcPr>
          <w:p>
            <w:pPr>
              <w:spacing w:after="40" w:line="245" w:lineRule="auto"/>
            </w:pPr>
            <w:r>
              <w:rPr>
                <w:b w:val="0"/>
                <w:sz w:val="19"/>
              </w:rPr>
              <w:t>Tablas HTML</w:t>
            </w:r>
          </w:p>
        </w:tc>
        <w:tc>
          <w:tcPr>
            <w:tcW w:type="dxa" w:w="7200"/>
            <w:vAlign w:val="top"/>
            <w:tcMar>
              <w:top w:w="90" w:type="dxa"/>
              <w:left w:w="90" w:type="dxa"/>
              <w:bottom w:w="90" w:type="dxa"/>
              <w:right w:w="90" w:type="dxa"/>
            </w:tcMar>
          </w:tcPr>
          <w:p>
            <w:pPr>
              <w:spacing w:after="40" w:line="245" w:lineRule="auto"/>
            </w:pPr>
            <w:r>
              <w:rPr>
                <w:b w:val="0"/>
                <w:sz w:val="19"/>
              </w:rPr>
              <w:t>Precision/recall/F1 de celdas físicas seleccionadas. Establecer si los encabezados son evidencia obligatoria. No exigir IoU a destinos que ya tienen identidad estructural.</w:t>
            </w:r>
          </w:p>
        </w:tc>
      </w:tr>
      <w:tr>
        <w:trPr>
          <w:cantSplit/>
        </w:trPr>
        <w:tc>
          <w:tcPr>
            <w:tcW w:type="dxa" w:w="2438"/>
            <w:vAlign w:val="top"/>
            <w:tcMar>
              <w:top w:w="90" w:type="dxa"/>
              <w:left w:w="90" w:type="dxa"/>
              <w:bottom w:w="90" w:type="dxa"/>
              <w:right w:w="90" w:type="dxa"/>
            </w:tcMar>
          </w:tcPr>
          <w:p>
            <w:pPr>
              <w:spacing w:after="40" w:line="245" w:lineRule="auto"/>
            </w:pPr>
            <w:r>
              <w:rPr>
                <w:b w:val="0"/>
                <w:sz w:val="19"/>
              </w:rPr>
              <w:t>Regiones de imágenes</w:t>
            </w:r>
          </w:p>
        </w:tc>
        <w:tc>
          <w:tcPr>
            <w:tcW w:type="dxa" w:w="7200"/>
            <w:vAlign w:val="top"/>
            <w:tcMar>
              <w:top w:w="90" w:type="dxa"/>
              <w:left w:w="90" w:type="dxa"/>
              <w:bottom w:w="90" w:type="dxa"/>
              <w:right w:w="90" w:type="dxa"/>
            </w:tcMar>
          </w:tcPr>
          <w:p>
            <w:pPr>
              <w:spacing w:after="40" w:line="245" w:lineRule="auto"/>
            </w:pPr>
            <w:r>
              <w:rPr>
                <w:b w:val="0"/>
                <w:sz w:val="19"/>
              </w:rPr>
              <w:t>IoU con anotaciones humanas y cobertura de evidencia. Emparejar múltiples regiones uno a uno, penalizando omisiones y regiones extra; informar localización condicionada y extremo a extremo.</w:t>
            </w:r>
          </w:p>
        </w:tc>
      </w:tr>
      <w:tr>
        <w:trPr>
          <w:cantSplit/>
        </w:trPr>
        <w:tc>
          <w:tcPr>
            <w:tcW w:type="dxa" w:w="2438"/>
            <w:vAlign w:val="top"/>
            <w:tcMar>
              <w:top w:w="90" w:type="dxa"/>
              <w:left w:w="90" w:type="dxa"/>
              <w:bottom w:w="90" w:type="dxa"/>
              <w:right w:w="90" w:type="dxa"/>
            </w:tcMar>
          </w:tcPr>
          <w:p>
            <w:pPr>
              <w:spacing w:after="40" w:line="245" w:lineRule="auto"/>
            </w:pPr>
            <w:r>
              <w:rPr>
                <w:b w:val="0"/>
                <w:sz w:val="19"/>
              </w:rPr>
              <w:t>Semántica y explicación</w:t>
            </w:r>
          </w:p>
        </w:tc>
        <w:tc>
          <w:tcPr>
            <w:tcW w:type="dxa" w:w="7200"/>
            <w:vAlign w:val="top"/>
            <w:tcMar>
              <w:top w:w="90" w:type="dxa"/>
              <w:left w:w="90" w:type="dxa"/>
              <w:bottom w:w="90" w:type="dxa"/>
              <w:right w:w="90" w:type="dxa"/>
            </w:tcMar>
          </w:tcPr>
          <w:p>
            <w:pPr>
              <w:spacing w:after="40" w:line="245" w:lineRule="auto"/>
            </w:pPr>
            <w:r>
              <w:rPr>
                <w:b w:val="0"/>
                <w:sz w:val="19"/>
              </w:rPr>
              <w:t>Proporción de enlaces respaldados, explicaciones fieles a la evidencia y afirmaciones contradictorias enlazadas como apoyo. Revisión humana ciega; un LLM juez no es la única referencia.</w:t>
            </w:r>
          </w:p>
        </w:tc>
      </w:tr>
      <w:tr>
        <w:trPr>
          <w:cantSplit/>
        </w:trPr>
        <w:tc>
          <w:tcPr>
            <w:tcW w:type="dxa" w:w="2438"/>
            <w:vAlign w:val="top"/>
            <w:tcMar>
              <w:top w:w="90" w:type="dxa"/>
              <w:left w:w="90" w:type="dxa"/>
              <w:bottom w:w="90" w:type="dxa"/>
              <w:right w:w="90" w:type="dxa"/>
            </w:tcMar>
          </w:tcPr>
          <w:p>
            <w:pPr>
              <w:spacing w:after="40" w:line="245" w:lineRule="auto"/>
            </w:pPr>
            <w:r>
              <w:rPr>
                <w:b w:val="0"/>
                <w:sz w:val="19"/>
              </w:rPr>
              <w:t>Eficiencia y abstención</w:t>
            </w:r>
          </w:p>
        </w:tc>
        <w:tc>
          <w:tcPr>
            <w:tcW w:type="dxa" w:w="7200"/>
            <w:vAlign w:val="top"/>
            <w:tcMar>
              <w:top w:w="90" w:type="dxa"/>
              <w:left w:w="90" w:type="dxa"/>
              <w:bottom w:w="90" w:type="dxa"/>
              <w:right w:w="90" w:type="dxa"/>
            </w:tcMar>
          </w:tcPr>
          <w:p>
            <w:pPr>
              <w:spacing w:after="40" w:line="245" w:lineRule="auto"/>
            </w:pPr>
            <w:r>
              <w:rPr>
                <w:b w:val="0"/>
                <w:sz w:val="19"/>
              </w:rPr>
              <w:t>Tokens reales, coste registrado, latencia total y cobertura de afirmaciones respondidas. Informar calidad a distintas coberturas; abstenerse siempre no es éxito.</w:t>
            </w:r>
          </w:p>
        </w:tc>
      </w:tr>
    </w:tbl>
    <w:p>
      <w:pPr>
        <w:spacing w:after="0"/>
      </w:pPr>
    </w:p>
    <w:p>
      <w:pPr>
        <w:pStyle w:val="Heading2"/>
      </w:pPr>
      <w:r>
        <w:t>Baselines justos</w:t>
      </w:r>
    </w:p>
    <w:p>
      <w:r>
        <w:t>Comparar proximidad de celdas, BM25 sin LLM y LLM con contexto completo; después las ablaciones. ChartText es un candidato para el subconjunto texto–gráfico si se puede reproducir y adaptar con inputs equivalentes. Su F1 publicado no es directamente comparable con el de LinkMaker. InterLink es sobre todo un comparador de interacción; relaciones humanas revisadas funcionan como referencia, no como predictor automático. [7]</w:t>
      </w:r>
    </w:p>
    <w:p>
      <w:r>
        <w:t>Reportar diferencias emparejadas e intervalos por notebook, por ejemplo mediante bootstrap agrupado. Las celdas y ejecuciones de un mismo notebook no son muestras independientes. Con pocos notebooks, presentar incertidumbre y resultados exploratorios, sin inflar el tamaño de muestra.</w:t>
      </w:r>
    </w:p>
    <w:p>
      <w:r>
        <w:br w:type="page"/>
      </w:r>
    </w:p>
    <w:p>
      <w:pPr>
        <w:pStyle w:val="Heading1"/>
      </w:pPr>
      <w:r>
        <w:t>7  Cuándo hacer un estudio con usuarios</w:t>
      </w:r>
    </w:p>
    <w:p>
      <w:r>
        <w:t>Sí lo recomiendo si la tesis afirma que LinkMaker facilita comprensión, revisión o reutilización. Un F1 superior no demuestra esos beneficios. Si el alcance final es estrictamente un método de matching, un benchmark sólido puede ser la evaluación principal, limitando las conclusiones a calidad y eficiencia técnica.</w:t>
      </w:r>
    </w:p>
    <w:p>
      <w:pPr>
        <w:pStyle w:val="Heading2"/>
      </w:pPr>
      <w:r>
        <w:t>Diseño mínimo para una contribución de lectura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top"/>
            <w:tcMar>
              <w:top w:w="90" w:type="dxa"/>
              <w:left w:w="90" w:type="dxa"/>
              <w:bottom w:w="90" w:type="dxa"/>
              <w:right w:w="90" w:type="dxa"/>
            </w:tcMar>
            <w:shd w:fill="EDF1F4"/>
          </w:tcPr>
          <w:p>
            <w:pPr>
              <w:spacing w:after="40" w:line="245" w:lineRule="auto"/>
            </w:pPr>
            <w:r>
              <w:rPr>
                <w:b/>
                <w:sz w:val="19"/>
              </w:rPr>
              <w:t>Condición</w:t>
            </w:r>
          </w:p>
        </w:tc>
        <w:tc>
          <w:tcPr>
            <w:tcW w:type="dxa" w:w="6236"/>
            <w:vAlign w:val="top"/>
            <w:tcMar>
              <w:top w:w="90" w:type="dxa"/>
              <w:left w:w="90" w:type="dxa"/>
              <w:bottom w:w="90" w:type="dxa"/>
              <w:right w:w="90" w:type="dxa"/>
            </w:tcMar>
            <w:shd w:fill="EDF1F4"/>
          </w:tcPr>
          <w:p>
            <w:pPr>
              <w:spacing w:after="40" w:line="245" w:lineRule="auto"/>
            </w:pPr>
            <w:r>
              <w:rPr>
                <w:b/>
                <w:sz w:val="19"/>
              </w:rPr>
              <w:t>Pregunta que permite responder</w:t>
            </w:r>
          </w:p>
        </w:tc>
      </w:tr>
      <w:tr>
        <w:trPr>
          <w:cantSplit/>
        </w:trPr>
        <w:tc>
          <w:tcPr>
            <w:tcW w:type="dxa" w:w="3402"/>
            <w:vAlign w:val="top"/>
            <w:tcMar>
              <w:top w:w="90" w:type="dxa"/>
              <w:left w:w="90" w:type="dxa"/>
              <w:bottom w:w="90" w:type="dxa"/>
              <w:right w:w="90" w:type="dxa"/>
            </w:tcMar>
          </w:tcPr>
          <w:p>
            <w:pPr>
              <w:spacing w:after="40" w:line="245" w:lineRule="auto"/>
            </w:pPr>
            <w:r>
              <w:rPr>
                <w:b w:val="0"/>
                <w:sz w:val="19"/>
              </w:rPr>
              <w:t>JupyterLab habitual</w:t>
            </w:r>
          </w:p>
        </w:tc>
        <w:tc>
          <w:tcPr>
            <w:tcW w:type="dxa" w:w="6236"/>
            <w:vAlign w:val="top"/>
            <w:tcMar>
              <w:top w:w="90" w:type="dxa"/>
              <w:left w:w="90" w:type="dxa"/>
              <w:bottom w:w="90" w:type="dxa"/>
              <w:right w:w="90" w:type="dxa"/>
            </w:tcMar>
          </w:tcPr>
          <w:p>
            <w:pPr>
              <w:spacing w:after="40" w:line="245" w:lineRule="auto"/>
            </w:pPr>
            <w:r>
              <w:rPr>
                <w:b w:val="0"/>
                <w:sz w:val="19"/>
              </w:rPr>
              <w:t>¿Cuánto mejora la tarea frente al flujo de trabajo sin enlaces?</w:t>
            </w:r>
          </w:p>
        </w:tc>
      </w:tr>
      <w:tr>
        <w:trPr>
          <w:cantSplit/>
        </w:trPr>
        <w:tc>
          <w:tcPr>
            <w:tcW w:type="dxa" w:w="3402"/>
            <w:vAlign w:val="top"/>
            <w:tcMar>
              <w:top w:w="90" w:type="dxa"/>
              <w:left w:w="90" w:type="dxa"/>
              <w:bottom w:w="90" w:type="dxa"/>
              <w:right w:w="90" w:type="dxa"/>
            </w:tcMar>
          </w:tcPr>
          <w:p>
            <w:pPr>
              <w:spacing w:after="40" w:line="245" w:lineRule="auto"/>
            </w:pPr>
            <w:r>
              <w:rPr>
                <w:b w:val="0"/>
                <w:sz w:val="19"/>
              </w:rPr>
              <w:t>Misma UI con enlaces humanos revisados</w:t>
            </w:r>
          </w:p>
        </w:tc>
        <w:tc>
          <w:tcPr>
            <w:tcW w:type="dxa" w:w="6236"/>
            <w:vAlign w:val="top"/>
            <w:tcMar>
              <w:top w:w="90" w:type="dxa"/>
              <w:left w:w="90" w:type="dxa"/>
              <w:bottom w:w="90" w:type="dxa"/>
              <w:right w:w="90" w:type="dxa"/>
            </w:tcMar>
          </w:tcPr>
          <w:p>
            <w:pPr>
              <w:spacing w:after="40" w:line="245" w:lineRule="auto"/>
            </w:pPr>
            <w:r>
              <w:rPr>
                <w:b w:val="0"/>
                <w:sz w:val="19"/>
              </w:rPr>
              <w:t>¿Qué rendimiento sería alcanzable con relaciones fiables? Controla el efecto de la interfaz frente al de los errores de generación.</w:t>
            </w:r>
          </w:p>
        </w:tc>
      </w:tr>
      <w:tr>
        <w:trPr>
          <w:cantSplit/>
        </w:trPr>
        <w:tc>
          <w:tcPr>
            <w:tcW w:type="dxa" w:w="3402"/>
            <w:vAlign w:val="top"/>
            <w:tcMar>
              <w:top w:w="90" w:type="dxa"/>
              <w:left w:w="90" w:type="dxa"/>
              <w:bottom w:w="90" w:type="dxa"/>
              <w:right w:w="90" w:type="dxa"/>
            </w:tcMar>
          </w:tcPr>
          <w:p>
            <w:pPr>
              <w:spacing w:after="40" w:line="245" w:lineRule="auto"/>
            </w:pPr>
            <w:r>
              <w:rPr>
                <w:b w:val="0"/>
                <w:sz w:val="19"/>
              </w:rPr>
              <w:t>Misma UI con enlaces automáticos</w:t>
            </w:r>
          </w:p>
        </w:tc>
        <w:tc>
          <w:tcPr>
            <w:tcW w:type="dxa" w:w="6236"/>
            <w:vAlign w:val="top"/>
            <w:tcMar>
              <w:top w:w="90" w:type="dxa"/>
              <w:left w:w="90" w:type="dxa"/>
              <w:bottom w:w="90" w:type="dxa"/>
              <w:right w:w="90" w:type="dxa"/>
            </w:tcMar>
          </w:tcPr>
          <w:p>
            <w:pPr>
              <w:spacing w:after="40" w:line="245" w:lineRule="auto"/>
            </w:pPr>
            <w:r>
              <w:rPr>
                <w:b w:val="0"/>
                <w:sz w:val="19"/>
              </w:rPr>
              <w:t>¿El beneficio se mantiene con la calidad real del sistema? No corregir silenciosamente sus errores antes del estudio.</w:t>
            </w:r>
          </w:p>
        </w:tc>
      </w:tr>
    </w:tbl>
    <w:p>
      <w:pPr>
        <w:spacing w:after="0"/>
      </w:pPr>
    </w:p>
    <w:p>
      <w:r>
        <w:t>Un diseño intra-sujeto puede comparar estas condiciones con notebooks y tareas equivalentes, contrabalanceando orden y asignación. No repetir la misma pregunta del mismo notebook. Si tres condiciones resultan largas, priorizar las dos que respondan a la hipótesis principal y usar la tercera en un piloto o estudio separado.</w:t>
      </w:r>
    </w:p>
    <w:p>
      <w:pPr>
        <w:pStyle w:val="Heading2"/>
      </w:pPr>
      <w:r>
        <w:t>Tareas y medidas</w:t>
      </w:r>
    </w:p>
    <w:p>
      <w:pPr>
        <w:pStyle w:val="ListBullet"/>
      </w:pPr>
      <w:r>
        <w:t>Rastrear una afirmación numérica hasta su tabla y el código productor; puntuar evidencia correcta y tiempo, no solo encontrar una celda.</w:t>
      </w:r>
    </w:p>
    <w:p>
      <w:pPr>
        <w:pStyle w:val="ListBullet"/>
      </w:pPr>
      <w:r>
        <w:t>Explicar una transformación reuniendo información de varias celdas; usar una rúbrica predefinida y evaluadores que desconozcan la condición.</w:t>
      </w:r>
    </w:p>
    <w:p>
      <w:pPr>
        <w:pStyle w:val="ListBullet"/>
      </w:pPr>
      <w:r>
        <w:t>Comprobar una afirmación incorrecta o un resultado desactualizado; medir errores detectados y conclusiones equivocadas aceptadas. Marcar como experimentales los casos construidos.</w:t>
      </w:r>
    </w:p>
    <w:p>
      <w:pPr>
        <w:pStyle w:val="ListBullet"/>
      </w:pPr>
      <w:r>
        <w:t>Medir exactitud como resultado principal; tiempo, navegación, carga percibida, usabilidad y confianza calibrada como secundarios. Preferencia y satisfacción no sustituyen desempeño.</w:t>
      </w:r>
    </w:p>
    <w:p>
      <w:pPr>
        <w:pStyle w:val="Heading2"/>
      </w:pPr>
      <w:r>
        <w:t>Si se elige la contribución de autoría</w:t>
      </w:r>
    </w:p>
    <w:p>
      <w:r>
        <w:t>Para afirmar que se reduce trabajo manual, añadir una comparación específica: construir enlaces desde cero frente a revisar sugerencias con el mismo editor. Medir tiempo hasta un conjunto correcto, enlaces omitidos y errores restantes. La condición de enlaces humanos ya preparados no mide el coste de producirlos. Esta evaluación requiere implementar primero aceptación, rechazo y corrección.</w:t>
      </w:r>
    </w:p>
    <w:p>
      <w:pPr>
        <w:pStyle w:val="Heading2"/>
      </w:pPr>
      <w:r>
        <w:t>Tamaño y validez</w:t>
      </w:r>
    </w:p>
    <w:p>
      <w:r>
        <w:t>Hacer un piloto de 3–5 personas para duración y dificultad; fijar después la muestra con el efecto mínimo relevante y la variabilidad observada. No adoptar automáticamente los 12 participantes de otro paper. Registrar experiencia, analizar dependencia por participante y notebook, y no usar think-aloud durante tareas cronometradas si altera la comparación. La entrevista retrospectiva permite explicar los resultados.</w:t>
      </w:r>
    </w:p>
    <w:p>
      <w:r>
        <w:br w:type="page"/>
      </w:r>
    </w:p>
    <w:p>
      <w:pPr>
        <w:pStyle w:val="Heading1"/>
      </w:pPr>
      <w:r>
        <w:t>8  Decisiones de diseño y próximos pasos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746"/>
      </w:tblGrid>
      <w:tr>
        <w:trPr>
          <w:cantSplit/>
          <w:tblHeader/>
        </w:trPr>
        <w:tc>
          <w:tcPr>
            <w:tcW w:type="dxa" w:w="2891"/>
            <w:vAlign w:val="top"/>
            <w:tcMar>
              <w:top w:w="90" w:type="dxa"/>
              <w:left w:w="90" w:type="dxa"/>
              <w:bottom w:w="90" w:type="dxa"/>
              <w:right w:w="90" w:type="dxa"/>
            </w:tcMar>
            <w:shd w:fill="EDF1F4"/>
          </w:tcPr>
          <w:p>
            <w:pPr>
              <w:spacing w:after="40" w:line="245" w:lineRule="auto"/>
            </w:pPr>
            <w:r>
              <w:rPr>
                <w:b/>
                <w:sz w:val="19"/>
              </w:rPr>
              <w:t>Decisión</w:t>
            </w:r>
          </w:p>
        </w:tc>
        <w:tc>
          <w:tcPr>
            <w:tcW w:type="dxa" w:w="6746"/>
            <w:vAlign w:val="top"/>
            <w:tcMar>
              <w:top w:w="90" w:type="dxa"/>
              <w:left w:w="90" w:type="dxa"/>
              <w:bottom w:w="90" w:type="dxa"/>
              <w:right w:w="90" w:type="dxa"/>
            </w:tcMar>
            <w:shd w:fill="EDF1F4"/>
          </w:tcPr>
          <w:p>
            <w:pPr>
              <w:spacing w:after="40" w:line="245" w:lineRule="auto"/>
            </w:pPr>
            <w:r>
              <w:rPr>
                <w:b/>
                <w:sz w:val="19"/>
              </w:rPr>
              <w:t>Justificación que hay que comprobar</w:t>
            </w:r>
          </w:p>
        </w:tc>
      </w:tr>
      <w:tr>
        <w:trPr>
          <w:cantSplit/>
        </w:trPr>
        <w:tc>
          <w:tcPr>
            <w:tcW w:type="dxa" w:w="2891"/>
            <w:vAlign w:val="top"/>
            <w:tcMar>
              <w:top w:w="90" w:type="dxa"/>
              <w:left w:w="90" w:type="dxa"/>
              <w:bottom w:w="90" w:type="dxa"/>
              <w:right w:w="90" w:type="dxa"/>
            </w:tcMar>
          </w:tcPr>
          <w:p>
            <w:pPr>
              <w:spacing w:after="40" w:line="245" w:lineRule="auto"/>
            </w:pPr>
            <w:r>
              <w:rPr>
                <w:b w:val="0"/>
                <w:sz w:val="19"/>
              </w:rPr>
              <w:t>Alinear celdas y navegar en ambos sentidos</w:t>
            </w:r>
          </w:p>
        </w:tc>
        <w:tc>
          <w:tcPr>
            <w:tcW w:type="dxa" w:w="6746"/>
            <w:vAlign w:val="top"/>
            <w:tcMar>
              <w:top w:w="90" w:type="dxa"/>
              <w:left w:w="90" w:type="dxa"/>
              <w:bottom w:w="90" w:type="dxa"/>
              <w:right w:w="90" w:type="dxa"/>
            </w:tcMar>
          </w:tcPr>
          <w:p>
            <w:pPr>
              <w:spacing w:after="40" w:line="245" w:lineRule="auto"/>
            </w:pPr>
            <w:r>
              <w:rPr>
                <w:b w:val="0"/>
                <w:sz w:val="19"/>
              </w:rPr>
              <w:t>Reducir búsqueda entre evidencia y explicación. Medir saltos y tiempo; mantener inmóvil la celda bajo el cursor evita perder el objetivo.</w:t>
            </w:r>
          </w:p>
        </w:tc>
      </w:tr>
      <w:tr>
        <w:trPr>
          <w:cantSplit/>
        </w:trPr>
        <w:tc>
          <w:tcPr>
            <w:tcW w:type="dxa" w:w="2891"/>
            <w:vAlign w:val="top"/>
            <w:tcMar>
              <w:top w:w="90" w:type="dxa"/>
              <w:left w:w="90" w:type="dxa"/>
              <w:bottom w:w="90" w:type="dxa"/>
              <w:right w:w="90" w:type="dxa"/>
            </w:tcMar>
          </w:tcPr>
          <w:p>
            <w:pPr>
              <w:spacing w:after="40" w:line="245" w:lineRule="auto"/>
            </w:pPr>
            <w:r>
              <w:rPr>
                <w:b w:val="0"/>
                <w:sz w:val="19"/>
              </w:rPr>
              <w:t>Resaltado preciso y foco</w:t>
            </w:r>
          </w:p>
        </w:tc>
        <w:tc>
          <w:tcPr>
            <w:tcW w:type="dxa" w:w="6746"/>
            <w:vAlign w:val="top"/>
            <w:tcMar>
              <w:top w:w="90" w:type="dxa"/>
              <w:left w:w="90" w:type="dxa"/>
              <w:bottom w:w="90" w:type="dxa"/>
              <w:right w:w="90" w:type="dxa"/>
            </w:tcMar>
          </w:tcPr>
          <w:p>
            <w:pPr>
              <w:spacing w:after="40" w:line="245" w:lineRule="auto"/>
            </w:pPr>
            <w:r>
              <w:rPr>
                <w:b w:val="0"/>
                <w:sz w:val="19"/>
              </w:rPr>
              <w:t>Hacer visible qué parte está vinculada. El blur debe ser reversible y moderado: puede ocultar contexto necesario para descubrir una contradicción.</w:t>
            </w:r>
          </w:p>
        </w:tc>
      </w:tr>
      <w:tr>
        <w:trPr>
          <w:cantSplit/>
        </w:trPr>
        <w:tc>
          <w:tcPr>
            <w:tcW w:type="dxa" w:w="2891"/>
            <w:vAlign w:val="top"/>
            <w:tcMar>
              <w:top w:w="90" w:type="dxa"/>
              <w:left w:w="90" w:type="dxa"/>
              <w:bottom w:w="90" w:type="dxa"/>
              <w:right w:w="90" w:type="dxa"/>
            </w:tcMar>
          </w:tcPr>
          <w:p>
            <w:pPr>
              <w:spacing w:after="40" w:line="245" w:lineRule="auto"/>
            </w:pPr>
            <w:r>
              <w:rPr>
                <w:b w:val="0"/>
                <w:sz w:val="19"/>
              </w:rPr>
              <w:t>Animación y menor demora</w:t>
            </w:r>
          </w:p>
        </w:tc>
        <w:tc>
          <w:tcPr>
            <w:tcW w:type="dxa" w:w="6746"/>
            <w:vAlign w:val="top"/>
            <w:tcMar>
              <w:top w:w="90" w:type="dxa"/>
              <w:left w:w="90" w:type="dxa"/>
              <w:bottom w:w="90" w:type="dxa"/>
              <w:right w:w="90" w:type="dxa"/>
            </w:tcMar>
          </w:tcPr>
          <w:p>
            <w:pPr>
              <w:spacing w:after="40" w:line="245" w:lineRule="auto"/>
            </w:pPr>
            <w:r>
              <w:rPr>
                <w:b w:val="0"/>
                <w:sz w:val="19"/>
              </w:rPr>
              <w:t>Ayudar a seguir el desplazamiento sin activaciones accidentales. Probar la interacción; no defender un número de milisegundos como óptimo sin evidencia.</w:t>
            </w:r>
          </w:p>
        </w:tc>
      </w:tr>
      <w:tr>
        <w:trPr>
          <w:cantSplit/>
        </w:trPr>
        <w:tc>
          <w:tcPr>
            <w:tcW w:type="dxa" w:w="2891"/>
            <w:vAlign w:val="top"/>
            <w:tcMar>
              <w:top w:w="90" w:type="dxa"/>
              <w:left w:w="90" w:type="dxa"/>
              <w:bottom w:w="90" w:type="dxa"/>
              <w:right w:w="90" w:type="dxa"/>
            </w:tcMar>
          </w:tcPr>
          <w:p>
            <w:pPr>
              <w:spacing w:after="40" w:line="245" w:lineRule="auto"/>
            </w:pPr>
            <w:r>
              <w:rPr>
                <w:b w:val="0"/>
                <w:sz w:val="19"/>
              </w:rPr>
              <w:t>Razón al pasar el cursor</w:t>
            </w:r>
          </w:p>
        </w:tc>
        <w:tc>
          <w:tcPr>
            <w:tcW w:type="dxa" w:w="6746"/>
            <w:vAlign w:val="top"/>
            <w:tcMar>
              <w:top w:w="90" w:type="dxa"/>
              <w:left w:w="90" w:type="dxa"/>
              <w:bottom w:w="90" w:type="dxa"/>
              <w:right w:w="90" w:type="dxa"/>
            </w:tcMar>
          </w:tcPr>
          <w:p>
            <w:pPr>
              <w:spacing w:after="40" w:line="245" w:lineRule="auto"/>
            </w:pPr>
            <w:r>
              <w:rPr>
                <w:b w:val="0"/>
                <w:sz w:val="19"/>
              </w:rPr>
              <w:t>Facilitar revisión del enlace. Identificarla como propuesta del modelo y acompañarla del contenido fuente; puede resultar convincente aunque sea incorrecta.</w:t>
            </w:r>
          </w:p>
        </w:tc>
      </w:tr>
      <w:tr>
        <w:trPr>
          <w:cantSplit/>
        </w:trPr>
        <w:tc>
          <w:tcPr>
            <w:tcW w:type="dxa" w:w="2891"/>
            <w:vAlign w:val="top"/>
            <w:tcMar>
              <w:top w:w="90" w:type="dxa"/>
              <w:left w:w="90" w:type="dxa"/>
              <w:bottom w:w="90" w:type="dxa"/>
              <w:right w:w="90" w:type="dxa"/>
            </w:tcMar>
          </w:tcPr>
          <w:p>
            <w:pPr>
              <w:spacing w:after="40" w:line="245" w:lineRule="auto"/>
            </w:pPr>
            <w:r>
              <w:rPr>
                <w:b w:val="0"/>
                <w:sz w:val="19"/>
              </w:rPr>
              <w:t>Acceso y control</w:t>
            </w:r>
          </w:p>
        </w:tc>
        <w:tc>
          <w:tcPr>
            <w:tcW w:type="dxa" w:w="6746"/>
            <w:vAlign w:val="top"/>
            <w:tcMar>
              <w:top w:w="90" w:type="dxa"/>
              <w:left w:w="90" w:type="dxa"/>
              <w:bottom w:w="90" w:type="dxa"/>
              <w:right w:w="90" w:type="dxa"/>
            </w:tcMar>
          </w:tcPr>
          <w:p>
            <w:pPr>
              <w:spacing w:after="40" w:line="245" w:lineRule="auto"/>
            </w:pPr>
            <w:r>
              <w:rPr>
                <w:b w:val="0"/>
                <w:sz w:val="19"/>
              </w:rPr>
              <w:t>Conservar pin, salida clara, acceso por teclado y movimiento reducido. Propuesta: ofrecer alternativa al hover y distinguir enlaces revisados sin depender solo del color.</w:t>
            </w:r>
          </w:p>
        </w:tc>
      </w:tr>
    </w:tbl>
    <w:p>
      <w:pPr>
        <w:spacing w:after="0"/>
      </w:pPr>
    </w:p>
    <w:p>
      <w:pPr>
        <w:pStyle w:val="Heading2"/>
      </w:pPr>
      <w:r>
        <w:t>Plan de trabajo propuesto</w:t>
      </w:r>
    </w:p>
    <w:p>
      <w:pPr>
        <w:pStyle w:val="ListBullet"/>
      </w:pPr>
      <w:r>
        <w:t>Semanas 1–2: confirmar referencias con el profesor; delimitar lectura o autoría como tarea principal; tramitar y pilotar entrevistas; definir taxonomía y rúbrica.</w:t>
      </w:r>
    </w:p>
    <w:p>
      <w:pPr>
        <w:pStyle w:val="ListBullet"/>
      </w:pPr>
      <w:r>
        <w:t>Semanas 2–4: entrevistas, anotación y congelación de datos; añadir trazabilidad experimental al runner; ejecutar A y B. Revisar mejoras y errores por tipo.</w:t>
      </w:r>
    </w:p>
    <w:p>
      <w:pPr>
        <w:pStyle w:val="ListBullet"/>
      </w:pPr>
      <w:r>
        <w:t>Semanas 4–5: prototipo BM25 y experimento C. Si pierde demasiados enlaces relevantes, ampliar candidatos o conservar contexto completo.</w:t>
      </w:r>
    </w:p>
    <w:p>
      <w:pPr>
        <w:pStyle w:val="ListBullet"/>
      </w:pPr>
      <w:r>
        <w:t>Semanas 5–7: cerrar la función diferencial mínima, pilotar y realizar estudio con usuarios cuando haya aprobación y reclutamiento. El calendario depende de estos trámites.</w:t>
      </w:r>
    </w:p>
    <w:p>
      <w:pPr>
        <w:pStyle w:val="ListBullet"/>
      </w:pPr>
      <w:r>
        <w:t>Semana 8: analizar incertidumbre, contrastar resultados negativos, preparar materiales reproducibles y redactar contribuciones con el alcance realmente demostrado.</w:t>
      </w:r>
    </w:p>
    <w:p>
      <w:pPr>
        <w:pStyle w:val="Heading2"/>
      </w:pPr>
      <w:r>
        <w:t>Decisiones para conversar con el profesor</w:t>
      </w:r>
    </w:p>
    <w:p>
      <w:r>
        <w:t>Confirmar el artículo de Fabricio y el de enlaces manuales; escoger entre reducir esfuerzo de creación/revisión y mejorar lectura; acordar población y acceso a notebooks; definir la afirmación principal que debe sostener la tesis. Mi preferencia es evaluar primero el contexto de ejecución y la lectura basada en evidencia, manteniendo la recuperación como mejora secundaria hasta demostrar su necesidad.</w:t>
      </w:r>
    </w:p>
    <w:p>
      <w:r>
        <w:t>Resultado esperado del trabajo: una contribución acotada, respaldada por necesidades observadas y por comparaciones reproducibles. Aún no corresponde afirmar superioridad general, verificación automática de conclusiones ni novedad de la interacción por sí sola.</w:t>
      </w:r>
    </w:p>
    <w:p>
      <w:r>
        <w:br w:type="page"/>
      </w:r>
    </w:p>
    <w:p>
      <w:pPr>
        <w:pStyle w:val="Heading1"/>
      </w:pPr>
      <w:r>
        <w:t>Fuentes consultadas</w:t>
      </w:r>
    </w:p>
    <w:p>
      <w:r>
        <w:t>Los títulos siguientes son enlaces a fuentes primarias. Consulta: 25 de septiembre de 2026. Las recomendaciones, tamaños iniciales y cronograma son propuestas para esta tesis, no resultados publicados.</w:t>
      </w:r>
    </w:p>
    <w:p>
      <w:pPr>
        <w:spacing w:after="60"/>
      </w:pPr>
      <w:r>
        <w:rPr>
          <w:b/>
        </w:rPr>
        <w:t xml:space="preserve">[1] </w:t>
      </w:r>
      <w:hyperlink r:id="rId11">
        <w:r>
          <w:rPr>
            <w:color w:val="235C85"/>
          </w:rPr>
          <w:t>Lin et al. · InterLink: Linking Text with Code and Output in Computational Notebooks · CHI 2025</w:t>
        </w:r>
      </w:hyperlink>
    </w:p>
    <w:p>
      <w:r>
        <w:t>Lectura del artículo: estudio formativo (§3), interacción (§4), especificación manual (§5), evaluación (§6) y limitaciones (§7). Base para delimitar el aporte respecto a InterLink.</w:t>
      </w:r>
    </w:p>
    <w:p>
      <w:pPr>
        <w:spacing w:after="60"/>
      </w:pPr>
      <w:r>
        <w:rPr>
          <w:b/>
        </w:rPr>
        <w:t xml:space="preserve">[2] </w:t>
      </w:r>
      <w:hyperlink r:id="rId12">
        <w:r>
          <w:rPr>
            <w:color w:val="235C85"/>
          </w:rPr>
          <w:t>IEEE VIS 2026 · Accepted Papers</w:t>
        </w:r>
      </w:hyperlink>
    </w:p>
    <w:p>
      <w:r>
        <w:t>Fuente para comprobar inclusión y distinguir full papers, trabajos TVCG presentados y short papers. No se infiere el método de un trabajo únicamente por su título.</w:t>
      </w:r>
    </w:p>
    <w:p>
      <w:pPr>
        <w:spacing w:after="60"/>
      </w:pPr>
      <w:r>
        <w:rPr>
          <w:b/>
        </w:rPr>
        <w:t xml:space="preserve">[3] </w:t>
      </w:r>
      <w:hyperlink r:id="rId13">
        <w:r>
          <w:rPr>
            <w:color w:val="235C85"/>
          </w:rPr>
          <w:t>Wang et al. · ChartFI: Benchmarking Faithfulness and Insightfulness of Chart Descriptions from Multimodal Large Language Models · 2026</w:t>
        </w:r>
      </w:hyperlink>
    </w:p>
    <w:p>
      <w:r>
        <w:t>Resumen y registro primario; inclusión contrastada con [2]. Referencia para calidad de descripciones, no un benchmark directamente intercambiable con relaciones de notebooks.</w:t>
      </w:r>
    </w:p>
    <w:p>
      <w:pPr>
        <w:spacing w:after="60"/>
      </w:pPr>
      <w:r>
        <w:rPr>
          <w:b/>
        </w:rPr>
        <w:t xml:space="preserve">[4] </w:t>
      </w:r>
      <w:hyperlink r:id="rId14">
        <w:r>
          <w:rPr>
            <w:color w:val="235C85"/>
          </w:rPr>
          <w:t>Chen et al. · GeoAuthor: Linking Text and Visualization for Geographic Article Authoring · 2026</w:t>
        </w:r>
      </w:hyperlink>
    </w:p>
    <w:p>
      <w:r>
        <w:t>PDF de autor y resumen del programa. DOI: 10.1109/TVCG.2026.3697212. Fundamenta la comparación con autoría y sincronización texto–visualización.</w:t>
      </w:r>
    </w:p>
    <w:p>
      <w:pPr>
        <w:spacing w:after="60"/>
      </w:pPr>
      <w:r>
        <w:rPr>
          <w:b/>
        </w:rPr>
        <w:t xml:space="preserve">[5] </w:t>
      </w:r>
      <w:hyperlink r:id="rId15">
        <w:r>
          <w:rPr>
            <w:color w:val="235C85"/>
          </w:rPr>
          <w:t>Cui et al. · Chart2SVG: Editable SVG Generation from Raster Chart Images · VIS 2026</w:t>
        </w:r>
      </w:hyperlink>
    </w:p>
    <w:p>
      <w:r>
        <w:t>Página de autores con resumen, método y materiales. Referencia sobre recuperación de estructura gráfica a partir de imágenes.</w:t>
      </w:r>
    </w:p>
    <w:p>
      <w:pPr>
        <w:spacing w:after="60"/>
      </w:pPr>
      <w:r>
        <w:rPr>
          <w:b/>
        </w:rPr>
        <w:t xml:space="preserve">[6] </w:t>
      </w:r>
      <w:hyperlink r:id="rId16">
        <w:r>
          <w:rPr>
            <w:color w:val="235C85"/>
          </w:rPr>
          <w:t>Latif et al. · Kori: Interactive Synthesis of Text and Charts in Data Documents · 2021</w:t>
        </w:r>
      </w:hyperlink>
    </w:p>
    <w:p>
      <w:r>
        <w:t>Artículo y estudio de usuarios (§7.2), consultado también en el PDF de autor: https://zhou1213cn.github.io/images/paper.pdf. Antecedente de construcción manual y sugerencias.</w:t>
      </w:r>
    </w:p>
    <w:p>
      <w:r>
        <w:br w:type="page"/>
      </w:r>
    </w:p>
    <w:p>
      <w:pPr>
        <w:pStyle w:val="Heading1"/>
      </w:pPr>
      <w:r>
        <w:t>Fuentes y evidencia local</w:t>
      </w:r>
    </w:p>
    <w:p>
      <w:pPr>
        <w:spacing w:after="60"/>
      </w:pPr>
      <w:r>
        <w:rPr>
          <w:b/>
        </w:rPr>
        <w:t xml:space="preserve">[7] </w:t>
      </w:r>
      <w:hyperlink r:id="rId17">
        <w:r>
          <w:rPr>
            <w:color w:val="235C85"/>
          </w:rPr>
          <w:t>Pinheiro y Poco · ChartText: Linking Text with Charts in Documents · 2022</w:t>
        </w:r>
      </w:hyperlink>
    </w:p>
    <w:p>
      <w:r>
        <w:t>Resumen primario y página del laboratorio. Candidato para comparación en texto–gráfico; exige revisar compatibilidad, disponibilidad y protocolo antes de usarlo como baseline.</w:t>
      </w:r>
    </w:p>
    <w:p>
      <w:pPr>
        <w:spacing w:after="60"/>
      </w:pPr>
      <w:r>
        <w:rPr>
          <w:b/>
        </w:rPr>
        <w:t xml:space="preserve">[8] </w:t>
      </w:r>
      <w:hyperlink r:id="rId18">
        <w:r>
          <w:rPr>
            <w:color w:val="235C85"/>
          </w:rPr>
          <w:t>Nguyen et al. · Geranium: Multimodal Retrieval of Genomics Data Visualizations · 2026</w:t>
        </w:r>
      </w:hyperlink>
    </w:p>
    <w:p>
      <w:r>
        <w:t>Repositorio oficial con descripción y referencia a TVCG, DOI: 10.1109/TVCG.2026.3683429. Inclusión contrastada con [2].</w:t>
      </w:r>
    </w:p>
    <w:p>
      <w:pPr>
        <w:spacing w:after="60"/>
      </w:pPr>
      <w:r>
        <w:rPr>
          <w:b/>
        </w:rPr>
        <w:t xml:space="preserve">[9] </w:t>
      </w:r>
      <w:hyperlink r:id="rId19">
        <w:r>
          <w:rPr>
            <w:color w:val="235C85"/>
          </w:rPr>
          <w:t>Gu et al. · EvidenceLens: A Claim-Evidence Matrix for Auditing Financial Question Answering · 2026</w:t>
        </w:r>
      </w:hyperlink>
    </w:p>
    <w:p>
      <w:r>
        <w:t>Resumen primario; listado como short paper en [2]. Relacionado con auditoría multimodal. No se toma como prueba de eficacia en notebooks.</w:t>
      </w:r>
    </w:p>
    <w:p>
      <w:pPr>
        <w:spacing w:after="60"/>
      </w:pPr>
      <w:r>
        <w:rPr>
          <w:b/>
        </w:rPr>
        <w:t xml:space="preserve">[10] </w:t>
      </w:r>
      <w:hyperlink r:id="rId20">
        <w:r>
          <w:rPr>
            <w:color w:val="235C85"/>
          </w:rPr>
          <w:t>Robertson y Zaragoza · The Probabilistic Relevance Framework: BM25 and Beyond · 2009</w:t>
        </w:r>
      </w:hyperlink>
    </w:p>
    <w:p>
      <w:r>
        <w:t>Referencia metodológica de recuperación léxica. DOI: 10.1561/1500000019. No se atribuye este método al artículo todavía no identificado de Fabricio.</w:t>
      </w:r>
    </w:p>
    <w:p>
      <w:pPr>
        <w:spacing w:after="60"/>
      </w:pPr>
      <w:r>
        <w:rPr>
          <w:b/>
        </w:rPr>
        <w:t xml:space="preserve">[11] </w:t>
      </w:r>
      <w:hyperlink r:id="rId21">
        <w:r>
          <w:rPr>
            <w:color w:val="235C85"/>
          </w:rPr>
          <w:t>Lewis et al. · Retrieval-Augmented Generation for Knowledge-Intensive NLP Tasks · 2020</w:t>
        </w:r>
      </w:hyperlink>
    </w:p>
    <w:p>
      <w:r>
        <w:t>Referencia para el patrón de recuperación más generación. Su tarea y evaluación difieren de la extracción de relaciones propuesta aquí.</w:t>
      </w:r>
    </w:p>
    <w:p>
      <w:pPr>
        <w:pStyle w:val="Heading2"/>
      </w:pPr>
      <w:r>
        <w:t>Archivos del proyecto revisados</w:t>
      </w:r>
    </w:p>
    <w:p>
      <w:r>
        <w:t>[L1] evaluation/runs/luna_20260924_170727/gpt-5_6-luna/run_1.json, run_2.json y run_3.json. Predicciones y latencias; métricas recalculadas a partir de pares únicos.</w:t>
      </w:r>
    </w:p>
    <w:p>
      <w:r>
        <w:t>[L2] evaluation/baselines/titanic_code_only_v0_baseline.json y scripts/run_model_evaluation.py. Referencia de 36 pares únicos y definición del scoring actual.</w:t>
      </w:r>
    </w:p>
    <w:p>
      <w:r>
        <w:t>[L3] README.md, LinkMaker/routes.py y evaluation/output_context_review.md: contratos y limitaciones previas. titanic.ipynb, celdas 96–97 (índices desde cero): comparación de modelos y output. El informe histórico no constituye una ablación completada de Luna.</w:t>
      </w:r>
    </w:p>
    <w:p>
      <w:r>
        <w:t>Alcance de esta entrega: revisión y propuesta de investigación. No se ejecutaron nuevas llamadas de evaluación al modelo ni se modificó la extensión.</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25 septiembre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LINKMAKER  |  NOTA DE INVESTIGACIÓN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sz w:val="21"/>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Liberation Sans" w:hAnsi="Liberation San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8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8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Liberation Sans" w:hAnsi="Liberation San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before="220"/>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Liberation Sans" w:hAnsi="Liberation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Liberation Sans" w:hAnsi="Liberation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html/2502.16114v1" TargetMode="External"/><Relationship Id="rId12" Type="http://schemas.openxmlformats.org/officeDocument/2006/relationships/hyperlink" Target="https://ieeevis.org/year/2026/info/program/papers_list/#accepted-full-papers" TargetMode="External"/><Relationship Id="rId13" Type="http://schemas.openxmlformats.org/officeDocument/2006/relationships/hyperlink" Target="https://arxiv.org/abs/2605.23694" TargetMode="External"/><Relationship Id="rId14" Type="http://schemas.openxmlformats.org/officeDocument/2006/relationships/hyperlink" Target="https://dwe.ng/pdf/geoauthor.pdf" TargetMode="External"/><Relationship Id="rId15" Type="http://schemas.openxmlformats.org/officeDocument/2006/relationships/hyperlink" Target="https://yunhaiwang.net/vis2026/Chart2SVG/index.html" TargetMode="External"/><Relationship Id="rId16" Type="http://schemas.openxmlformats.org/officeDocument/2006/relationships/hyperlink" Target="https://arxiv.org/abs/2108.04203" TargetMode="External"/><Relationship Id="rId17" Type="http://schemas.openxmlformats.org/officeDocument/2006/relationships/hyperlink" Target="https://arxiv.org/abs/2201.05043" TargetMode="External"/><Relationship Id="rId18" Type="http://schemas.openxmlformats.org/officeDocument/2006/relationships/hyperlink" Target="https://github.com/gosling-lang/geranium" TargetMode="External"/><Relationship Id="rId19" Type="http://schemas.openxmlformats.org/officeDocument/2006/relationships/hyperlink" Target="https://arxiv.org/abs/2606.23724" TargetMode="External"/><Relationship Id="rId20" Type="http://schemas.openxmlformats.org/officeDocument/2006/relationships/hyperlink" Target="https://www.staff.city.ac.uk/~sbrp622/papers/foundations_bm25_review.pdf" TargetMode="External"/><Relationship Id="rId21" Type="http://schemas.openxmlformats.org/officeDocument/2006/relationships/hyperlink" Target="https://arxiv.org/abs/2005.11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Respuestas al feedback de maestría sobre LinkMaker</dc:title>
  <dc:subject>Diferenciación funcional, recuperación de contexto y evaluación</dc:subject>
  <dc:creator>Documento de trabajo</dc:creator>
  <cp:keywords/>
  <dc:description>generated by python-docx</dc:description>
  <cp:lastModifiedBy/>
  <cp:revision>1</cp:revision>
  <dcterms:created xsi:type="dcterms:W3CDTF">2013-12-23T23:15:00Z</dcterms:created>
  <dcterms:modified xsi:type="dcterms:W3CDTF">2013-12-23T23:15:00Z</dcterms:modified>
  <cp:category/>
</cp:coreProperties>
</file>