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1F4D78"/>
          <w:sz w:val="46"/>
        </w:rPr>
        <w:t>PROMPT EVALUATION PROTOCOL</w:t>
      </w:r>
    </w:p>
    <w:p>
      <w:pPr>
        <w:spacing w:after="360"/>
      </w:pPr>
      <w:r>
        <w:rPr>
          <w:rFonts w:ascii="Calibri" w:hAnsi="Calibri"/>
          <w:b w:val="0"/>
          <w:i w:val="0"/>
          <w:color w:val="666666"/>
          <w:sz w:val="28"/>
        </w:rPr>
        <w:t>Markdown-to-code relationship extraction</w:t>
      </w:r>
    </w:p>
    <w:p>
      <w:pPr>
        <w:spacing w:after="360"/>
      </w:pPr>
      <w:r>
        <w:rPr>
          <w:rFonts w:ascii="Calibri" w:hAnsi="Calibri"/>
          <w:b w:val="0"/>
          <w:i/>
          <w:color w:val="666666"/>
          <w:sz w:val="21"/>
        </w:rPr>
        <w:t>Purpose: a controlled, comparative evaluation of the current relationship-extraction prompt and future prompt versions.</w:t>
      </w:r>
    </w:p>
    <w:p>
      <w:pPr>
        <w:pStyle w:val="Heading1"/>
        <w:keepNext/>
      </w:pPr>
      <w:r>
        <w:rPr>
          <w:rFonts w:ascii="Calibri" w:hAnsi="Calibri"/>
          <w:b/>
          <w:i w:val="0"/>
          <w:color w:val="2E74B5"/>
          <w:sz w:val="32"/>
        </w:rPr>
        <w:t>Executive summary</w:t>
      </w:r>
    </w:p>
    <w:p>
      <w:pPr>
        <w:keepLines/>
      </w:pPr>
      <w:r>
        <w:rPr>
          <w:rFonts w:ascii="Calibri" w:hAnsi="Calibri"/>
          <w:b w:val="0"/>
          <w:i w:val="0"/>
          <w:color w:val="222222"/>
          <w:sz w:val="22"/>
        </w:rPr>
        <w:t>This protocol adapts the evaluation logic of the supplied reference document to LinkMaker's prompt for identifying relationships between Markdown explanations and code cells in Jupyter notebooks. The aim is not to judge a response by intuition alone. It is to measure whether a revised prompt improves over the current prompt under the same inputs, model configuration, JSON schema, and human evaluation criteria.</w:t>
      </w:r>
    </w:p>
    <w:p>
      <w:pPr>
        <w:keepLines/>
      </w:pPr>
      <w:r>
        <w:rPr>
          <w:rFonts w:ascii="Calibri" w:hAnsi="Calibri"/>
          <w:b w:val="0"/>
          <w:i w:val="0"/>
          <w:color w:val="222222"/>
          <w:sz w:val="22"/>
        </w:rPr>
        <w:t>The protocol uses a curated gold-standard dataset, a prompt-version baseline, objective relationship metrics, a structured human review, an error taxonomy, and an efficiency analysis. The primary comparison is between Prompt v0 (the current production prompt) and Prompt v1 (a revised prompt developed after exploratory testing).</w:t>
      </w:r>
    </w:p>
    <w:p>
      <w:pPr>
        <w:pStyle w:val="Heading1"/>
        <w:keepNext/>
      </w:pPr>
      <w:r>
        <w:rPr>
          <w:rFonts w:ascii="Calibri" w:hAnsi="Calibri"/>
          <w:b/>
          <w:i w:val="0"/>
          <w:color w:val="2E74B5"/>
          <w:sz w:val="32"/>
        </w:rPr>
        <w:t>1. Evaluation objective</w:t>
      </w:r>
    </w:p>
    <w:p>
      <w:pPr>
        <w:keepLines/>
      </w:pPr>
      <w:r>
        <w:rPr>
          <w:rFonts w:ascii="Calibri" w:hAnsi="Calibri"/>
          <w:b w:val="0"/>
          <w:i w:val="0"/>
          <w:color w:val="222222"/>
          <w:sz w:val="22"/>
        </w:rPr>
        <w:t>Evaluate whether an improved instruction prompt produces more accurate, complete, grounded, and usable Markdown-to-code relationships than the current LinkMaker prompt. The unit of evaluation is an individual predicted relationship: a Markdown portion, a code portion, the relationship type, and its accompanying evidence.</w:t>
      </w:r>
    </w:p>
    <w:p>
      <w:pPr>
        <w:pStyle w:val="Heading2"/>
        <w:keepNext/>
      </w:pPr>
      <w:r>
        <w:rPr>
          <w:rFonts w:ascii="Calibri" w:hAnsi="Calibri"/>
          <w:b/>
          <w:i w:val="0"/>
          <w:color w:val="2E74B5"/>
          <w:sz w:val="26"/>
        </w:rPr>
        <w:t>1.1 Primary research question</w:t>
      </w:r>
    </w:p>
    <w:p>
      <w:pPr>
        <w:keepLines/>
      </w:pPr>
      <w:r>
        <w:rPr>
          <w:rFonts w:ascii="Calibri" w:hAnsi="Calibri"/>
          <w:b w:val="0"/>
          <w:i w:val="0"/>
          <w:color w:val="222222"/>
          <w:sz w:val="22"/>
        </w:rPr>
        <w:t>Under identical execution conditions, does Prompt v1 improve the quality of relationship extraction relative to Prompt v0?</w:t>
      </w:r>
    </w:p>
    <w:p>
      <w:pPr>
        <w:pStyle w:val="Heading2"/>
        <w:keepNext/>
      </w:pPr>
      <w:r>
        <w:rPr>
          <w:rFonts w:ascii="Calibri" w:hAnsi="Calibri"/>
          <w:b/>
          <w:i w:val="0"/>
          <w:color w:val="2E74B5"/>
          <w:sz w:val="26"/>
        </w:rPr>
        <w:t>1.2 Secondary questions</w:t>
      </w:r>
    </w:p>
    <w:p>
      <w:pPr>
        <w:pStyle w:val="ListBullet"/>
        <w:spacing w:after="80" w:line="276" w:lineRule="auto"/>
      </w:pPr>
      <w:r>
        <w:rPr>
          <w:rFonts w:ascii="Calibri" w:hAnsi="Calibri"/>
          <w:b w:val="0"/>
          <w:i w:val="0"/>
          <w:color w:val="222222"/>
          <w:sz w:val="22"/>
        </w:rPr>
        <w:t>Does the revised prompt reduce false-positive links based only on broad topical overlap?</w:t>
      </w:r>
    </w:p>
    <w:p>
      <w:pPr>
        <w:pStyle w:val="ListBullet"/>
        <w:spacing w:after="80" w:line="276" w:lineRule="auto"/>
      </w:pPr>
      <w:r>
        <w:rPr>
          <w:rFonts w:ascii="Calibri" w:hAnsi="Calibri"/>
          <w:b w:val="0"/>
          <w:i w:val="0"/>
          <w:color w:val="222222"/>
          <w:sz w:val="22"/>
        </w:rPr>
        <w:t>Does it improve recall of valid one-to-many and many-to-one relationships?</w:t>
      </w:r>
    </w:p>
    <w:p>
      <w:pPr>
        <w:pStyle w:val="ListBullet"/>
        <w:spacing w:after="80" w:line="276" w:lineRule="auto"/>
      </w:pPr>
      <w:r>
        <w:rPr>
          <w:rFonts w:ascii="Calibri" w:hAnsi="Calibri"/>
          <w:b w:val="0"/>
          <w:i w:val="0"/>
          <w:color w:val="222222"/>
          <w:sz w:val="22"/>
        </w:rPr>
        <w:t>Does it preserve exact, contiguous source excerpts and correct cell identifiers?</w:t>
      </w:r>
    </w:p>
    <w:p>
      <w:pPr>
        <w:pStyle w:val="ListBullet"/>
        <w:spacing w:after="80" w:line="276" w:lineRule="auto"/>
      </w:pPr>
      <w:r>
        <w:rPr>
          <w:rFonts w:ascii="Calibri" w:hAnsi="Calibri"/>
          <w:b w:val="0"/>
          <w:i w:val="0"/>
          <w:color w:val="222222"/>
          <w:sz w:val="22"/>
        </w:rPr>
        <w:t>Does it change latency, output volume, or estimated cost per notebook?</w:t>
      </w:r>
    </w:p>
    <w:p>
      <w:pPr>
        <w:pStyle w:val="ListBullet"/>
        <w:spacing w:after="80" w:line="276" w:lineRule="auto"/>
      </w:pPr>
      <w:r>
        <w:rPr>
          <w:rFonts w:ascii="Calibri" w:hAnsi="Calibri"/>
          <w:b w:val="0"/>
          <w:i w:val="0"/>
          <w:color w:val="222222"/>
          <w:sz w:val="22"/>
        </w:rPr>
        <w:t>Which error categories remain after prompt refinement?</w:t>
      </w:r>
    </w:p>
    <w:p>
      <w:pPr>
        <w:pStyle w:val="Heading1"/>
        <w:keepNext/>
      </w:pPr>
      <w:r>
        <w:rPr>
          <w:rFonts w:ascii="Calibri" w:hAnsi="Calibri"/>
          <w:b/>
          <w:i w:val="0"/>
          <w:color w:val="2E74B5"/>
          <w:sz w:val="32"/>
        </w:rPr>
        <w:t>2. Scope and evaluated prompt</w:t>
      </w:r>
    </w:p>
    <w:p>
      <w:pPr>
        <w:keepLines/>
      </w:pPr>
      <w:r>
        <w:rPr>
          <w:rFonts w:ascii="Calibri" w:hAnsi="Calibri"/>
          <w:b w:val="0"/>
          <w:i w:val="0"/>
          <w:color w:val="222222"/>
          <w:sz w:val="22"/>
        </w:rPr>
        <w:t>The evaluated task is the notebook-wide identification of relationships between supplied Markdown cells and code cells. A valid output must identify the linked cells, select the smallest meaningful contiguous excerpts, assign an allowed relationship type, provide a concise reason, and conform to the required JSON schema.</w:t>
      </w:r>
    </w:p>
    <w:tbl>
      <w:tblPr>
        <w:tblStyle w:val="TableGrid"/>
        <w:tblW w:type="dxa" w:w="9360"/>
        <w:jc w:val="left"/>
        <w:tblLayout w:type="fixed"/>
        <w:tblLook w:firstColumn="1" w:firstRow="1" w:lastColumn="0" w:lastRow="0" w:noHBand="0" w:noVBand="1" w:val="04A0"/>
        <w:tblInd w:w="120" w:type="dxa"/>
      </w:tblPr>
      <w:tblGrid>
        <w:gridCol w:w="1750"/>
        <w:gridCol w:w="7610"/>
      </w:tblGrid>
      <w:tr>
        <w:trPr>
          <w:tblHeader w:val="true"/>
        </w:trPr>
        <w:tc>
          <w:tcPr>
            <w:tcW w:type="dxa" w:w="1750"/>
            <w:tcMar>
              <w:top w:w="80" w:type="dxa"/>
              <w:start w:w="120" w:type="dxa"/>
              <w:bottom w:w="80" w:type="dxa"/>
              <w:end w:w="120" w:type="dxa"/>
            </w:tcMar>
            <w:vAlign w:val="center"/>
            <w:shd w:fill="E8EEF5"/>
          </w:tcPr>
          <w:p>
            <w:pPr>
              <w:spacing w:after="0"/>
            </w:pPr>
            <w:r>
              <w:rPr>
                <w:rFonts w:ascii="Calibri" w:hAnsi="Calibri"/>
                <w:b/>
                <w:i w:val="0"/>
                <w:color w:val="1F4D78"/>
                <w:sz w:val="19"/>
              </w:rPr>
              <w:t>Item</w:t>
            </w:r>
          </w:p>
        </w:tc>
        <w:tc>
          <w:tcPr>
            <w:tcW w:type="dxa" w:w="7610"/>
            <w:tcMar>
              <w:top w:w="80" w:type="dxa"/>
              <w:start w:w="120" w:type="dxa"/>
              <w:bottom w:w="80" w:type="dxa"/>
              <w:end w:w="120" w:type="dxa"/>
            </w:tcMar>
            <w:vAlign w:val="center"/>
            <w:shd w:fill="E8EEF5"/>
          </w:tcPr>
          <w:p>
            <w:pPr>
              <w:spacing w:after="0"/>
            </w:pPr>
            <w:r>
              <w:rPr>
                <w:rFonts w:ascii="Calibri" w:hAnsi="Calibri"/>
                <w:b/>
                <w:i w:val="0"/>
                <w:color w:val="1F4D78"/>
                <w:sz w:val="19"/>
              </w:rPr>
              <w:t>Definition</w:t>
            </w:r>
          </w:p>
        </w:tc>
      </w:tr>
      <w:tr>
        <w:tc>
          <w:tcPr>
            <w:tcW w:type="dxa" w:w="1750"/>
          </w:tcPr>
          <w:p>
            <w:pPr>
              <w:spacing w:after="0"/>
            </w:pPr>
            <w:r>
              <w:rPr>
                <w:rFonts w:ascii="Calibri" w:hAnsi="Calibri"/>
                <w:b w:val="0"/>
                <w:i w:val="0"/>
                <w:color w:val="222222"/>
                <w:sz w:val="19"/>
              </w:rPr>
              <w:t>Prompt v0</w:t>
            </w:r>
          </w:p>
        </w:tc>
        <w:tc>
          <w:tcPr>
            <w:tcW w:type="dxa" w:w="7610"/>
          </w:tcPr>
          <w:p>
            <w:pPr>
              <w:spacing w:after="0"/>
            </w:pPr>
            <w:r>
              <w:rPr>
                <w:rFonts w:ascii="Calibri" w:hAnsi="Calibri"/>
                <w:b w:val="0"/>
                <w:i w:val="0"/>
                <w:color w:val="222222"/>
                <w:sz w:val="19"/>
              </w:rPr>
              <w:t>The current LinkMaker instruction prompt used by the relationship-analysis request.</w:t>
            </w:r>
          </w:p>
        </w:tc>
      </w:tr>
      <w:tr>
        <w:tc>
          <w:tcPr>
            <w:tcW w:type="dxa" w:w="1750"/>
          </w:tcPr>
          <w:p>
            <w:pPr>
              <w:spacing w:after="0"/>
            </w:pPr>
            <w:r>
              <w:rPr>
                <w:rFonts w:ascii="Calibri" w:hAnsi="Calibri"/>
                <w:b w:val="0"/>
                <w:i w:val="0"/>
                <w:color w:val="222222"/>
                <w:sz w:val="19"/>
              </w:rPr>
              <w:t>Prompt v1</w:t>
            </w:r>
          </w:p>
        </w:tc>
        <w:tc>
          <w:tcPr>
            <w:tcW w:type="dxa" w:w="7610"/>
          </w:tcPr>
          <w:p>
            <w:pPr>
              <w:spacing w:after="0"/>
            </w:pPr>
            <w:r>
              <w:rPr>
                <w:rFonts w:ascii="Calibri" w:hAnsi="Calibri"/>
                <w:b w:val="0"/>
                <w:i w:val="0"/>
                <w:color w:val="222222"/>
                <w:sz w:val="19"/>
              </w:rPr>
              <w:t>A revised prompt produced after exploratory testing; evaluated only after its wording is frozen.</w:t>
            </w:r>
          </w:p>
        </w:tc>
      </w:tr>
      <w:tr>
        <w:tc>
          <w:tcPr>
            <w:tcW w:type="dxa" w:w="1750"/>
          </w:tcPr>
          <w:p>
            <w:pPr>
              <w:spacing w:after="0"/>
            </w:pPr>
            <w:r>
              <w:rPr>
                <w:rFonts w:ascii="Calibri" w:hAnsi="Calibri"/>
                <w:b w:val="0"/>
                <w:i w:val="0"/>
                <w:color w:val="222222"/>
                <w:sz w:val="19"/>
              </w:rPr>
              <w:t>Gold standard</w:t>
            </w:r>
          </w:p>
        </w:tc>
        <w:tc>
          <w:tcPr>
            <w:tcW w:type="dxa" w:w="7610"/>
          </w:tcPr>
          <w:p>
            <w:pPr>
              <w:spacing w:after="0"/>
            </w:pPr>
            <w:r>
              <w:rPr>
                <w:rFonts w:ascii="Calibri" w:hAnsi="Calibri"/>
                <w:b w:val="0"/>
                <w:i w:val="0"/>
                <w:color w:val="222222"/>
                <w:sz w:val="19"/>
              </w:rPr>
              <w:t>Expert-approved set of valid relationships and justified no-relationship cases.</w:t>
            </w:r>
          </w:p>
        </w:tc>
      </w:tr>
      <w:tr>
        <w:tc>
          <w:tcPr>
            <w:tcW w:type="dxa" w:w="1750"/>
          </w:tcPr>
          <w:p>
            <w:pPr>
              <w:spacing w:after="0"/>
            </w:pPr>
            <w:r>
              <w:rPr>
                <w:rFonts w:ascii="Calibri" w:hAnsi="Calibri"/>
                <w:b w:val="0"/>
                <w:i w:val="0"/>
                <w:color w:val="222222"/>
                <w:sz w:val="19"/>
              </w:rPr>
              <w:t>Evaluation run</w:t>
            </w:r>
          </w:p>
        </w:tc>
        <w:tc>
          <w:tcPr>
            <w:tcW w:type="dxa" w:w="7610"/>
          </w:tcPr>
          <w:p>
            <w:pPr>
              <w:spacing w:after="0"/>
            </w:pPr>
            <w:r>
              <w:rPr>
                <w:rFonts w:ascii="Calibri" w:hAnsi="Calibri"/>
                <w:b w:val="0"/>
                <w:i w:val="0"/>
                <w:color w:val="222222"/>
                <w:sz w:val="19"/>
              </w:rPr>
              <w:t>One prompt version executed over the complete frozen test set under the recorded configuration.</w:t>
            </w:r>
          </w:p>
        </w:tc>
      </w:tr>
    </w:tbl>
    <w:p>
      <w:pPr>
        <w:spacing w:after="60"/>
      </w:pPr>
    </w:p>
    <w:p>
      <w:pPr>
        <w:pStyle w:val="Heading1"/>
        <w:keepNext/>
      </w:pPr>
      <w:r>
        <w:rPr>
          <w:rFonts w:ascii="Calibri" w:hAnsi="Calibri"/>
          <w:b/>
          <w:i w:val="0"/>
          <w:color w:val="2E74B5"/>
          <w:sz w:val="32"/>
        </w:rPr>
        <w:t>3. Evaluation methodology</w:t>
      </w:r>
    </w:p>
    <w:p>
      <w:pPr>
        <w:keepLines/>
      </w:pPr>
      <w:r>
        <w:rPr>
          <w:rFonts w:ascii="Calibri" w:hAnsi="Calibri"/>
          <w:b w:val="0"/>
          <w:i w:val="0"/>
          <w:color w:val="222222"/>
          <w:sz w:val="22"/>
        </w:rPr>
        <w:t>The methodology follows four stages: exploratory experimentation, specialist review, final comparative evaluation, and statistical analysis. Exploratory work may improve the prompt, but no metric claim may be based on examples that were edited after their expected answers were known. The final comparison uses a held-out, frozen dataset.</w:t>
      </w:r>
    </w:p>
    <w:p>
      <w:pPr>
        <w:pStyle w:val="Heading2"/>
        <w:keepNext/>
      </w:pPr>
      <w:r>
        <w:rPr>
          <w:rFonts w:ascii="Calibri" w:hAnsi="Calibri"/>
          <w:b/>
          <w:i w:val="0"/>
          <w:color w:val="2E74B5"/>
          <w:sz w:val="26"/>
        </w:rPr>
        <w:t>3.1 Exploratory experimentation</w:t>
      </w:r>
    </w:p>
    <w:p>
      <w:pPr>
        <w:pStyle w:val="ListNumber"/>
        <w:spacing w:after="80" w:line="276" w:lineRule="auto"/>
      </w:pPr>
      <w:r>
        <w:rPr>
          <w:rFonts w:ascii="Calibri" w:hAnsi="Calibri"/>
          <w:b w:val="0"/>
          <w:i w:val="0"/>
          <w:color w:val="222222"/>
          <w:sz w:val="22"/>
        </w:rPr>
        <w:t>Run Prompt v0 on a development subset representing typical, difficult, and failure-prone notebooks.</w:t>
      </w:r>
    </w:p>
    <w:p>
      <w:pPr>
        <w:pStyle w:val="ListNumber"/>
        <w:spacing w:after="80" w:line="276" w:lineRule="auto"/>
      </w:pPr>
      <w:r>
        <w:rPr>
          <w:rFonts w:ascii="Calibri" w:hAnsi="Calibri"/>
          <w:b w:val="0"/>
          <w:i w:val="0"/>
          <w:color w:val="222222"/>
          <w:sz w:val="22"/>
        </w:rPr>
        <w:t>Inspect outputs with a reviewer and label observed errors using the taxonomy in Section 7.</w:t>
      </w:r>
    </w:p>
    <w:p>
      <w:pPr>
        <w:pStyle w:val="ListNumber"/>
        <w:spacing w:after="80" w:line="276" w:lineRule="auto"/>
      </w:pPr>
      <w:r>
        <w:rPr>
          <w:rFonts w:ascii="Calibri" w:hAnsi="Calibri"/>
          <w:b w:val="0"/>
          <w:i w:val="0"/>
          <w:color w:val="222222"/>
          <w:sz w:val="22"/>
        </w:rPr>
        <w:t>Revise only the prompt wording and examples intended for Prompt v1; document each change and its expected effect.</w:t>
      </w:r>
    </w:p>
    <w:p>
      <w:pPr>
        <w:pStyle w:val="ListNumber"/>
        <w:spacing w:after="80" w:line="276" w:lineRule="auto"/>
      </w:pPr>
      <w:r>
        <w:rPr>
          <w:rFonts w:ascii="Calibri" w:hAnsi="Calibri"/>
          <w:b w:val="0"/>
          <w:i w:val="0"/>
          <w:color w:val="222222"/>
          <w:sz w:val="22"/>
        </w:rPr>
        <w:t>Repeat until the prompt is stable. Do not alter the final test labels to fit Prompt v1.</w:t>
      </w:r>
    </w:p>
    <w:p>
      <w:pPr>
        <w:pStyle w:val="Heading2"/>
        <w:keepNext/>
      </w:pPr>
      <w:r>
        <w:rPr>
          <w:rFonts w:ascii="Calibri" w:hAnsi="Calibri"/>
          <w:b/>
          <w:i w:val="0"/>
          <w:color w:val="2E74B5"/>
          <w:sz w:val="26"/>
        </w:rPr>
        <w:t>3.2 Specialist review</w:t>
      </w:r>
    </w:p>
    <w:p>
      <w:pPr>
        <w:keepLines/>
      </w:pPr>
      <w:r>
        <w:rPr>
          <w:rFonts w:ascii="Calibri" w:hAnsi="Calibri"/>
          <w:b w:val="0"/>
          <w:i w:val="0"/>
          <w:color w:val="222222"/>
          <w:sz w:val="22"/>
        </w:rPr>
        <w:t>A reviewer familiar with notebooks and the LinkMaker task reviews a controlled sample before the comparative stage. Their role is to validate the gold labels, clarify borderline cases, and confirm that the evaluation rubric reflects meaningful user value rather than superficial textual similarity.</w:t>
      </w:r>
    </w:p>
    <w:p>
      <w:pPr>
        <w:pStyle w:val="Heading2"/>
        <w:keepNext/>
      </w:pPr>
      <w:r>
        <w:rPr>
          <w:rFonts w:ascii="Calibri" w:hAnsi="Calibri"/>
          <w:b/>
          <w:i w:val="0"/>
          <w:color w:val="2E74B5"/>
          <w:sz w:val="26"/>
        </w:rPr>
        <w:t>3.3 Comparative evaluation</w:t>
      </w:r>
    </w:p>
    <w:p>
      <w:pPr>
        <w:keepLines/>
      </w:pPr>
      <w:r>
        <w:rPr>
          <w:rFonts w:ascii="Calibri" w:hAnsi="Calibri"/>
          <w:b w:val="0"/>
          <w:i w:val="0"/>
          <w:color w:val="222222"/>
          <w:sz w:val="22"/>
        </w:rPr>
        <w:t>Run Prompt v0 and Prompt v1 over exactly the same held-out notebooks. The prompt version is the only intended experimental variable. Save the raw response, materialized response, reviewer label, metrics, and execution metadata for every notebook and run.</w:t>
      </w:r>
    </w:p>
    <w:p>
      <w:pPr>
        <w:pStyle w:val="Heading1"/>
        <w:keepNext/>
      </w:pPr>
      <w:r>
        <w:rPr>
          <w:rFonts w:ascii="Calibri" w:hAnsi="Calibri"/>
          <w:b/>
          <w:i w:val="0"/>
          <w:color w:val="2E74B5"/>
          <w:sz w:val="32"/>
        </w:rPr>
        <w:t>4. Curated evaluation dataset</w:t>
      </w:r>
    </w:p>
    <w:p>
      <w:pPr>
        <w:keepLines/>
      </w:pPr>
      <w:r>
        <w:rPr>
          <w:rFonts w:ascii="Calibri" w:hAnsi="Calibri"/>
          <w:b w:val="0"/>
          <w:i w:val="0"/>
          <w:color w:val="222222"/>
          <w:sz w:val="22"/>
        </w:rPr>
        <w:t>The dataset must be representative of actual LinkMaker usage and include both positive and negative examples. Each notebook receives a stable identifier and a gold-label file. Relationships should be labeled at the same granularity requested from the model: exact source portions, cell identifiers, cell indices, and relationship type.</w:t>
      </w:r>
    </w:p>
    <w:tbl>
      <w:tblPr>
        <w:tblStyle w:val="TableGrid"/>
        <w:tblW w:type="dxa" w:w="9360"/>
        <w:jc w:val="left"/>
        <w:tblLayout w:type="fixed"/>
        <w:tblLook w:firstColumn="1" w:firstRow="1" w:lastColumn="0" w:lastRow="0" w:noHBand="0" w:noVBand="1" w:val="04A0"/>
        <w:tblInd w:w="120" w:type="dxa"/>
      </w:tblPr>
      <w:tblGrid>
        <w:gridCol w:w="1900"/>
        <w:gridCol w:w="4550"/>
        <w:gridCol w:w="291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i w:val="0"/>
                <w:color w:val="1F4D78"/>
                <w:sz w:val="19"/>
              </w:rPr>
              <w:t>Case family</w:t>
            </w:r>
          </w:p>
        </w:tc>
        <w:tc>
          <w:tcPr>
            <w:tcW w:type="dxa" w:w="4550"/>
            <w:tcMar>
              <w:top w:w="80" w:type="dxa"/>
              <w:start w:w="120" w:type="dxa"/>
              <w:bottom w:w="80" w:type="dxa"/>
              <w:end w:w="120" w:type="dxa"/>
            </w:tcMar>
            <w:vAlign w:val="center"/>
            <w:shd w:fill="E8EEF5"/>
          </w:tcPr>
          <w:p>
            <w:pPr>
              <w:spacing w:after="0"/>
            </w:pPr>
            <w:r>
              <w:rPr>
                <w:rFonts w:ascii="Calibri" w:hAnsi="Calibri"/>
                <w:b/>
                <w:i w:val="0"/>
                <w:color w:val="1F4D78"/>
                <w:sz w:val="19"/>
              </w:rPr>
              <w:t>Required condition</w:t>
            </w:r>
          </w:p>
        </w:tc>
        <w:tc>
          <w:tcPr>
            <w:tcW w:type="dxa" w:w="2910"/>
            <w:tcMar>
              <w:top w:w="80" w:type="dxa"/>
              <w:start w:w="120" w:type="dxa"/>
              <w:bottom w:w="80" w:type="dxa"/>
              <w:end w:w="120" w:type="dxa"/>
            </w:tcMar>
            <w:vAlign w:val="center"/>
            <w:shd w:fill="E8EEF5"/>
          </w:tcPr>
          <w:p>
            <w:pPr>
              <w:spacing w:after="0"/>
            </w:pPr>
            <w:r>
              <w:rPr>
                <w:rFonts w:ascii="Calibri" w:hAnsi="Calibri"/>
                <w:b/>
                <w:i w:val="0"/>
                <w:color w:val="1F4D78"/>
                <w:sz w:val="19"/>
              </w:rPr>
              <w:t>Main risk measured</w:t>
            </w:r>
          </w:p>
        </w:tc>
      </w:tr>
      <w:tr>
        <w:tc>
          <w:tcPr>
            <w:tcW w:type="dxa" w:w="1900"/>
          </w:tcPr>
          <w:p>
            <w:pPr>
              <w:spacing w:after="0"/>
            </w:pPr>
            <w:r>
              <w:rPr>
                <w:rFonts w:ascii="Calibri" w:hAnsi="Calibri"/>
                <w:b w:val="0"/>
                <w:i w:val="0"/>
                <w:color w:val="222222"/>
                <w:sz w:val="19"/>
              </w:rPr>
              <w:t>Direct reference</w:t>
            </w:r>
          </w:p>
        </w:tc>
        <w:tc>
          <w:tcPr>
            <w:tcW w:type="dxa" w:w="4550"/>
          </w:tcPr>
          <w:p>
            <w:pPr>
              <w:spacing w:after="0"/>
            </w:pPr>
            <w:r>
              <w:rPr>
                <w:rFonts w:ascii="Calibri" w:hAnsi="Calibri"/>
                <w:b w:val="0"/>
                <w:i w:val="0"/>
                <w:color w:val="222222"/>
                <w:sz w:val="19"/>
              </w:rPr>
              <w:t>Markdown names a function, variable, file, parameter, or operation shown in code.</w:t>
            </w:r>
          </w:p>
        </w:tc>
        <w:tc>
          <w:tcPr>
            <w:tcW w:type="dxa" w:w="2910"/>
          </w:tcPr>
          <w:p>
            <w:pPr>
              <w:spacing w:after="0"/>
            </w:pPr>
            <w:r>
              <w:rPr>
                <w:rFonts w:ascii="Calibri" w:hAnsi="Calibri"/>
                <w:b w:val="0"/>
                <w:i w:val="0"/>
                <w:color w:val="222222"/>
                <w:sz w:val="19"/>
              </w:rPr>
              <w:t>Missed obvious relationship</w:t>
            </w:r>
          </w:p>
        </w:tc>
      </w:tr>
      <w:tr>
        <w:tc>
          <w:tcPr>
            <w:tcW w:type="dxa" w:w="1900"/>
          </w:tcPr>
          <w:p>
            <w:pPr>
              <w:spacing w:after="0"/>
            </w:pPr>
            <w:r>
              <w:rPr>
                <w:rFonts w:ascii="Calibri" w:hAnsi="Calibri"/>
                <w:b w:val="0"/>
                <w:i w:val="0"/>
                <w:color w:val="222222"/>
                <w:sz w:val="19"/>
              </w:rPr>
              <w:t>Behavioral description</w:t>
            </w:r>
          </w:p>
        </w:tc>
        <w:tc>
          <w:tcPr>
            <w:tcW w:type="dxa" w:w="4550"/>
          </w:tcPr>
          <w:p>
            <w:pPr>
              <w:spacing w:after="0"/>
            </w:pPr>
            <w:r>
              <w:rPr>
                <w:rFonts w:ascii="Calibri" w:hAnsi="Calibri"/>
                <w:b w:val="0"/>
                <w:i w:val="0"/>
                <w:color w:val="222222"/>
                <w:sz w:val="19"/>
              </w:rPr>
              <w:t>Markdown explains behavior implemented by code without identical wording.</w:t>
            </w:r>
          </w:p>
        </w:tc>
        <w:tc>
          <w:tcPr>
            <w:tcW w:type="dxa" w:w="2910"/>
          </w:tcPr>
          <w:p>
            <w:pPr>
              <w:spacing w:after="0"/>
            </w:pPr>
            <w:r>
              <w:rPr>
                <w:rFonts w:ascii="Calibri" w:hAnsi="Calibri"/>
                <w:b w:val="0"/>
                <w:i w:val="0"/>
                <w:color w:val="222222"/>
                <w:sz w:val="19"/>
              </w:rPr>
              <w:t>Semantic matching</w:t>
            </w:r>
          </w:p>
        </w:tc>
      </w:tr>
      <w:tr>
        <w:tc>
          <w:tcPr>
            <w:tcW w:type="dxa" w:w="1900"/>
          </w:tcPr>
          <w:p>
            <w:pPr>
              <w:spacing w:after="0"/>
            </w:pPr>
            <w:r>
              <w:rPr>
                <w:rFonts w:ascii="Calibri" w:hAnsi="Calibri"/>
                <w:b w:val="0"/>
                <w:i w:val="0"/>
                <w:color w:val="222222"/>
                <w:sz w:val="19"/>
              </w:rPr>
              <w:t>Output interpretation</w:t>
            </w:r>
          </w:p>
        </w:tc>
        <w:tc>
          <w:tcPr>
            <w:tcW w:type="dxa" w:w="4550"/>
          </w:tcPr>
          <w:p>
            <w:pPr>
              <w:spacing w:after="0"/>
            </w:pPr>
            <w:r>
              <w:rPr>
                <w:rFonts w:ascii="Calibri" w:hAnsi="Calibri"/>
                <w:b w:val="0"/>
                <w:i w:val="0"/>
                <w:color w:val="222222"/>
                <w:sz w:val="19"/>
              </w:rPr>
              <w:t>Markdown explains displayed output, derived result, or conclusion.</w:t>
            </w:r>
          </w:p>
        </w:tc>
        <w:tc>
          <w:tcPr>
            <w:tcW w:type="dxa" w:w="2910"/>
          </w:tcPr>
          <w:p>
            <w:pPr>
              <w:spacing w:after="0"/>
            </w:pPr>
            <w:r>
              <w:rPr>
                <w:rFonts w:ascii="Calibri" w:hAnsi="Calibri"/>
                <w:b w:val="0"/>
                <w:i w:val="0"/>
                <w:color w:val="222222"/>
                <w:sz w:val="19"/>
              </w:rPr>
              <w:t>Correct relationship type</w:t>
            </w:r>
          </w:p>
        </w:tc>
      </w:tr>
      <w:tr>
        <w:tc>
          <w:tcPr>
            <w:tcW w:type="dxa" w:w="1900"/>
          </w:tcPr>
          <w:p>
            <w:pPr>
              <w:spacing w:after="0"/>
            </w:pPr>
            <w:r>
              <w:rPr>
                <w:rFonts w:ascii="Calibri" w:hAnsi="Calibri"/>
                <w:b w:val="0"/>
                <w:i w:val="0"/>
                <w:color w:val="222222"/>
                <w:sz w:val="19"/>
              </w:rPr>
              <w:t>One-to-many / many-to-one</w:t>
            </w:r>
          </w:p>
        </w:tc>
        <w:tc>
          <w:tcPr>
            <w:tcW w:type="dxa" w:w="4550"/>
          </w:tcPr>
          <w:p>
            <w:pPr>
              <w:spacing w:after="0"/>
            </w:pPr>
            <w:r>
              <w:rPr>
                <w:rFonts w:ascii="Calibri" w:hAnsi="Calibri"/>
                <w:b w:val="0"/>
                <w:i w:val="0"/>
                <w:color w:val="222222"/>
                <w:sz w:val="19"/>
              </w:rPr>
              <w:t>A single explanation or code cell has several valid links.</w:t>
            </w:r>
          </w:p>
        </w:tc>
        <w:tc>
          <w:tcPr>
            <w:tcW w:type="dxa" w:w="2910"/>
          </w:tcPr>
          <w:p>
            <w:pPr>
              <w:spacing w:after="0"/>
            </w:pPr>
            <w:r>
              <w:rPr>
                <w:rFonts w:ascii="Calibri" w:hAnsi="Calibri"/>
                <w:b w:val="0"/>
                <w:i w:val="0"/>
                <w:color w:val="222222"/>
                <w:sz w:val="19"/>
              </w:rPr>
              <w:t>Completeness</w:t>
            </w:r>
          </w:p>
        </w:tc>
      </w:tr>
      <w:tr>
        <w:tc>
          <w:tcPr>
            <w:tcW w:type="dxa" w:w="1900"/>
          </w:tcPr>
          <w:p>
            <w:pPr>
              <w:spacing w:after="0"/>
            </w:pPr>
            <w:r>
              <w:rPr>
                <w:rFonts w:ascii="Calibri" w:hAnsi="Calibri"/>
                <w:b w:val="0"/>
                <w:i w:val="0"/>
                <w:color w:val="222222"/>
                <w:sz w:val="19"/>
              </w:rPr>
              <w:t>No relationship</w:t>
            </w:r>
          </w:p>
        </w:tc>
        <w:tc>
          <w:tcPr>
            <w:tcW w:type="dxa" w:w="4550"/>
          </w:tcPr>
          <w:p>
            <w:pPr>
              <w:spacing w:after="0"/>
            </w:pPr>
            <w:r>
              <w:rPr>
                <w:rFonts w:ascii="Calibri" w:hAnsi="Calibri"/>
                <w:b w:val="0"/>
                <w:i w:val="0"/>
                <w:color w:val="222222"/>
                <w:sz w:val="19"/>
              </w:rPr>
              <w:t>Cells share a topic but no evidentiary relationship.</w:t>
            </w:r>
          </w:p>
        </w:tc>
        <w:tc>
          <w:tcPr>
            <w:tcW w:type="dxa" w:w="2910"/>
          </w:tcPr>
          <w:p>
            <w:pPr>
              <w:spacing w:after="0"/>
            </w:pPr>
            <w:r>
              <w:rPr>
                <w:rFonts w:ascii="Calibri" w:hAnsi="Calibri"/>
                <w:b w:val="0"/>
                <w:i w:val="0"/>
                <w:color w:val="222222"/>
                <w:sz w:val="19"/>
              </w:rPr>
              <w:t>False positives</w:t>
            </w:r>
          </w:p>
        </w:tc>
      </w:tr>
      <w:tr>
        <w:tc>
          <w:tcPr>
            <w:tcW w:type="dxa" w:w="1900"/>
          </w:tcPr>
          <w:p>
            <w:pPr>
              <w:spacing w:after="0"/>
            </w:pPr>
            <w:r>
              <w:rPr>
                <w:rFonts w:ascii="Calibri" w:hAnsi="Calibri"/>
                <w:b w:val="0"/>
                <w:i w:val="0"/>
                <w:color w:val="222222"/>
                <w:sz w:val="19"/>
              </w:rPr>
              <w:t>Evidence constraint</w:t>
            </w:r>
          </w:p>
        </w:tc>
        <w:tc>
          <w:tcPr>
            <w:tcW w:type="dxa" w:w="4550"/>
          </w:tcPr>
          <w:p>
            <w:pPr>
              <w:spacing w:after="0"/>
            </w:pPr>
            <w:r>
              <w:rPr>
                <w:rFonts w:ascii="Calibri" w:hAnsi="Calibri"/>
                <w:b w:val="0"/>
                <w:i w:val="0"/>
                <w:color w:val="222222"/>
                <w:sz w:val="19"/>
              </w:rPr>
              <w:t>Potential answer invites paraphrase, wrong ID, or non-contiguous span.</w:t>
            </w:r>
          </w:p>
        </w:tc>
        <w:tc>
          <w:tcPr>
            <w:tcW w:type="dxa" w:w="2910"/>
          </w:tcPr>
          <w:p>
            <w:pPr>
              <w:spacing w:after="0"/>
            </w:pPr>
            <w:r>
              <w:rPr>
                <w:rFonts w:ascii="Calibri" w:hAnsi="Calibri"/>
                <w:b w:val="0"/>
                <w:i w:val="0"/>
                <w:color w:val="222222"/>
                <w:sz w:val="19"/>
              </w:rPr>
              <w:t>Grounding and schema fidelity</w:t>
            </w:r>
          </w:p>
        </w:tc>
      </w:tr>
      <w:tr>
        <w:tc>
          <w:tcPr>
            <w:tcW w:type="dxa" w:w="1900"/>
          </w:tcPr>
          <w:p>
            <w:pPr>
              <w:spacing w:after="0"/>
            </w:pPr>
            <w:r>
              <w:rPr>
                <w:rFonts w:ascii="Calibri" w:hAnsi="Calibri"/>
                <w:b w:val="0"/>
                <w:i w:val="0"/>
                <w:color w:val="222222"/>
                <w:sz w:val="19"/>
              </w:rPr>
              <w:t>Ambiguous context</w:t>
            </w:r>
          </w:p>
        </w:tc>
        <w:tc>
          <w:tcPr>
            <w:tcW w:type="dxa" w:w="4550"/>
          </w:tcPr>
          <w:p>
            <w:pPr>
              <w:spacing w:after="0"/>
            </w:pPr>
            <w:r>
              <w:rPr>
                <w:rFonts w:ascii="Calibri" w:hAnsi="Calibri"/>
                <w:b w:val="0"/>
                <w:i w:val="0"/>
                <w:color w:val="222222"/>
                <w:sz w:val="19"/>
              </w:rPr>
              <w:t>Relationship is plausible but not supported strongly enough by local evidence.</w:t>
            </w:r>
          </w:p>
        </w:tc>
        <w:tc>
          <w:tcPr>
            <w:tcW w:type="dxa" w:w="2910"/>
          </w:tcPr>
          <w:p>
            <w:pPr>
              <w:spacing w:after="0"/>
            </w:pPr>
            <w:r>
              <w:rPr>
                <w:rFonts w:ascii="Calibri" w:hAnsi="Calibri"/>
                <w:b w:val="0"/>
                <w:i w:val="0"/>
                <w:color w:val="222222"/>
                <w:sz w:val="19"/>
              </w:rPr>
              <w:t>Safe abstention</w:t>
            </w:r>
          </w:p>
        </w:tc>
      </w:tr>
    </w:tbl>
    <w:p>
      <w:pPr>
        <w:spacing w:after="60"/>
      </w:pPr>
    </w:p>
    <w:p>
      <w:pPr>
        <w:pStyle w:val="Heading2"/>
        <w:keepNext/>
      </w:pPr>
      <w:r>
        <w:rPr>
          <w:rFonts w:ascii="Calibri" w:hAnsi="Calibri"/>
          <w:b/>
          <w:i w:val="0"/>
          <w:color w:val="2E74B5"/>
          <w:sz w:val="26"/>
        </w:rPr>
        <w:t>4.1 Minimum dataset record</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i w:val="0"/>
                <w:color w:val="1F4D78"/>
                <w:sz w:val="19"/>
              </w:rPr>
              <w:t>Field</w:t>
            </w:r>
          </w:p>
        </w:tc>
        <w:tc>
          <w:tcPr>
            <w:tcW w:type="dxa" w:w="7460"/>
            <w:tcMar>
              <w:top w:w="80" w:type="dxa"/>
              <w:start w:w="120" w:type="dxa"/>
              <w:bottom w:w="80" w:type="dxa"/>
              <w:end w:w="120" w:type="dxa"/>
            </w:tcMar>
            <w:vAlign w:val="center"/>
            <w:shd w:fill="E8EEF5"/>
          </w:tcPr>
          <w:p>
            <w:pPr>
              <w:spacing w:after="0"/>
            </w:pPr>
            <w:r>
              <w:rPr>
                <w:rFonts w:ascii="Calibri" w:hAnsi="Calibri"/>
                <w:b/>
                <w:i w:val="0"/>
                <w:color w:val="1F4D78"/>
                <w:sz w:val="19"/>
              </w:rPr>
              <w:t>Description</w:t>
            </w:r>
          </w:p>
        </w:tc>
      </w:tr>
      <w:tr>
        <w:tc>
          <w:tcPr>
            <w:tcW w:type="dxa" w:w="1900"/>
          </w:tcPr>
          <w:p>
            <w:pPr>
              <w:spacing w:after="0"/>
            </w:pPr>
            <w:r>
              <w:rPr>
                <w:rFonts w:ascii="Calibri" w:hAnsi="Calibri"/>
                <w:b w:val="0"/>
                <w:i w:val="0"/>
                <w:color w:val="222222"/>
                <w:sz w:val="19"/>
              </w:rPr>
              <w:t>notebook_id</w:t>
            </w:r>
          </w:p>
        </w:tc>
        <w:tc>
          <w:tcPr>
            <w:tcW w:type="dxa" w:w="7460"/>
          </w:tcPr>
          <w:p>
            <w:pPr>
              <w:spacing w:after="0"/>
            </w:pPr>
            <w:r>
              <w:rPr>
                <w:rFonts w:ascii="Calibri" w:hAnsi="Calibri"/>
                <w:b w:val="0"/>
                <w:i w:val="0"/>
                <w:color w:val="222222"/>
                <w:sz w:val="19"/>
              </w:rPr>
              <w:t>Stable evaluation identifier; do not use a mutable filename alone.</w:t>
            </w:r>
          </w:p>
        </w:tc>
      </w:tr>
      <w:tr>
        <w:tc>
          <w:tcPr>
            <w:tcW w:type="dxa" w:w="1900"/>
          </w:tcPr>
          <w:p>
            <w:pPr>
              <w:spacing w:after="0"/>
            </w:pPr>
            <w:r>
              <w:rPr>
                <w:rFonts w:ascii="Calibri" w:hAnsi="Calibri"/>
                <w:b w:val="0"/>
                <w:i w:val="0"/>
                <w:color w:val="222222"/>
                <w:sz w:val="19"/>
              </w:rPr>
              <w:t>split</w:t>
            </w:r>
          </w:p>
        </w:tc>
        <w:tc>
          <w:tcPr>
            <w:tcW w:type="dxa" w:w="7460"/>
          </w:tcPr>
          <w:p>
            <w:pPr>
              <w:spacing w:after="0"/>
            </w:pPr>
            <w:r>
              <w:rPr>
                <w:rFonts w:ascii="Calibri" w:hAnsi="Calibri"/>
                <w:b w:val="0"/>
                <w:i w:val="0"/>
                <w:color w:val="222222"/>
                <w:sz w:val="19"/>
              </w:rPr>
              <w:t>development or held_out.</w:t>
            </w:r>
          </w:p>
        </w:tc>
      </w:tr>
      <w:tr>
        <w:tc>
          <w:tcPr>
            <w:tcW w:type="dxa" w:w="1900"/>
          </w:tcPr>
          <w:p>
            <w:pPr>
              <w:spacing w:after="0"/>
            </w:pPr>
            <w:r>
              <w:rPr>
                <w:rFonts w:ascii="Calibri" w:hAnsi="Calibri"/>
                <w:b w:val="0"/>
                <w:i w:val="0"/>
                <w:color w:val="222222"/>
                <w:sz w:val="19"/>
              </w:rPr>
              <w:t>input_notebook</w:t>
            </w:r>
          </w:p>
        </w:tc>
        <w:tc>
          <w:tcPr>
            <w:tcW w:type="dxa" w:w="7460"/>
          </w:tcPr>
          <w:p>
            <w:pPr>
              <w:spacing w:after="0"/>
            </w:pPr>
            <w:r>
              <w:rPr>
                <w:rFonts w:ascii="Calibri" w:hAnsi="Calibri"/>
                <w:b w:val="0"/>
                <w:i w:val="0"/>
                <w:color w:val="222222"/>
                <w:sz w:val="19"/>
              </w:rPr>
              <w:t>Exact notebook content submitted to the model.</w:t>
            </w:r>
          </w:p>
        </w:tc>
      </w:tr>
      <w:tr>
        <w:tc>
          <w:tcPr>
            <w:tcW w:type="dxa" w:w="1900"/>
          </w:tcPr>
          <w:p>
            <w:pPr>
              <w:spacing w:after="0"/>
            </w:pPr>
            <w:r>
              <w:rPr>
                <w:rFonts w:ascii="Calibri" w:hAnsi="Calibri"/>
                <w:b w:val="0"/>
                <w:i w:val="0"/>
                <w:color w:val="222222"/>
                <w:sz w:val="19"/>
              </w:rPr>
              <w:t>gold_relationships</w:t>
            </w:r>
          </w:p>
        </w:tc>
        <w:tc>
          <w:tcPr>
            <w:tcW w:type="dxa" w:w="7460"/>
          </w:tcPr>
          <w:p>
            <w:pPr>
              <w:spacing w:after="0"/>
            </w:pPr>
            <w:r>
              <w:rPr>
                <w:rFonts w:ascii="Calibri" w:hAnsi="Calibri"/>
                <w:b w:val="0"/>
                <w:i w:val="0"/>
                <w:color w:val="222222"/>
                <w:sz w:val="19"/>
              </w:rPr>
              <w:t>Approved relationship objects, with exact excerpts and types.</w:t>
            </w:r>
          </w:p>
        </w:tc>
      </w:tr>
      <w:tr>
        <w:tc>
          <w:tcPr>
            <w:tcW w:type="dxa" w:w="1900"/>
          </w:tcPr>
          <w:p>
            <w:pPr>
              <w:spacing w:after="0"/>
            </w:pPr>
            <w:r>
              <w:rPr>
                <w:rFonts w:ascii="Calibri" w:hAnsi="Calibri"/>
                <w:b w:val="0"/>
                <w:i w:val="0"/>
                <w:color w:val="222222"/>
                <w:sz w:val="19"/>
              </w:rPr>
              <w:t>gold_no_links</w:t>
            </w:r>
          </w:p>
        </w:tc>
        <w:tc>
          <w:tcPr>
            <w:tcW w:type="dxa" w:w="7460"/>
          </w:tcPr>
          <w:p>
            <w:pPr>
              <w:spacing w:after="0"/>
            </w:pPr>
            <w:r>
              <w:rPr>
                <w:rFonts w:ascii="Calibri" w:hAnsi="Calibri"/>
                <w:b w:val="0"/>
                <w:i w:val="0"/>
                <w:color w:val="222222"/>
                <w:sz w:val="19"/>
              </w:rPr>
              <w:t>Specified cell pairs or regions that must not be linked.</w:t>
            </w:r>
          </w:p>
        </w:tc>
      </w:tr>
      <w:tr>
        <w:tc>
          <w:tcPr>
            <w:tcW w:type="dxa" w:w="1900"/>
          </w:tcPr>
          <w:p>
            <w:pPr>
              <w:spacing w:after="0"/>
            </w:pPr>
            <w:r>
              <w:rPr>
                <w:rFonts w:ascii="Calibri" w:hAnsi="Calibri"/>
                <w:b w:val="0"/>
                <w:i w:val="0"/>
                <w:color w:val="222222"/>
                <w:sz w:val="19"/>
              </w:rPr>
              <w:t>review_notes</w:t>
            </w:r>
          </w:p>
        </w:tc>
        <w:tc>
          <w:tcPr>
            <w:tcW w:type="dxa" w:w="7460"/>
          </w:tcPr>
          <w:p>
            <w:pPr>
              <w:spacing w:after="0"/>
            </w:pPr>
            <w:r>
              <w:rPr>
                <w:rFonts w:ascii="Calibri" w:hAnsi="Calibri"/>
                <w:b w:val="0"/>
                <w:i w:val="0"/>
                <w:color w:val="222222"/>
                <w:sz w:val="19"/>
              </w:rPr>
              <w:t>Rationale for difficult labels and allowed interpretations.</w:t>
            </w:r>
          </w:p>
        </w:tc>
      </w:tr>
    </w:tbl>
    <w:p>
      <w:pPr>
        <w:spacing w:after="60"/>
      </w:pPr>
    </w:p>
    <w:p>
      <w:pPr>
        <w:pStyle w:val="Heading1"/>
        <w:keepNext/>
      </w:pPr>
      <w:r>
        <w:rPr>
          <w:rFonts w:ascii="Calibri" w:hAnsi="Calibri"/>
          <w:b/>
          <w:i w:val="0"/>
          <w:color w:val="2E74B5"/>
          <w:sz w:val="32"/>
        </w:rPr>
        <w:t>5. Fixed execution configuration</w:t>
      </w:r>
    </w:p>
    <w:p>
      <w:pPr>
        <w:keepLines/>
      </w:pPr>
      <w:r>
        <w:rPr>
          <w:rFonts w:ascii="Calibri" w:hAnsi="Calibri"/>
          <w:b w:val="0"/>
          <w:i w:val="0"/>
          <w:color w:val="222222"/>
          <w:sz w:val="22"/>
        </w:rPr>
        <w:t>For a valid comparison, all execution settings must remain fixed except for the prompt version. Record the configuration in every evaluation report so results can be reproduced.</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i w:val="0"/>
                <w:color w:val="1F4D78"/>
                <w:sz w:val="19"/>
              </w:rPr>
              <w:t>Variable</w:t>
            </w:r>
          </w:p>
        </w:tc>
        <w:tc>
          <w:tcPr>
            <w:tcW w:type="dxa" w:w="7460"/>
            <w:tcMar>
              <w:top w:w="80" w:type="dxa"/>
              <w:start w:w="120" w:type="dxa"/>
              <w:bottom w:w="80" w:type="dxa"/>
              <w:end w:w="120" w:type="dxa"/>
            </w:tcMar>
            <w:vAlign w:val="center"/>
            <w:shd w:fill="E8EEF5"/>
          </w:tcPr>
          <w:p>
            <w:pPr>
              <w:spacing w:after="0"/>
            </w:pPr>
            <w:r>
              <w:rPr>
                <w:rFonts w:ascii="Calibri" w:hAnsi="Calibri"/>
                <w:b/>
                <w:i w:val="0"/>
                <w:color w:val="1F4D78"/>
                <w:sz w:val="19"/>
              </w:rPr>
              <w:t>Protocol requirement</w:t>
            </w:r>
          </w:p>
        </w:tc>
      </w:tr>
      <w:tr>
        <w:tc>
          <w:tcPr>
            <w:tcW w:type="dxa" w:w="1900"/>
          </w:tcPr>
          <w:p>
            <w:pPr>
              <w:spacing w:after="0"/>
            </w:pPr>
            <w:r>
              <w:rPr>
                <w:rFonts w:ascii="Calibri" w:hAnsi="Calibri"/>
                <w:b w:val="0"/>
                <w:i w:val="0"/>
                <w:color w:val="222222"/>
                <w:sz w:val="19"/>
              </w:rPr>
              <w:t>Model</w:t>
            </w:r>
          </w:p>
        </w:tc>
        <w:tc>
          <w:tcPr>
            <w:tcW w:type="dxa" w:w="7460"/>
          </w:tcPr>
          <w:p>
            <w:pPr>
              <w:spacing w:after="0"/>
            </w:pPr>
            <w:r>
              <w:rPr>
                <w:rFonts w:ascii="Calibri" w:hAnsi="Calibri"/>
                <w:b w:val="0"/>
                <w:i w:val="0"/>
                <w:color w:val="222222"/>
                <w:sz w:val="19"/>
              </w:rPr>
              <w:t>Use the same named model and model release for v0 and v1.</w:t>
            </w:r>
          </w:p>
        </w:tc>
      </w:tr>
      <w:tr>
        <w:tc>
          <w:tcPr>
            <w:tcW w:type="dxa" w:w="1900"/>
          </w:tcPr>
          <w:p>
            <w:pPr>
              <w:spacing w:after="0"/>
            </w:pPr>
            <w:r>
              <w:rPr>
                <w:rFonts w:ascii="Calibri" w:hAnsi="Calibri"/>
                <w:b w:val="0"/>
                <w:i w:val="0"/>
                <w:color w:val="222222"/>
                <w:sz w:val="19"/>
              </w:rPr>
              <w:t>Reasoning</w:t>
            </w:r>
          </w:p>
        </w:tc>
        <w:tc>
          <w:tcPr>
            <w:tcW w:type="dxa" w:w="7460"/>
          </w:tcPr>
          <w:p>
            <w:pPr>
              <w:spacing w:after="0"/>
            </w:pPr>
            <w:r>
              <w:rPr>
                <w:rFonts w:ascii="Calibri" w:hAnsi="Calibri"/>
                <w:b w:val="0"/>
                <w:i w:val="0"/>
                <w:color w:val="222222"/>
                <w:sz w:val="19"/>
              </w:rPr>
              <w:t>Keep the same reasoning effort and tool configuration.</w:t>
            </w:r>
          </w:p>
        </w:tc>
      </w:tr>
      <w:tr>
        <w:tc>
          <w:tcPr>
            <w:tcW w:type="dxa" w:w="1900"/>
          </w:tcPr>
          <w:p>
            <w:pPr>
              <w:spacing w:after="0"/>
            </w:pPr>
            <w:r>
              <w:rPr>
                <w:rFonts w:ascii="Calibri" w:hAnsi="Calibri"/>
                <w:b w:val="0"/>
                <w:i w:val="0"/>
                <w:color w:val="222222"/>
                <w:sz w:val="19"/>
              </w:rPr>
              <w:t>Output contract</w:t>
            </w:r>
          </w:p>
        </w:tc>
        <w:tc>
          <w:tcPr>
            <w:tcW w:type="dxa" w:w="7460"/>
          </w:tcPr>
          <w:p>
            <w:pPr>
              <w:spacing w:after="0"/>
            </w:pPr>
            <w:r>
              <w:rPr>
                <w:rFonts w:ascii="Calibri" w:hAnsi="Calibri"/>
                <w:b w:val="0"/>
                <w:i w:val="0"/>
                <w:color w:val="222222"/>
                <w:sz w:val="19"/>
              </w:rPr>
              <w:t>Use the same strict JSON schema and validation logic.</w:t>
            </w:r>
          </w:p>
        </w:tc>
      </w:tr>
      <w:tr>
        <w:tc>
          <w:tcPr>
            <w:tcW w:type="dxa" w:w="1900"/>
          </w:tcPr>
          <w:p>
            <w:pPr>
              <w:spacing w:after="0"/>
            </w:pPr>
            <w:r>
              <w:rPr>
                <w:rFonts w:ascii="Calibri" w:hAnsi="Calibri"/>
                <w:b w:val="0"/>
                <w:i w:val="0"/>
                <w:color w:val="222222"/>
                <w:sz w:val="19"/>
              </w:rPr>
              <w:t>Input</w:t>
            </w:r>
          </w:p>
        </w:tc>
        <w:tc>
          <w:tcPr>
            <w:tcW w:type="dxa" w:w="7460"/>
          </w:tcPr>
          <w:p>
            <w:pPr>
              <w:spacing w:after="0"/>
            </w:pPr>
            <w:r>
              <w:rPr>
                <w:rFonts w:ascii="Calibri" w:hAnsi="Calibri"/>
                <w:b w:val="0"/>
                <w:i w:val="0"/>
                <w:color w:val="222222"/>
                <w:sz w:val="19"/>
              </w:rPr>
              <w:t>Submit the same Markdown and code cell serialization, ordering, and metadata.</w:t>
            </w:r>
          </w:p>
        </w:tc>
      </w:tr>
      <w:tr>
        <w:tc>
          <w:tcPr>
            <w:tcW w:type="dxa" w:w="1900"/>
          </w:tcPr>
          <w:p>
            <w:pPr>
              <w:spacing w:after="0"/>
            </w:pPr>
            <w:r>
              <w:rPr>
                <w:rFonts w:ascii="Calibri" w:hAnsi="Calibri"/>
                <w:b w:val="0"/>
                <w:i w:val="0"/>
                <w:color w:val="222222"/>
                <w:sz w:val="19"/>
              </w:rPr>
              <w:t>Sampling</w:t>
            </w:r>
          </w:p>
        </w:tc>
        <w:tc>
          <w:tcPr>
            <w:tcW w:type="dxa" w:w="7460"/>
          </w:tcPr>
          <w:p>
            <w:pPr>
              <w:spacing w:after="0"/>
            </w:pPr>
            <w:r>
              <w:rPr>
                <w:rFonts w:ascii="Calibri" w:hAnsi="Calibri"/>
                <w:b w:val="0"/>
                <w:i w:val="0"/>
                <w:color w:val="222222"/>
                <w:sz w:val="19"/>
              </w:rPr>
              <w:t>Use deterministic settings where supported; otherwise repeat each case and report variability.</w:t>
            </w:r>
          </w:p>
        </w:tc>
      </w:tr>
      <w:tr>
        <w:tc>
          <w:tcPr>
            <w:tcW w:type="dxa" w:w="1900"/>
          </w:tcPr>
          <w:p>
            <w:pPr>
              <w:spacing w:after="0"/>
            </w:pPr>
            <w:r>
              <w:rPr>
                <w:rFonts w:ascii="Calibri" w:hAnsi="Calibri"/>
                <w:b w:val="0"/>
                <w:i w:val="0"/>
                <w:color w:val="222222"/>
                <w:sz w:val="19"/>
              </w:rPr>
              <w:t>Post-processing</w:t>
            </w:r>
          </w:p>
        </w:tc>
        <w:tc>
          <w:tcPr>
            <w:tcW w:type="dxa" w:w="7460"/>
          </w:tcPr>
          <w:p>
            <w:pPr>
              <w:spacing w:after="0"/>
            </w:pPr>
            <w:r>
              <w:rPr>
                <w:rFonts w:ascii="Calibri" w:hAnsi="Calibri"/>
                <w:b w:val="0"/>
                <w:i w:val="0"/>
                <w:color w:val="222222"/>
                <w:sz w:val="19"/>
              </w:rPr>
              <w:t>Apply the same materialization and invalid-span rejection rules.</w:t>
            </w:r>
          </w:p>
        </w:tc>
      </w:tr>
      <w:tr>
        <w:tc>
          <w:tcPr>
            <w:tcW w:type="dxa" w:w="1900"/>
          </w:tcPr>
          <w:p>
            <w:pPr>
              <w:spacing w:after="0"/>
            </w:pPr>
            <w:r>
              <w:rPr>
                <w:rFonts w:ascii="Calibri" w:hAnsi="Calibri"/>
                <w:b w:val="0"/>
                <w:i w:val="0"/>
                <w:color w:val="222222"/>
                <w:sz w:val="19"/>
              </w:rPr>
              <w:t>Measurement</w:t>
            </w:r>
          </w:p>
        </w:tc>
        <w:tc>
          <w:tcPr>
            <w:tcW w:type="dxa" w:w="7460"/>
          </w:tcPr>
          <w:p>
            <w:pPr>
              <w:spacing w:after="0"/>
            </w:pPr>
            <w:r>
              <w:rPr>
                <w:rFonts w:ascii="Calibri" w:hAnsi="Calibri"/>
                <w:b w:val="0"/>
                <w:i w:val="0"/>
                <w:color w:val="222222"/>
                <w:sz w:val="19"/>
              </w:rPr>
              <w:t>Capture latency, output tokens, input tokens when available, and errors.</w:t>
            </w:r>
          </w:p>
        </w:tc>
      </w:tr>
    </w:tbl>
    <w:p>
      <w:pPr>
        <w:spacing w:after="60"/>
      </w:pPr>
    </w:p>
    <w:p>
      <w:pPr>
        <w:pStyle w:val="Heading1"/>
        <w:keepNext/>
      </w:pPr>
      <w:r>
        <w:rPr>
          <w:rFonts w:ascii="Calibri" w:hAnsi="Calibri"/>
          <w:b/>
          <w:i w:val="0"/>
          <w:color w:val="2E74B5"/>
          <w:sz w:val="32"/>
        </w:rPr>
        <w:t>6. Evaluation metrics</w:t>
      </w:r>
    </w:p>
    <w:p>
      <w:pPr>
        <w:keepLines/>
      </w:pPr>
      <w:r>
        <w:rPr>
          <w:rFonts w:ascii="Calibri" w:hAnsi="Calibri"/>
          <w:b w:val="0"/>
          <w:i w:val="0"/>
          <w:color w:val="222222"/>
          <w:sz w:val="22"/>
        </w:rPr>
        <w:t>Metrics combine quantitative relationship performance, structural validity, and expert judgment. Report the absolute result for each prompt and the differential: Delta = metric(Prompt v1) - metric(Prompt v0). A positive delta is better for quality metrics; a negative delta is better for latency, token consumption, and cost.</w:t>
      </w:r>
    </w:p>
    <w:p>
      <w:pPr>
        <w:pStyle w:val="Heading2"/>
        <w:keepNext/>
      </w:pPr>
      <w:r>
        <w:rPr>
          <w:rFonts w:ascii="Calibri" w:hAnsi="Calibri"/>
          <w:b/>
          <w:i w:val="0"/>
          <w:color w:val="2E74B5"/>
          <w:sz w:val="26"/>
        </w:rPr>
        <w:t>6.1 Core relationship metrics</w:t>
      </w:r>
    </w:p>
    <w:tbl>
      <w:tblPr>
        <w:tblStyle w:val="TableGrid"/>
        <w:tblW w:type="dxa" w:w="9360"/>
        <w:jc w:val="left"/>
        <w:tblLayout w:type="fixed"/>
        <w:tblLook w:firstColumn="1" w:firstRow="1" w:lastColumn="0" w:lastRow="0" w:noHBand="0" w:noVBand="1" w:val="04A0"/>
        <w:tblInd w:w="120" w:type="dxa"/>
      </w:tblPr>
      <w:tblGrid>
        <w:gridCol w:w="1650"/>
        <w:gridCol w:w="4850"/>
        <w:gridCol w:w="2860"/>
      </w:tblGrid>
      <w:tr>
        <w:trPr>
          <w:tblHeader w:val="true"/>
        </w:trPr>
        <w:tc>
          <w:tcPr>
            <w:tcW w:type="dxa" w:w="1650"/>
            <w:tcMar>
              <w:top w:w="80" w:type="dxa"/>
              <w:start w:w="120" w:type="dxa"/>
              <w:bottom w:w="80" w:type="dxa"/>
              <w:end w:w="120" w:type="dxa"/>
            </w:tcMar>
            <w:vAlign w:val="center"/>
            <w:shd w:fill="E8EEF5"/>
          </w:tcPr>
          <w:p>
            <w:pPr>
              <w:spacing w:after="0"/>
            </w:pPr>
            <w:r>
              <w:rPr>
                <w:rFonts w:ascii="Calibri" w:hAnsi="Calibri"/>
                <w:b/>
                <w:i w:val="0"/>
                <w:color w:val="1F4D78"/>
                <w:sz w:val="19"/>
              </w:rPr>
              <w:t>Metric</w:t>
            </w:r>
          </w:p>
        </w:tc>
        <w:tc>
          <w:tcPr>
            <w:tcW w:type="dxa" w:w="4850"/>
            <w:tcMar>
              <w:top w:w="80" w:type="dxa"/>
              <w:start w:w="120" w:type="dxa"/>
              <w:bottom w:w="80" w:type="dxa"/>
              <w:end w:w="120" w:type="dxa"/>
            </w:tcMar>
            <w:vAlign w:val="center"/>
            <w:shd w:fill="E8EEF5"/>
          </w:tcPr>
          <w:p>
            <w:pPr>
              <w:spacing w:after="0"/>
            </w:pPr>
            <w:r>
              <w:rPr>
                <w:rFonts w:ascii="Calibri" w:hAnsi="Calibri"/>
                <w:b/>
                <w:i w:val="0"/>
                <w:color w:val="1F4D78"/>
                <w:sz w:val="19"/>
              </w:rPr>
              <w:t>Definition</w:t>
            </w:r>
          </w:p>
        </w:tc>
        <w:tc>
          <w:tcPr>
            <w:tcW w:type="dxa" w:w="2860"/>
            <w:tcMar>
              <w:top w:w="80" w:type="dxa"/>
              <w:start w:w="120" w:type="dxa"/>
              <w:bottom w:w="80" w:type="dxa"/>
              <w:end w:w="120" w:type="dxa"/>
            </w:tcMar>
            <w:vAlign w:val="center"/>
            <w:shd w:fill="E8EEF5"/>
          </w:tcPr>
          <w:p>
            <w:pPr>
              <w:spacing w:after="0"/>
            </w:pPr>
            <w:r>
              <w:rPr>
                <w:rFonts w:ascii="Calibri" w:hAnsi="Calibri"/>
                <w:b/>
                <w:i w:val="0"/>
                <w:color w:val="1F4D78"/>
                <w:sz w:val="19"/>
              </w:rPr>
              <w:t>Interpretation</w:t>
            </w:r>
          </w:p>
        </w:tc>
      </w:tr>
      <w:tr>
        <w:tc>
          <w:tcPr>
            <w:tcW w:type="dxa" w:w="1650"/>
          </w:tcPr>
          <w:p>
            <w:pPr>
              <w:spacing w:after="0"/>
            </w:pPr>
            <w:r>
              <w:rPr>
                <w:rFonts w:ascii="Calibri" w:hAnsi="Calibri"/>
                <w:b w:val="0"/>
                <w:i w:val="0"/>
                <w:color w:val="222222"/>
                <w:sz w:val="19"/>
              </w:rPr>
              <w:t>Precision</w:t>
            </w:r>
          </w:p>
        </w:tc>
        <w:tc>
          <w:tcPr>
            <w:tcW w:type="dxa" w:w="4850"/>
          </w:tcPr>
          <w:p>
            <w:pPr>
              <w:spacing w:after="0"/>
            </w:pPr>
            <w:r>
              <w:rPr>
                <w:rFonts w:ascii="Calibri" w:hAnsi="Calibri"/>
                <w:b w:val="0"/>
                <w:i w:val="0"/>
                <w:color w:val="222222"/>
                <w:sz w:val="19"/>
              </w:rPr>
              <w:t>Correct predicted relationships / all predicted relationships.</w:t>
            </w:r>
          </w:p>
        </w:tc>
        <w:tc>
          <w:tcPr>
            <w:tcW w:type="dxa" w:w="2860"/>
          </w:tcPr>
          <w:p>
            <w:pPr>
              <w:spacing w:after="0"/>
            </w:pPr>
            <w:r>
              <w:rPr>
                <w:rFonts w:ascii="Calibri" w:hAnsi="Calibri"/>
                <w:b w:val="0"/>
                <w:i w:val="0"/>
                <w:color w:val="222222"/>
                <w:sz w:val="19"/>
              </w:rPr>
              <w:t>Controls false positives.</w:t>
            </w:r>
          </w:p>
        </w:tc>
      </w:tr>
      <w:tr>
        <w:tc>
          <w:tcPr>
            <w:tcW w:type="dxa" w:w="1650"/>
          </w:tcPr>
          <w:p>
            <w:pPr>
              <w:spacing w:after="0"/>
            </w:pPr>
            <w:r>
              <w:rPr>
                <w:rFonts w:ascii="Calibri" w:hAnsi="Calibri"/>
                <w:b w:val="0"/>
                <w:i w:val="0"/>
                <w:color w:val="222222"/>
                <w:sz w:val="19"/>
              </w:rPr>
              <w:t>Recall</w:t>
            </w:r>
          </w:p>
        </w:tc>
        <w:tc>
          <w:tcPr>
            <w:tcW w:type="dxa" w:w="4850"/>
          </w:tcPr>
          <w:p>
            <w:pPr>
              <w:spacing w:after="0"/>
            </w:pPr>
            <w:r>
              <w:rPr>
                <w:rFonts w:ascii="Calibri" w:hAnsi="Calibri"/>
                <w:b w:val="0"/>
                <w:i w:val="0"/>
                <w:color w:val="222222"/>
                <w:sz w:val="19"/>
              </w:rPr>
              <w:t>Correct predicted relationships / all gold relationships.</w:t>
            </w:r>
          </w:p>
        </w:tc>
        <w:tc>
          <w:tcPr>
            <w:tcW w:type="dxa" w:w="2860"/>
          </w:tcPr>
          <w:p>
            <w:pPr>
              <w:spacing w:after="0"/>
            </w:pPr>
            <w:r>
              <w:rPr>
                <w:rFonts w:ascii="Calibri" w:hAnsi="Calibri"/>
                <w:b w:val="0"/>
                <w:i w:val="0"/>
                <w:color w:val="222222"/>
                <w:sz w:val="19"/>
              </w:rPr>
              <w:t>Measures missed valid links.</w:t>
            </w:r>
          </w:p>
        </w:tc>
      </w:tr>
      <w:tr>
        <w:tc>
          <w:tcPr>
            <w:tcW w:type="dxa" w:w="1650"/>
          </w:tcPr>
          <w:p>
            <w:pPr>
              <w:spacing w:after="0"/>
            </w:pPr>
            <w:r>
              <w:rPr>
                <w:rFonts w:ascii="Calibri" w:hAnsi="Calibri"/>
                <w:b w:val="0"/>
                <w:i w:val="0"/>
                <w:color w:val="222222"/>
                <w:sz w:val="19"/>
              </w:rPr>
              <w:t>F1</w:t>
            </w:r>
          </w:p>
        </w:tc>
        <w:tc>
          <w:tcPr>
            <w:tcW w:type="dxa" w:w="4850"/>
          </w:tcPr>
          <w:p>
            <w:pPr>
              <w:spacing w:after="0"/>
            </w:pPr>
            <w:r>
              <w:rPr>
                <w:rFonts w:ascii="Calibri" w:hAnsi="Calibri"/>
                <w:b w:val="0"/>
                <w:i w:val="0"/>
                <w:color w:val="222222"/>
                <w:sz w:val="19"/>
              </w:rPr>
              <w:t>Harmonic mean of precision and recall.</w:t>
            </w:r>
          </w:p>
        </w:tc>
        <w:tc>
          <w:tcPr>
            <w:tcW w:type="dxa" w:w="2860"/>
          </w:tcPr>
          <w:p>
            <w:pPr>
              <w:spacing w:after="0"/>
            </w:pPr>
            <w:r>
              <w:rPr>
                <w:rFonts w:ascii="Calibri" w:hAnsi="Calibri"/>
                <w:b w:val="0"/>
                <w:i w:val="0"/>
                <w:color w:val="222222"/>
                <w:sz w:val="19"/>
              </w:rPr>
              <w:t>Primary balance metric.</w:t>
            </w:r>
          </w:p>
        </w:tc>
      </w:tr>
      <w:tr>
        <w:tc>
          <w:tcPr>
            <w:tcW w:type="dxa" w:w="1650"/>
          </w:tcPr>
          <w:p>
            <w:pPr>
              <w:spacing w:after="0"/>
            </w:pPr>
            <w:r>
              <w:rPr>
                <w:rFonts w:ascii="Calibri" w:hAnsi="Calibri"/>
                <w:b w:val="0"/>
                <w:i w:val="0"/>
                <w:color w:val="222222"/>
                <w:sz w:val="19"/>
              </w:rPr>
              <w:t>Exact-match rate</w:t>
            </w:r>
          </w:p>
        </w:tc>
        <w:tc>
          <w:tcPr>
            <w:tcW w:type="dxa" w:w="4850"/>
          </w:tcPr>
          <w:p>
            <w:pPr>
              <w:spacing w:after="0"/>
            </w:pPr>
            <w:r>
              <w:rPr>
                <w:rFonts w:ascii="Calibri" w:hAnsi="Calibri"/>
                <w:b w:val="0"/>
                <w:i w:val="0"/>
                <w:color w:val="222222"/>
                <w:sz w:val="19"/>
              </w:rPr>
              <w:t>Predictions that match gold cells, excerpts, and relationship type exactly.</w:t>
            </w:r>
          </w:p>
        </w:tc>
        <w:tc>
          <w:tcPr>
            <w:tcW w:type="dxa" w:w="2860"/>
          </w:tcPr>
          <w:p>
            <w:pPr>
              <w:spacing w:after="0"/>
            </w:pPr>
            <w:r>
              <w:rPr>
                <w:rFonts w:ascii="Calibri" w:hAnsi="Calibri"/>
                <w:b w:val="0"/>
                <w:i w:val="0"/>
                <w:color w:val="222222"/>
                <w:sz w:val="19"/>
              </w:rPr>
              <w:t>Strict end-to-end correctness.</w:t>
            </w:r>
          </w:p>
        </w:tc>
      </w:tr>
      <w:tr>
        <w:tc>
          <w:tcPr>
            <w:tcW w:type="dxa" w:w="1650"/>
          </w:tcPr>
          <w:p>
            <w:pPr>
              <w:spacing w:after="0"/>
            </w:pPr>
            <w:r>
              <w:rPr>
                <w:rFonts w:ascii="Calibri" w:hAnsi="Calibri"/>
                <w:b w:val="0"/>
                <w:i w:val="0"/>
                <w:color w:val="222222"/>
                <w:sz w:val="19"/>
              </w:rPr>
              <w:t>Schema-valid rate</w:t>
            </w:r>
          </w:p>
        </w:tc>
        <w:tc>
          <w:tcPr>
            <w:tcW w:type="dxa" w:w="4850"/>
          </w:tcPr>
          <w:p>
            <w:pPr>
              <w:spacing w:after="0"/>
            </w:pPr>
            <w:r>
              <w:rPr>
                <w:rFonts w:ascii="Calibri" w:hAnsi="Calibri"/>
                <w:b w:val="0"/>
                <w:i w:val="0"/>
                <w:color w:val="222222"/>
                <w:sz w:val="19"/>
              </w:rPr>
              <w:t>Responses accepted by the strict schema and downstream validation.</w:t>
            </w:r>
          </w:p>
        </w:tc>
        <w:tc>
          <w:tcPr>
            <w:tcW w:type="dxa" w:w="2860"/>
          </w:tcPr>
          <w:p>
            <w:pPr>
              <w:spacing w:after="0"/>
            </w:pPr>
            <w:r>
              <w:rPr>
                <w:rFonts w:ascii="Calibri" w:hAnsi="Calibri"/>
                <w:b w:val="0"/>
                <w:i w:val="0"/>
                <w:color w:val="222222"/>
                <w:sz w:val="19"/>
              </w:rPr>
              <w:t>Operational usability.</w:t>
            </w:r>
          </w:p>
        </w:tc>
      </w:tr>
      <w:tr>
        <w:tc>
          <w:tcPr>
            <w:tcW w:type="dxa" w:w="1650"/>
          </w:tcPr>
          <w:p>
            <w:pPr>
              <w:spacing w:after="0"/>
            </w:pPr>
            <w:r>
              <w:rPr>
                <w:rFonts w:ascii="Calibri" w:hAnsi="Calibri"/>
                <w:b w:val="0"/>
                <w:i w:val="0"/>
                <w:color w:val="222222"/>
                <w:sz w:val="19"/>
              </w:rPr>
              <w:t>Verbatim-evidence rate</w:t>
            </w:r>
          </w:p>
        </w:tc>
        <w:tc>
          <w:tcPr>
            <w:tcW w:type="dxa" w:w="4850"/>
          </w:tcPr>
          <w:p>
            <w:pPr>
              <w:spacing w:after="0"/>
            </w:pPr>
            <w:r>
              <w:rPr>
                <w:rFonts w:ascii="Calibri" w:hAnsi="Calibri"/>
                <w:b w:val="0"/>
                <w:i w:val="0"/>
                <w:color w:val="222222"/>
                <w:sz w:val="19"/>
              </w:rPr>
              <w:t>Accepted links with exact, contiguous source excerpts.</w:t>
            </w:r>
          </w:p>
        </w:tc>
        <w:tc>
          <w:tcPr>
            <w:tcW w:type="dxa" w:w="2860"/>
          </w:tcPr>
          <w:p>
            <w:pPr>
              <w:spacing w:after="0"/>
            </w:pPr>
            <w:r>
              <w:rPr>
                <w:rFonts w:ascii="Calibri" w:hAnsi="Calibri"/>
                <w:b w:val="0"/>
                <w:i w:val="0"/>
                <w:color w:val="222222"/>
                <w:sz w:val="19"/>
              </w:rPr>
              <w:t>Grounding quality.</w:t>
            </w:r>
          </w:p>
        </w:tc>
      </w:tr>
    </w:tbl>
    <w:p>
      <w:pPr>
        <w:spacing w:after="60"/>
      </w:pPr>
    </w:p>
    <w:p>
      <w:pPr>
        <w:pStyle w:val="Heading2"/>
        <w:keepNext/>
      </w:pPr>
      <w:r>
        <w:rPr>
          <w:rFonts w:ascii="Calibri" w:hAnsi="Calibri"/>
          <w:b/>
          <w:i w:val="0"/>
          <w:color w:val="2E74B5"/>
          <w:sz w:val="26"/>
        </w:rPr>
        <w:t>6.2 Expert quality rubric</w:t>
      </w:r>
    </w:p>
    <w:tbl>
      <w:tblPr>
        <w:tblStyle w:val="TableGrid"/>
        <w:tblW w:type="dxa" w:w="9360"/>
        <w:jc w:val="left"/>
        <w:tblLayout w:type="fixed"/>
        <w:tblLook w:firstColumn="1" w:firstRow="1" w:lastColumn="0" w:lastRow="0" w:noHBand="0" w:noVBand="1" w:val="04A0"/>
        <w:tblInd w:w="120" w:type="dxa"/>
      </w:tblPr>
      <w:tblGrid>
        <w:gridCol w:w="1900"/>
        <w:gridCol w:w="2480"/>
        <w:gridCol w:w="2480"/>
        <w:gridCol w:w="250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i w:val="0"/>
                <w:color w:val="1F4D78"/>
                <w:sz w:val="19"/>
              </w:rPr>
              <w:t>Dimension</w:t>
            </w:r>
          </w:p>
        </w:tc>
        <w:tc>
          <w:tcPr>
            <w:tcW w:type="dxa" w:w="2480"/>
            <w:tcMar>
              <w:top w:w="80" w:type="dxa"/>
              <w:start w:w="120" w:type="dxa"/>
              <w:bottom w:w="80" w:type="dxa"/>
              <w:end w:w="120" w:type="dxa"/>
            </w:tcMar>
            <w:vAlign w:val="center"/>
            <w:shd w:fill="E8EEF5"/>
          </w:tcPr>
          <w:p>
            <w:pPr>
              <w:spacing w:after="0"/>
            </w:pPr>
            <w:r>
              <w:rPr>
                <w:rFonts w:ascii="Calibri" w:hAnsi="Calibri"/>
                <w:b/>
                <w:i w:val="0"/>
                <w:color w:val="1F4D78"/>
                <w:sz w:val="19"/>
              </w:rPr>
              <w:t>Score 0</w:t>
            </w:r>
          </w:p>
        </w:tc>
        <w:tc>
          <w:tcPr>
            <w:tcW w:type="dxa" w:w="2480"/>
            <w:tcMar>
              <w:top w:w="80" w:type="dxa"/>
              <w:start w:w="120" w:type="dxa"/>
              <w:bottom w:w="80" w:type="dxa"/>
              <w:end w:w="120" w:type="dxa"/>
            </w:tcMar>
            <w:vAlign w:val="center"/>
            <w:shd w:fill="E8EEF5"/>
          </w:tcPr>
          <w:p>
            <w:pPr>
              <w:spacing w:after="0"/>
            </w:pPr>
            <w:r>
              <w:rPr>
                <w:rFonts w:ascii="Calibri" w:hAnsi="Calibri"/>
                <w:b/>
                <w:i w:val="0"/>
                <w:color w:val="1F4D78"/>
                <w:sz w:val="19"/>
              </w:rPr>
              <w:t>Score 1</w:t>
            </w:r>
          </w:p>
        </w:tc>
        <w:tc>
          <w:tcPr>
            <w:tcW w:type="dxa" w:w="2500"/>
            <w:tcMar>
              <w:top w:w="80" w:type="dxa"/>
              <w:start w:w="120" w:type="dxa"/>
              <w:bottom w:w="80" w:type="dxa"/>
              <w:end w:w="120" w:type="dxa"/>
            </w:tcMar>
            <w:vAlign w:val="center"/>
            <w:shd w:fill="E8EEF5"/>
          </w:tcPr>
          <w:p>
            <w:pPr>
              <w:spacing w:after="0"/>
            </w:pPr>
            <w:r>
              <w:rPr>
                <w:rFonts w:ascii="Calibri" w:hAnsi="Calibri"/>
                <w:b/>
                <w:i w:val="0"/>
                <w:color w:val="1F4D78"/>
                <w:sz w:val="19"/>
              </w:rPr>
              <w:t>Score 2</w:t>
            </w:r>
          </w:p>
        </w:tc>
      </w:tr>
      <w:tr>
        <w:tc>
          <w:tcPr>
            <w:tcW w:type="dxa" w:w="1900"/>
          </w:tcPr>
          <w:p>
            <w:pPr>
              <w:spacing w:after="0"/>
            </w:pPr>
            <w:r>
              <w:rPr>
                <w:rFonts w:ascii="Calibri" w:hAnsi="Calibri"/>
                <w:b w:val="0"/>
                <w:i w:val="0"/>
                <w:color w:val="222222"/>
                <w:sz w:val="19"/>
              </w:rPr>
              <w:t>Semantic alignment</w:t>
            </w:r>
          </w:p>
        </w:tc>
        <w:tc>
          <w:tcPr>
            <w:tcW w:type="dxa" w:w="2480"/>
          </w:tcPr>
          <w:p>
            <w:pPr>
              <w:spacing w:after="0"/>
            </w:pPr>
            <w:r>
              <w:rPr>
                <w:rFonts w:ascii="Calibri" w:hAnsi="Calibri"/>
                <w:b w:val="0"/>
                <w:i w:val="0"/>
                <w:color w:val="222222"/>
                <w:sz w:val="19"/>
              </w:rPr>
              <w:t>Unrelated or misleading link.</w:t>
            </w:r>
          </w:p>
        </w:tc>
        <w:tc>
          <w:tcPr>
            <w:tcW w:type="dxa" w:w="2480"/>
          </w:tcPr>
          <w:p>
            <w:pPr>
              <w:spacing w:after="0"/>
            </w:pPr>
            <w:r>
              <w:rPr>
                <w:rFonts w:ascii="Calibri" w:hAnsi="Calibri"/>
                <w:b w:val="0"/>
                <w:i w:val="0"/>
                <w:color w:val="222222"/>
                <w:sz w:val="19"/>
              </w:rPr>
              <w:t>Partially related but weak or incomplete evidence.</w:t>
            </w:r>
          </w:p>
        </w:tc>
        <w:tc>
          <w:tcPr>
            <w:tcW w:type="dxa" w:w="2500"/>
          </w:tcPr>
          <w:p>
            <w:pPr>
              <w:spacing w:after="0"/>
            </w:pPr>
            <w:r>
              <w:rPr>
                <w:rFonts w:ascii="Calibri" w:hAnsi="Calibri"/>
                <w:b w:val="0"/>
                <w:i w:val="0"/>
                <w:color w:val="222222"/>
                <w:sz w:val="19"/>
              </w:rPr>
              <w:t>Clear, meaningful relationship supported by both excerpts.</w:t>
            </w:r>
          </w:p>
        </w:tc>
      </w:tr>
      <w:tr>
        <w:tc>
          <w:tcPr>
            <w:tcW w:type="dxa" w:w="1900"/>
          </w:tcPr>
          <w:p>
            <w:pPr>
              <w:spacing w:after="0"/>
            </w:pPr>
            <w:r>
              <w:rPr>
                <w:rFonts w:ascii="Calibri" w:hAnsi="Calibri"/>
                <w:b w:val="0"/>
                <w:i w:val="0"/>
                <w:color w:val="222222"/>
                <w:sz w:val="19"/>
              </w:rPr>
              <w:t>Evidence granularity</w:t>
            </w:r>
          </w:p>
        </w:tc>
        <w:tc>
          <w:tcPr>
            <w:tcW w:type="dxa" w:w="2480"/>
          </w:tcPr>
          <w:p>
            <w:pPr>
              <w:spacing w:after="0"/>
            </w:pPr>
            <w:r>
              <w:rPr>
                <w:rFonts w:ascii="Calibri" w:hAnsi="Calibri"/>
                <w:b w:val="0"/>
                <w:i w:val="0"/>
                <w:color w:val="222222"/>
                <w:sz w:val="19"/>
              </w:rPr>
              <w:t>Wrong, paraphrased, or non-contiguous evidence.</w:t>
            </w:r>
          </w:p>
        </w:tc>
        <w:tc>
          <w:tcPr>
            <w:tcW w:type="dxa" w:w="2480"/>
          </w:tcPr>
          <w:p>
            <w:pPr>
              <w:spacing w:after="0"/>
            </w:pPr>
            <w:r>
              <w:rPr>
                <w:rFonts w:ascii="Calibri" w:hAnsi="Calibri"/>
                <w:b w:val="0"/>
                <w:i w:val="0"/>
                <w:color w:val="222222"/>
                <w:sz w:val="19"/>
              </w:rPr>
              <w:t>Valid but unnecessarily broad excerpt.</w:t>
            </w:r>
          </w:p>
        </w:tc>
        <w:tc>
          <w:tcPr>
            <w:tcW w:type="dxa" w:w="2500"/>
          </w:tcPr>
          <w:p>
            <w:pPr>
              <w:spacing w:after="0"/>
            </w:pPr>
            <w:r>
              <w:rPr>
                <w:rFonts w:ascii="Calibri" w:hAnsi="Calibri"/>
                <w:b w:val="0"/>
                <w:i w:val="0"/>
                <w:color w:val="222222"/>
                <w:sz w:val="19"/>
              </w:rPr>
              <w:t>Smallest meaningful contiguous excerpts selected.</w:t>
            </w:r>
          </w:p>
        </w:tc>
      </w:tr>
      <w:tr>
        <w:tc>
          <w:tcPr>
            <w:tcW w:type="dxa" w:w="1900"/>
          </w:tcPr>
          <w:p>
            <w:pPr>
              <w:spacing w:after="0"/>
            </w:pPr>
            <w:r>
              <w:rPr>
                <w:rFonts w:ascii="Calibri" w:hAnsi="Calibri"/>
                <w:b w:val="0"/>
                <w:i w:val="0"/>
                <w:color w:val="222222"/>
                <w:sz w:val="19"/>
              </w:rPr>
              <w:t>Relationship type</w:t>
            </w:r>
          </w:p>
        </w:tc>
        <w:tc>
          <w:tcPr>
            <w:tcW w:type="dxa" w:w="2480"/>
          </w:tcPr>
          <w:p>
            <w:pPr>
              <w:spacing w:after="0"/>
            </w:pPr>
            <w:r>
              <w:rPr>
                <w:rFonts w:ascii="Calibri" w:hAnsi="Calibri"/>
                <w:b w:val="0"/>
                <w:i w:val="0"/>
                <w:color w:val="222222"/>
                <w:sz w:val="19"/>
              </w:rPr>
              <w:t>Incorrect type.</w:t>
            </w:r>
          </w:p>
        </w:tc>
        <w:tc>
          <w:tcPr>
            <w:tcW w:type="dxa" w:w="2480"/>
          </w:tcPr>
          <w:p>
            <w:pPr>
              <w:spacing w:after="0"/>
            </w:pPr>
            <w:r>
              <w:rPr>
                <w:rFonts w:ascii="Calibri" w:hAnsi="Calibri"/>
                <w:b w:val="0"/>
                <w:i w:val="0"/>
                <w:color w:val="222222"/>
                <w:sz w:val="19"/>
              </w:rPr>
              <w:t>Plausible but not best type.</w:t>
            </w:r>
          </w:p>
        </w:tc>
        <w:tc>
          <w:tcPr>
            <w:tcW w:type="dxa" w:w="2500"/>
          </w:tcPr>
          <w:p>
            <w:pPr>
              <w:spacing w:after="0"/>
            </w:pPr>
            <w:r>
              <w:rPr>
                <w:rFonts w:ascii="Calibri" w:hAnsi="Calibri"/>
                <w:b w:val="0"/>
                <w:i w:val="0"/>
                <w:color w:val="222222"/>
                <w:sz w:val="19"/>
              </w:rPr>
              <w:t>Correct and useful type.</w:t>
            </w:r>
          </w:p>
        </w:tc>
      </w:tr>
      <w:tr>
        <w:tc>
          <w:tcPr>
            <w:tcW w:type="dxa" w:w="1900"/>
          </w:tcPr>
          <w:p>
            <w:pPr>
              <w:spacing w:after="0"/>
            </w:pPr>
            <w:r>
              <w:rPr>
                <w:rFonts w:ascii="Calibri" w:hAnsi="Calibri"/>
                <w:b w:val="0"/>
                <w:i w:val="0"/>
                <w:color w:val="222222"/>
                <w:sz w:val="19"/>
              </w:rPr>
              <w:t>Reason quality</w:t>
            </w:r>
          </w:p>
        </w:tc>
        <w:tc>
          <w:tcPr>
            <w:tcW w:type="dxa" w:w="2480"/>
          </w:tcPr>
          <w:p>
            <w:pPr>
              <w:spacing w:after="0"/>
            </w:pPr>
            <w:r>
              <w:rPr>
                <w:rFonts w:ascii="Calibri" w:hAnsi="Calibri"/>
                <w:b w:val="0"/>
                <w:i w:val="0"/>
                <w:color w:val="222222"/>
                <w:sz w:val="19"/>
              </w:rPr>
              <w:t>Unsupported or generic explanation.</w:t>
            </w:r>
          </w:p>
        </w:tc>
        <w:tc>
          <w:tcPr>
            <w:tcW w:type="dxa" w:w="2480"/>
          </w:tcPr>
          <w:p>
            <w:pPr>
              <w:spacing w:after="0"/>
            </w:pPr>
            <w:r>
              <w:rPr>
                <w:rFonts w:ascii="Calibri" w:hAnsi="Calibri"/>
                <w:b w:val="0"/>
                <w:i w:val="0"/>
                <w:color w:val="222222"/>
                <w:sz w:val="19"/>
              </w:rPr>
              <w:t>Partially grounded explanation.</w:t>
            </w:r>
          </w:p>
        </w:tc>
        <w:tc>
          <w:tcPr>
            <w:tcW w:type="dxa" w:w="2500"/>
          </w:tcPr>
          <w:p>
            <w:pPr>
              <w:spacing w:after="0"/>
            </w:pPr>
            <w:r>
              <w:rPr>
                <w:rFonts w:ascii="Calibri" w:hAnsi="Calibri"/>
                <w:b w:val="0"/>
                <w:i w:val="0"/>
                <w:color w:val="222222"/>
                <w:sz w:val="19"/>
              </w:rPr>
              <w:t>Concise explanation grounded in the selected excerpts.</w:t>
            </w:r>
          </w:p>
        </w:tc>
      </w:tr>
    </w:tbl>
    <w:p>
      <w:pPr>
        <w:spacing w:after="60"/>
      </w:pPr>
    </w:p>
    <w:p>
      <w:pPr>
        <w:keepLines/>
      </w:pPr>
      <w:r>
        <w:rPr>
          <w:rFonts w:ascii="Calibri" w:hAnsi="Calibri"/>
          <w:b/>
          <w:i w:val="0"/>
          <w:color w:val="222222"/>
          <w:sz w:val="22"/>
        </w:rPr>
        <w:t>The expert-quality score</w:t>
      </w:r>
      <w:r>
        <w:rPr>
          <w:rFonts w:ascii="Calibri" w:hAnsi="Calibri"/>
          <w:b w:val="0"/>
          <w:i w:val="0"/>
          <w:color w:val="222222"/>
          <w:sz w:val="22"/>
        </w:rPr>
        <w:t xml:space="preserve"> is the sum of these dimensions per reviewed relationship (0-8). Review a predeclared sample from each prompt version, blinded to prompt identity when feasible.</w:t>
      </w:r>
    </w:p>
    <w:p>
      <w:pPr>
        <w:pStyle w:val="Heading2"/>
        <w:keepNext/>
      </w:pPr>
      <w:r>
        <w:rPr>
          <w:rFonts w:ascii="Calibri" w:hAnsi="Calibri"/>
          <w:b/>
          <w:i w:val="0"/>
          <w:color w:val="2E74B5"/>
          <w:sz w:val="26"/>
        </w:rPr>
        <w:t>6.3 Efficiency metrics</w:t>
      </w:r>
    </w:p>
    <w:p>
      <w:pPr>
        <w:pStyle w:val="ListBullet"/>
        <w:spacing w:after="80" w:line="276" w:lineRule="auto"/>
      </w:pPr>
      <w:r>
        <w:rPr>
          <w:rFonts w:ascii="Calibri" w:hAnsi="Calibri"/>
          <w:b w:val="0"/>
          <w:i w:val="0"/>
          <w:color w:val="222222"/>
          <w:sz w:val="22"/>
        </w:rPr>
        <w:t>Median and mean end-to-end latency per notebook.</w:t>
      </w:r>
    </w:p>
    <w:p>
      <w:pPr>
        <w:pStyle w:val="ListBullet"/>
        <w:spacing w:after="80" w:line="276" w:lineRule="auto"/>
      </w:pPr>
      <w:r>
        <w:rPr>
          <w:rFonts w:ascii="Calibri" w:hAnsi="Calibri"/>
          <w:b w:val="0"/>
          <w:i w:val="0"/>
          <w:color w:val="222222"/>
          <w:sz w:val="22"/>
        </w:rPr>
        <w:t>Output tokens per notebook and, when available, total tokens.</w:t>
      </w:r>
    </w:p>
    <w:p>
      <w:pPr>
        <w:pStyle w:val="ListBullet"/>
        <w:spacing w:after="80" w:line="276" w:lineRule="auto"/>
      </w:pPr>
      <w:r>
        <w:rPr>
          <w:rFonts w:ascii="Calibri" w:hAnsi="Calibri"/>
          <w:b w:val="0"/>
          <w:i w:val="0"/>
          <w:color w:val="222222"/>
          <w:sz w:val="22"/>
        </w:rPr>
        <w:t>Estimated cost per notebook using the recorded model pricing at evaluation time.</w:t>
      </w:r>
    </w:p>
    <w:p>
      <w:pPr>
        <w:pStyle w:val="ListBullet"/>
        <w:spacing w:after="80" w:line="276" w:lineRule="auto"/>
      </w:pPr>
      <w:r>
        <w:rPr>
          <w:rFonts w:ascii="Calibri" w:hAnsi="Calibri"/>
          <w:b w:val="0"/>
          <w:i w:val="0"/>
          <w:color w:val="222222"/>
          <w:sz w:val="22"/>
        </w:rPr>
        <w:t>Average number of relationships returned and average number accepted after validation.</w:t>
      </w:r>
    </w:p>
    <w:p>
      <w:pPr>
        <w:pStyle w:val="Heading1"/>
        <w:keepNext/>
      </w:pPr>
      <w:r>
        <w:rPr>
          <w:rFonts w:ascii="Calibri" w:hAnsi="Calibri"/>
          <w:b/>
          <w:i w:val="0"/>
          <w:color w:val="2E74B5"/>
          <w:sz w:val="32"/>
        </w:rPr>
        <w:t>7. Error taxonomy</w:t>
      </w:r>
    </w:p>
    <w:p>
      <w:pPr>
        <w:keepLines/>
      </w:pPr>
      <w:r>
        <w:rPr>
          <w:rFonts w:ascii="Calibri" w:hAnsi="Calibri"/>
          <w:b w:val="0"/>
          <w:i w:val="0"/>
          <w:color w:val="222222"/>
          <w:sz w:val="22"/>
        </w:rPr>
        <w:t>Every rejected relationship or missed gold relationship must receive one primary error label. The taxonomy turns aggregate scores into concrete prompt-improvement evidence.</w:t>
      </w:r>
    </w:p>
    <w:tbl>
      <w:tblPr>
        <w:tblStyle w:val="TableGrid"/>
        <w:tblW w:type="dxa" w:w="9360"/>
        <w:jc w:val="left"/>
        <w:tblLayout w:type="fixed"/>
        <w:tblLook w:firstColumn="1" w:firstRow="1" w:lastColumn="0" w:lastRow="0" w:noHBand="0" w:noVBand="1" w:val="04A0"/>
        <w:tblInd w:w="120" w:type="dxa"/>
      </w:tblPr>
      <w:tblGrid>
        <w:gridCol w:w="1300"/>
        <w:gridCol w:w="2250"/>
        <w:gridCol w:w="5810"/>
      </w:tblGrid>
      <w:tr>
        <w:trPr>
          <w:tblHeader w:val="true"/>
        </w:trPr>
        <w:tc>
          <w:tcPr>
            <w:tcW w:type="dxa" w:w="1300"/>
            <w:tcMar>
              <w:top w:w="80" w:type="dxa"/>
              <w:start w:w="120" w:type="dxa"/>
              <w:bottom w:w="80" w:type="dxa"/>
              <w:end w:w="120" w:type="dxa"/>
            </w:tcMar>
            <w:vAlign w:val="center"/>
            <w:shd w:fill="E8EEF5"/>
          </w:tcPr>
          <w:p>
            <w:pPr>
              <w:spacing w:after="0"/>
            </w:pPr>
            <w:r>
              <w:rPr>
                <w:rFonts w:ascii="Calibri" w:hAnsi="Calibri"/>
                <w:b/>
                <w:i w:val="0"/>
                <w:color w:val="1F4D78"/>
                <w:sz w:val="19"/>
              </w:rPr>
              <w:t>Code</w:t>
            </w:r>
          </w:p>
        </w:tc>
        <w:tc>
          <w:tcPr>
            <w:tcW w:type="dxa" w:w="2250"/>
            <w:tcMar>
              <w:top w:w="80" w:type="dxa"/>
              <w:start w:w="120" w:type="dxa"/>
              <w:bottom w:w="80" w:type="dxa"/>
              <w:end w:w="120" w:type="dxa"/>
            </w:tcMar>
            <w:vAlign w:val="center"/>
            <w:shd w:fill="E8EEF5"/>
          </w:tcPr>
          <w:p>
            <w:pPr>
              <w:spacing w:after="0"/>
            </w:pPr>
            <w:r>
              <w:rPr>
                <w:rFonts w:ascii="Calibri" w:hAnsi="Calibri"/>
                <w:b/>
                <w:i w:val="0"/>
                <w:color w:val="1F4D78"/>
                <w:sz w:val="19"/>
              </w:rPr>
              <w:t>Error category</w:t>
            </w:r>
          </w:p>
        </w:tc>
        <w:tc>
          <w:tcPr>
            <w:tcW w:type="dxa" w:w="5810"/>
            <w:tcMar>
              <w:top w:w="80" w:type="dxa"/>
              <w:start w:w="120" w:type="dxa"/>
              <w:bottom w:w="80" w:type="dxa"/>
              <w:end w:w="120" w:type="dxa"/>
            </w:tcMar>
            <w:vAlign w:val="center"/>
            <w:shd w:fill="E8EEF5"/>
          </w:tcPr>
          <w:p>
            <w:pPr>
              <w:spacing w:after="0"/>
            </w:pPr>
            <w:r>
              <w:rPr>
                <w:rFonts w:ascii="Calibri" w:hAnsi="Calibri"/>
                <w:b/>
                <w:i w:val="0"/>
                <w:color w:val="1F4D78"/>
                <w:sz w:val="19"/>
              </w:rPr>
              <w:t>Definition</w:t>
            </w:r>
          </w:p>
        </w:tc>
      </w:tr>
      <w:tr>
        <w:tc>
          <w:tcPr>
            <w:tcW w:type="dxa" w:w="1300"/>
          </w:tcPr>
          <w:p>
            <w:pPr>
              <w:spacing w:after="0"/>
            </w:pPr>
            <w:r>
              <w:rPr>
                <w:rFonts w:ascii="Calibri" w:hAnsi="Calibri"/>
                <w:b w:val="0"/>
                <w:i w:val="0"/>
                <w:color w:val="222222"/>
                <w:sz w:val="19"/>
              </w:rPr>
              <w:t>FP-TOPIC</w:t>
            </w:r>
          </w:p>
        </w:tc>
        <w:tc>
          <w:tcPr>
            <w:tcW w:type="dxa" w:w="2250"/>
          </w:tcPr>
          <w:p>
            <w:pPr>
              <w:spacing w:after="0"/>
            </w:pPr>
            <w:r>
              <w:rPr>
                <w:rFonts w:ascii="Calibri" w:hAnsi="Calibri"/>
                <w:b w:val="0"/>
                <w:i w:val="0"/>
                <w:color w:val="222222"/>
                <w:sz w:val="19"/>
              </w:rPr>
              <w:t>Topical false positive</w:t>
            </w:r>
          </w:p>
        </w:tc>
        <w:tc>
          <w:tcPr>
            <w:tcW w:type="dxa" w:w="5810"/>
          </w:tcPr>
          <w:p>
            <w:pPr>
              <w:spacing w:after="0"/>
            </w:pPr>
            <w:r>
              <w:rPr>
                <w:rFonts w:ascii="Calibri" w:hAnsi="Calibri"/>
                <w:b w:val="0"/>
                <w:i w:val="0"/>
                <w:color w:val="222222"/>
                <w:sz w:val="19"/>
              </w:rPr>
              <w:t>Markdown and code share broad subject matter but do not document, explain, or interpret one another.</w:t>
            </w:r>
          </w:p>
        </w:tc>
      </w:tr>
      <w:tr>
        <w:tc>
          <w:tcPr>
            <w:tcW w:type="dxa" w:w="1300"/>
          </w:tcPr>
          <w:p>
            <w:pPr>
              <w:spacing w:after="0"/>
            </w:pPr>
            <w:r>
              <w:rPr>
                <w:rFonts w:ascii="Calibri" w:hAnsi="Calibri"/>
                <w:b w:val="0"/>
                <w:i w:val="0"/>
                <w:color w:val="222222"/>
                <w:sz w:val="19"/>
              </w:rPr>
              <w:t>FN-MISS</w:t>
            </w:r>
          </w:p>
        </w:tc>
        <w:tc>
          <w:tcPr>
            <w:tcW w:type="dxa" w:w="2250"/>
          </w:tcPr>
          <w:p>
            <w:pPr>
              <w:spacing w:after="0"/>
            </w:pPr>
            <w:r>
              <w:rPr>
                <w:rFonts w:ascii="Calibri" w:hAnsi="Calibri"/>
                <w:b w:val="0"/>
                <w:i w:val="0"/>
                <w:color w:val="222222"/>
                <w:sz w:val="19"/>
              </w:rPr>
              <w:t>Missed relationship</w:t>
            </w:r>
          </w:p>
        </w:tc>
        <w:tc>
          <w:tcPr>
            <w:tcW w:type="dxa" w:w="5810"/>
          </w:tcPr>
          <w:p>
            <w:pPr>
              <w:spacing w:after="0"/>
            </w:pPr>
            <w:r>
              <w:rPr>
                <w:rFonts w:ascii="Calibri" w:hAnsi="Calibri"/>
                <w:b w:val="0"/>
                <w:i w:val="0"/>
                <w:color w:val="222222"/>
                <w:sz w:val="19"/>
              </w:rPr>
              <w:t>Gold relationship absent from the model output.</w:t>
            </w:r>
          </w:p>
        </w:tc>
      </w:tr>
      <w:tr>
        <w:tc>
          <w:tcPr>
            <w:tcW w:type="dxa" w:w="1300"/>
          </w:tcPr>
          <w:p>
            <w:pPr>
              <w:spacing w:after="0"/>
            </w:pPr>
            <w:r>
              <w:rPr>
                <w:rFonts w:ascii="Calibri" w:hAnsi="Calibri"/>
                <w:b w:val="0"/>
                <w:i w:val="0"/>
                <w:color w:val="222222"/>
                <w:sz w:val="19"/>
              </w:rPr>
              <w:t>PAIR-WRONG</w:t>
            </w:r>
          </w:p>
        </w:tc>
        <w:tc>
          <w:tcPr>
            <w:tcW w:type="dxa" w:w="2250"/>
          </w:tcPr>
          <w:p>
            <w:pPr>
              <w:spacing w:after="0"/>
            </w:pPr>
            <w:r>
              <w:rPr>
                <w:rFonts w:ascii="Calibri" w:hAnsi="Calibri"/>
                <w:b w:val="0"/>
                <w:i w:val="0"/>
                <w:color w:val="222222"/>
                <w:sz w:val="19"/>
              </w:rPr>
              <w:t>Wrong cell pairing</w:t>
            </w:r>
          </w:p>
        </w:tc>
        <w:tc>
          <w:tcPr>
            <w:tcW w:type="dxa" w:w="5810"/>
          </w:tcPr>
          <w:p>
            <w:pPr>
              <w:spacing w:after="0"/>
            </w:pPr>
            <w:r>
              <w:rPr>
                <w:rFonts w:ascii="Calibri" w:hAnsi="Calibri"/>
                <w:b w:val="0"/>
                <w:i w:val="0"/>
                <w:color w:val="222222"/>
                <w:sz w:val="19"/>
              </w:rPr>
              <w:t>A relationship exists, but the linked Markdown or code cell is incorrect.</w:t>
            </w:r>
          </w:p>
        </w:tc>
      </w:tr>
      <w:tr>
        <w:tc>
          <w:tcPr>
            <w:tcW w:type="dxa" w:w="1300"/>
          </w:tcPr>
          <w:p>
            <w:pPr>
              <w:spacing w:after="0"/>
            </w:pPr>
            <w:r>
              <w:rPr>
                <w:rFonts w:ascii="Calibri" w:hAnsi="Calibri"/>
                <w:b w:val="0"/>
                <w:i w:val="0"/>
                <w:color w:val="222222"/>
                <w:sz w:val="19"/>
              </w:rPr>
              <w:t>TYPE-WRONG</w:t>
            </w:r>
          </w:p>
        </w:tc>
        <w:tc>
          <w:tcPr>
            <w:tcW w:type="dxa" w:w="2250"/>
          </w:tcPr>
          <w:p>
            <w:pPr>
              <w:spacing w:after="0"/>
            </w:pPr>
            <w:r>
              <w:rPr>
                <w:rFonts w:ascii="Calibri" w:hAnsi="Calibri"/>
                <w:b w:val="0"/>
                <w:i w:val="0"/>
                <w:color w:val="222222"/>
                <w:sz w:val="19"/>
              </w:rPr>
              <w:t>Wrong relationship type</w:t>
            </w:r>
          </w:p>
        </w:tc>
        <w:tc>
          <w:tcPr>
            <w:tcW w:type="dxa" w:w="5810"/>
          </w:tcPr>
          <w:p>
            <w:pPr>
              <w:spacing w:after="0"/>
            </w:pPr>
            <w:r>
              <w:rPr>
                <w:rFonts w:ascii="Calibri" w:hAnsi="Calibri"/>
                <w:b w:val="0"/>
                <w:i w:val="0"/>
                <w:color w:val="222222"/>
                <w:sz w:val="19"/>
              </w:rPr>
              <w:t>Correct evidence pair assigned an incorrect semantic category.</w:t>
            </w:r>
          </w:p>
        </w:tc>
      </w:tr>
      <w:tr>
        <w:tc>
          <w:tcPr>
            <w:tcW w:type="dxa" w:w="1300"/>
          </w:tcPr>
          <w:p>
            <w:pPr>
              <w:spacing w:after="0"/>
            </w:pPr>
            <w:r>
              <w:rPr>
                <w:rFonts w:ascii="Calibri" w:hAnsi="Calibri"/>
                <w:b w:val="0"/>
                <w:i w:val="0"/>
                <w:color w:val="222222"/>
                <w:sz w:val="19"/>
              </w:rPr>
              <w:t>SPAN-BROAD</w:t>
            </w:r>
          </w:p>
        </w:tc>
        <w:tc>
          <w:tcPr>
            <w:tcW w:type="dxa" w:w="2250"/>
          </w:tcPr>
          <w:p>
            <w:pPr>
              <w:spacing w:after="0"/>
            </w:pPr>
            <w:r>
              <w:rPr>
                <w:rFonts w:ascii="Calibri" w:hAnsi="Calibri"/>
                <w:b w:val="0"/>
                <w:i w:val="0"/>
                <w:color w:val="222222"/>
                <w:sz w:val="19"/>
              </w:rPr>
              <w:t>Over-broad evidence</w:t>
            </w:r>
          </w:p>
        </w:tc>
        <w:tc>
          <w:tcPr>
            <w:tcW w:type="dxa" w:w="5810"/>
          </w:tcPr>
          <w:p>
            <w:pPr>
              <w:spacing w:after="0"/>
            </w:pPr>
            <w:r>
              <w:rPr>
                <w:rFonts w:ascii="Calibri" w:hAnsi="Calibri"/>
                <w:b w:val="0"/>
                <w:i w:val="0"/>
                <w:color w:val="222222"/>
                <w:sz w:val="19"/>
              </w:rPr>
              <w:t>Evidence is valid but not the smallest meaningful span.</w:t>
            </w:r>
          </w:p>
        </w:tc>
      </w:tr>
      <w:tr>
        <w:tc>
          <w:tcPr>
            <w:tcW w:type="dxa" w:w="1300"/>
          </w:tcPr>
          <w:p>
            <w:pPr>
              <w:spacing w:after="0"/>
            </w:pPr>
            <w:r>
              <w:rPr>
                <w:rFonts w:ascii="Calibri" w:hAnsi="Calibri"/>
                <w:b w:val="0"/>
                <w:i w:val="0"/>
                <w:color w:val="222222"/>
                <w:sz w:val="19"/>
              </w:rPr>
              <w:t>SPAN-INVALID</w:t>
            </w:r>
          </w:p>
        </w:tc>
        <w:tc>
          <w:tcPr>
            <w:tcW w:type="dxa" w:w="2250"/>
          </w:tcPr>
          <w:p>
            <w:pPr>
              <w:spacing w:after="0"/>
            </w:pPr>
            <w:r>
              <w:rPr>
                <w:rFonts w:ascii="Calibri" w:hAnsi="Calibri"/>
                <w:b w:val="0"/>
                <w:i w:val="0"/>
                <w:color w:val="222222"/>
                <w:sz w:val="19"/>
              </w:rPr>
              <w:t>Invalid evidence</w:t>
            </w:r>
          </w:p>
        </w:tc>
        <w:tc>
          <w:tcPr>
            <w:tcW w:type="dxa" w:w="5810"/>
          </w:tcPr>
          <w:p>
            <w:pPr>
              <w:spacing w:after="0"/>
            </w:pPr>
            <w:r>
              <w:rPr>
                <w:rFonts w:ascii="Calibri" w:hAnsi="Calibri"/>
                <w:b w:val="0"/>
                <w:i w:val="0"/>
                <w:color w:val="222222"/>
                <w:sz w:val="19"/>
              </w:rPr>
              <w:t>Paraphrased, non-contiguous, or absent source text.</w:t>
            </w:r>
          </w:p>
        </w:tc>
      </w:tr>
      <w:tr>
        <w:tc>
          <w:tcPr>
            <w:tcW w:type="dxa" w:w="1300"/>
          </w:tcPr>
          <w:p>
            <w:pPr>
              <w:spacing w:after="0"/>
            </w:pPr>
            <w:r>
              <w:rPr>
                <w:rFonts w:ascii="Calibri" w:hAnsi="Calibri"/>
                <w:b w:val="0"/>
                <w:i w:val="0"/>
                <w:color w:val="222222"/>
                <w:sz w:val="19"/>
              </w:rPr>
              <w:t>ID-INVALID</w:t>
            </w:r>
          </w:p>
        </w:tc>
        <w:tc>
          <w:tcPr>
            <w:tcW w:type="dxa" w:w="2250"/>
          </w:tcPr>
          <w:p>
            <w:pPr>
              <w:spacing w:after="0"/>
            </w:pPr>
            <w:r>
              <w:rPr>
                <w:rFonts w:ascii="Calibri" w:hAnsi="Calibri"/>
                <w:b w:val="0"/>
                <w:i w:val="0"/>
                <w:color w:val="222222"/>
                <w:sz w:val="19"/>
              </w:rPr>
              <w:t>Identifier or index error</w:t>
            </w:r>
          </w:p>
        </w:tc>
        <w:tc>
          <w:tcPr>
            <w:tcW w:type="dxa" w:w="5810"/>
          </w:tcPr>
          <w:p>
            <w:pPr>
              <w:spacing w:after="0"/>
            </w:pPr>
            <w:r>
              <w:rPr>
                <w:rFonts w:ascii="Calibri" w:hAnsi="Calibri"/>
                <w:b w:val="0"/>
                <w:i w:val="0"/>
                <w:color w:val="222222"/>
                <w:sz w:val="19"/>
              </w:rPr>
              <w:t>Cell identifier/index does not match submitted input.</w:t>
            </w:r>
          </w:p>
        </w:tc>
      </w:tr>
      <w:tr>
        <w:tc>
          <w:tcPr>
            <w:tcW w:type="dxa" w:w="1300"/>
          </w:tcPr>
          <w:p>
            <w:pPr>
              <w:spacing w:after="0"/>
            </w:pPr>
            <w:r>
              <w:rPr>
                <w:rFonts w:ascii="Calibri" w:hAnsi="Calibri"/>
                <w:b w:val="0"/>
                <w:i w:val="0"/>
                <w:color w:val="222222"/>
                <w:sz w:val="19"/>
              </w:rPr>
              <w:t>HALLUCINATION</w:t>
            </w:r>
          </w:p>
        </w:tc>
        <w:tc>
          <w:tcPr>
            <w:tcW w:type="dxa" w:w="2250"/>
          </w:tcPr>
          <w:p>
            <w:pPr>
              <w:spacing w:after="0"/>
            </w:pPr>
            <w:r>
              <w:rPr>
                <w:rFonts w:ascii="Calibri" w:hAnsi="Calibri"/>
                <w:b w:val="0"/>
                <w:i w:val="0"/>
                <w:color w:val="222222"/>
                <w:sz w:val="19"/>
              </w:rPr>
              <w:t>Hallucinated assertion</w:t>
            </w:r>
          </w:p>
        </w:tc>
        <w:tc>
          <w:tcPr>
            <w:tcW w:type="dxa" w:w="5810"/>
          </w:tcPr>
          <w:p>
            <w:pPr>
              <w:spacing w:after="0"/>
            </w:pPr>
            <w:r>
              <w:rPr>
                <w:rFonts w:ascii="Calibri" w:hAnsi="Calibri"/>
                <w:b w:val="0"/>
                <w:i w:val="0"/>
                <w:color w:val="222222"/>
                <w:sz w:val="19"/>
              </w:rPr>
              <w:t>Reason claims a relation not supported by selected source text.</w:t>
            </w:r>
          </w:p>
        </w:tc>
      </w:tr>
      <w:tr>
        <w:tc>
          <w:tcPr>
            <w:tcW w:type="dxa" w:w="1300"/>
          </w:tcPr>
          <w:p>
            <w:pPr>
              <w:spacing w:after="0"/>
            </w:pPr>
            <w:r>
              <w:rPr>
                <w:rFonts w:ascii="Calibri" w:hAnsi="Calibri"/>
                <w:b w:val="0"/>
                <w:i w:val="0"/>
                <w:color w:val="222222"/>
                <w:sz w:val="19"/>
              </w:rPr>
              <w:t>ABSTAIN-FAIL</w:t>
            </w:r>
          </w:p>
        </w:tc>
        <w:tc>
          <w:tcPr>
            <w:tcW w:type="dxa" w:w="2250"/>
          </w:tcPr>
          <w:p>
            <w:pPr>
              <w:spacing w:after="0"/>
            </w:pPr>
            <w:r>
              <w:rPr>
                <w:rFonts w:ascii="Calibri" w:hAnsi="Calibri"/>
                <w:b w:val="0"/>
                <w:i w:val="0"/>
                <w:color w:val="222222"/>
                <w:sz w:val="19"/>
              </w:rPr>
              <w:t>Unsafe non-abstention</w:t>
            </w:r>
          </w:p>
        </w:tc>
        <w:tc>
          <w:tcPr>
            <w:tcW w:type="dxa" w:w="5810"/>
          </w:tcPr>
          <w:p>
            <w:pPr>
              <w:spacing w:after="0"/>
            </w:pPr>
            <w:r>
              <w:rPr>
                <w:rFonts w:ascii="Calibri" w:hAnsi="Calibri"/>
                <w:b w:val="0"/>
                <w:i w:val="0"/>
                <w:color w:val="222222"/>
                <w:sz w:val="19"/>
              </w:rPr>
              <w:t>Model links ambiguous material that should remain unlinked.</w:t>
            </w:r>
          </w:p>
        </w:tc>
      </w:tr>
    </w:tbl>
    <w:p>
      <w:pPr>
        <w:spacing w:after="60"/>
      </w:pPr>
    </w:p>
    <w:p>
      <w:pPr>
        <w:pStyle w:val="Heading1"/>
        <w:keepNext/>
      </w:pPr>
      <w:r>
        <w:rPr>
          <w:rFonts w:ascii="Calibri" w:hAnsi="Calibri"/>
          <w:b/>
          <w:i w:val="0"/>
          <w:color w:val="2E74B5"/>
          <w:sz w:val="32"/>
        </w:rPr>
        <w:t>8. Annotation and quality-control workflow</w:t>
      </w:r>
    </w:p>
    <w:p>
      <w:pPr>
        <w:pStyle w:val="ListNumber"/>
        <w:spacing w:after="80" w:line="276" w:lineRule="auto"/>
      </w:pPr>
      <w:r>
        <w:rPr>
          <w:rFonts w:ascii="Calibri" w:hAnsi="Calibri"/>
          <w:b w:val="0"/>
          <w:i w:val="0"/>
          <w:color w:val="222222"/>
          <w:sz w:val="22"/>
        </w:rPr>
        <w:t>Create gold labels independently of Prompt v1 results whenever possible.</w:t>
      </w:r>
    </w:p>
    <w:p>
      <w:pPr>
        <w:pStyle w:val="ListNumber"/>
        <w:spacing w:after="80" w:line="276" w:lineRule="auto"/>
      </w:pPr>
      <w:r>
        <w:rPr>
          <w:rFonts w:ascii="Calibri" w:hAnsi="Calibri"/>
          <w:b w:val="0"/>
          <w:i w:val="0"/>
          <w:color w:val="222222"/>
          <w:sz w:val="22"/>
        </w:rPr>
        <w:t>Have a domain reviewer label relationships and explicitly mark no-link cases.</w:t>
      </w:r>
    </w:p>
    <w:p>
      <w:pPr>
        <w:pStyle w:val="ListNumber"/>
        <w:spacing w:after="80" w:line="276" w:lineRule="auto"/>
      </w:pPr>
      <w:r>
        <w:rPr>
          <w:rFonts w:ascii="Calibri" w:hAnsi="Calibri"/>
          <w:b w:val="0"/>
          <w:i w:val="0"/>
          <w:color w:val="222222"/>
          <w:sz w:val="22"/>
        </w:rPr>
        <w:t>For disputed labels, record the decision rule and produce one adjudicated gold version.</w:t>
      </w:r>
    </w:p>
    <w:p>
      <w:pPr>
        <w:pStyle w:val="ListNumber"/>
        <w:spacing w:after="80" w:line="276" w:lineRule="auto"/>
      </w:pPr>
      <w:r>
        <w:rPr>
          <w:rFonts w:ascii="Calibri" w:hAnsi="Calibri"/>
          <w:b w:val="0"/>
          <w:i w:val="0"/>
          <w:color w:val="222222"/>
          <w:sz w:val="22"/>
        </w:rPr>
        <w:t>Freeze the held-out set before running the comparative evaluation.</w:t>
      </w:r>
    </w:p>
    <w:p>
      <w:pPr>
        <w:pStyle w:val="ListNumber"/>
        <w:spacing w:after="80" w:line="276" w:lineRule="auto"/>
      </w:pPr>
      <w:r>
        <w:rPr>
          <w:rFonts w:ascii="Calibri" w:hAnsi="Calibri"/>
          <w:b w:val="0"/>
          <w:i w:val="0"/>
          <w:color w:val="222222"/>
          <w:sz w:val="22"/>
        </w:rPr>
        <w:t>Validate raw model output against the JSON schema and LinkMaker's verbatim-span checks.</w:t>
      </w:r>
    </w:p>
    <w:p>
      <w:pPr>
        <w:pStyle w:val="ListNumber"/>
        <w:spacing w:after="80" w:line="276" w:lineRule="auto"/>
      </w:pPr>
      <w:r>
        <w:rPr>
          <w:rFonts w:ascii="Calibri" w:hAnsi="Calibri"/>
          <w:b w:val="0"/>
          <w:i w:val="0"/>
          <w:color w:val="222222"/>
          <w:sz w:val="22"/>
        </w:rPr>
        <w:t>Compute metrics automatically; perform blinded expert review for the declared qualitative sample.</w:t>
      </w:r>
    </w:p>
    <w:p>
      <w:pPr>
        <w:pStyle w:val="ListNumber"/>
        <w:spacing w:after="80" w:line="276" w:lineRule="auto"/>
      </w:pPr>
      <w:r>
        <w:rPr>
          <w:rFonts w:ascii="Calibri" w:hAnsi="Calibri"/>
          <w:b w:val="0"/>
          <w:i w:val="0"/>
          <w:color w:val="222222"/>
          <w:sz w:val="22"/>
        </w:rPr>
        <w:t>Publish aggregate results, per-case records, error distribution, and all configuration metadata.</w:t>
      </w:r>
    </w:p>
    <w:p>
      <w:pPr>
        <w:pStyle w:val="Heading1"/>
        <w:keepNext/>
      </w:pPr>
      <w:r>
        <w:rPr>
          <w:rFonts w:ascii="Calibri" w:hAnsi="Calibri"/>
          <w:b/>
          <w:i w:val="0"/>
          <w:color w:val="2E74B5"/>
          <w:sz w:val="32"/>
        </w:rPr>
        <w:t>9. Comparative analysis and statistical reporting</w:t>
      </w:r>
    </w:p>
    <w:p>
      <w:pPr>
        <w:keepLines/>
      </w:pPr>
      <w:r>
        <w:rPr>
          <w:rFonts w:ascii="Calibri" w:hAnsi="Calibri"/>
          <w:b w:val="0"/>
          <w:i w:val="0"/>
          <w:color w:val="222222"/>
          <w:sz w:val="22"/>
        </w:rPr>
        <w:t>For binary outcomes such as exact-match success, schema validity, and valid-evidence success, compare Prompt v1 and Prompt v0 using the absolute proportion difference. Report a 95% confidence interval for the difference. When the sample size and independence assumptions are adequate, report a two-sided significance test as an additional indicator, using a threshold of p &lt; 0.05.</w:t>
      </w:r>
    </w:p>
    <w:p>
      <w:pPr>
        <w:keepLines/>
      </w:pPr>
      <w:r>
        <w:rPr>
          <w:rFonts w:ascii="Calibri" w:hAnsi="Calibri"/>
          <w:b w:val="0"/>
          <w:i w:val="0"/>
          <w:color w:val="222222"/>
          <w:sz w:val="22"/>
        </w:rPr>
        <w:t>Because both prompts are normally evaluated on the same notebooks, a paired comparison is preferable at the notebook level. For each notebook, record whether v0 and v1 pass the selected criterion. McNemar's test is suitable for paired binary outcomes. For continuous paired outcomes such as latency or reviewer score, report the paired difference, its confidence interval, and a paired test appropriate to the observed distribution.</w:t>
      </w:r>
    </w:p>
    <w:p>
      <w:pPr>
        <w:pStyle w:val="Heading2"/>
        <w:keepNext/>
      </w:pPr>
      <w:r>
        <w:rPr>
          <w:rFonts w:ascii="Calibri" w:hAnsi="Calibri"/>
          <w:b/>
          <w:i w:val="0"/>
          <w:color w:val="2E74B5"/>
          <w:sz w:val="26"/>
        </w:rPr>
        <w:t>9.1 Final reporting table</w:t>
      </w:r>
    </w:p>
    <w:tbl>
      <w:tblPr>
        <w:tblStyle w:val="TableGrid"/>
        <w:tblW w:type="dxa" w:w="9360"/>
        <w:jc w:val="left"/>
        <w:tblLayout w:type="fixed"/>
        <w:tblLook w:firstColumn="1" w:firstRow="1" w:lastColumn="0" w:lastRow="0" w:noHBand="0" w:noVBand="1" w:val="04A0"/>
        <w:tblInd w:w="120" w:type="dxa"/>
      </w:tblPr>
      <w:tblGrid>
        <w:gridCol w:w="2050"/>
        <w:gridCol w:w="1550"/>
        <w:gridCol w:w="1550"/>
        <w:gridCol w:w="1900"/>
        <w:gridCol w:w="2310"/>
      </w:tblGrid>
      <w:tr>
        <w:trPr>
          <w:tblHeader w:val="true"/>
        </w:trPr>
        <w:tc>
          <w:tcPr>
            <w:tcW w:type="dxa" w:w="2050"/>
            <w:tcMar>
              <w:top w:w="80" w:type="dxa"/>
              <w:start w:w="120" w:type="dxa"/>
              <w:bottom w:w="80" w:type="dxa"/>
              <w:end w:w="120" w:type="dxa"/>
            </w:tcMar>
            <w:vAlign w:val="center"/>
            <w:shd w:fill="E8EEF5"/>
          </w:tcPr>
          <w:p>
            <w:pPr>
              <w:spacing w:after="0"/>
            </w:pPr>
            <w:r>
              <w:rPr>
                <w:rFonts w:ascii="Calibri" w:hAnsi="Calibri"/>
                <w:b/>
                <w:i w:val="0"/>
                <w:color w:val="1F4D78"/>
                <w:sz w:val="19"/>
              </w:rPr>
              <w:t>Metric</w:t>
            </w:r>
          </w:p>
        </w:tc>
        <w:tc>
          <w:tcPr>
            <w:tcW w:type="dxa" w:w="1550"/>
            <w:tcMar>
              <w:top w:w="80" w:type="dxa"/>
              <w:start w:w="120" w:type="dxa"/>
              <w:bottom w:w="80" w:type="dxa"/>
              <w:end w:w="120" w:type="dxa"/>
            </w:tcMar>
            <w:vAlign w:val="center"/>
            <w:shd w:fill="E8EEF5"/>
          </w:tcPr>
          <w:p>
            <w:pPr>
              <w:spacing w:after="0"/>
            </w:pPr>
            <w:r>
              <w:rPr>
                <w:rFonts w:ascii="Calibri" w:hAnsi="Calibri"/>
                <w:b/>
                <w:i w:val="0"/>
                <w:color w:val="1F4D78"/>
                <w:sz w:val="19"/>
              </w:rPr>
              <w:t>Prompt v0</w:t>
            </w:r>
          </w:p>
        </w:tc>
        <w:tc>
          <w:tcPr>
            <w:tcW w:type="dxa" w:w="1550"/>
            <w:tcMar>
              <w:top w:w="80" w:type="dxa"/>
              <w:start w:w="120" w:type="dxa"/>
              <w:bottom w:w="80" w:type="dxa"/>
              <w:end w:w="120" w:type="dxa"/>
            </w:tcMar>
            <w:vAlign w:val="center"/>
            <w:shd w:fill="E8EEF5"/>
          </w:tcPr>
          <w:p>
            <w:pPr>
              <w:spacing w:after="0"/>
            </w:pPr>
            <w:r>
              <w:rPr>
                <w:rFonts w:ascii="Calibri" w:hAnsi="Calibri"/>
                <w:b/>
                <w:i w:val="0"/>
                <w:color w:val="1F4D78"/>
                <w:sz w:val="19"/>
              </w:rPr>
              <w:t>Prompt v1</w:t>
            </w:r>
          </w:p>
        </w:tc>
        <w:tc>
          <w:tcPr>
            <w:tcW w:type="dxa" w:w="1900"/>
            <w:tcMar>
              <w:top w:w="80" w:type="dxa"/>
              <w:start w:w="120" w:type="dxa"/>
              <w:bottom w:w="80" w:type="dxa"/>
              <w:end w:w="120" w:type="dxa"/>
            </w:tcMar>
            <w:vAlign w:val="center"/>
            <w:shd w:fill="E8EEF5"/>
          </w:tcPr>
          <w:p>
            <w:pPr>
              <w:spacing w:after="0"/>
            </w:pPr>
            <w:r>
              <w:rPr>
                <w:rFonts w:ascii="Calibri" w:hAnsi="Calibri"/>
                <w:b/>
                <w:i w:val="0"/>
                <w:color w:val="1F4D78"/>
                <w:sz w:val="19"/>
              </w:rPr>
              <w:t>Delta (v1-v0)</w:t>
            </w:r>
          </w:p>
        </w:tc>
        <w:tc>
          <w:tcPr>
            <w:tcW w:type="dxa" w:w="2310"/>
            <w:tcMar>
              <w:top w:w="80" w:type="dxa"/>
              <w:start w:w="120" w:type="dxa"/>
              <w:bottom w:w="80" w:type="dxa"/>
              <w:end w:w="120" w:type="dxa"/>
            </w:tcMar>
            <w:vAlign w:val="center"/>
            <w:shd w:fill="E8EEF5"/>
          </w:tcPr>
          <w:p>
            <w:pPr>
              <w:spacing w:after="0"/>
            </w:pPr>
            <w:r>
              <w:rPr>
                <w:rFonts w:ascii="Calibri" w:hAnsi="Calibri"/>
                <w:b/>
                <w:i w:val="0"/>
                <w:color w:val="1F4D78"/>
                <w:sz w:val="19"/>
              </w:rPr>
              <w:t>95% CI / p-value</w:t>
            </w:r>
          </w:p>
        </w:tc>
      </w:tr>
      <w:tr>
        <w:tc>
          <w:tcPr>
            <w:tcW w:type="dxa" w:w="2050"/>
          </w:tcPr>
          <w:p>
            <w:pPr>
              <w:spacing w:after="0"/>
            </w:pPr>
            <w:r>
              <w:rPr>
                <w:rFonts w:ascii="Calibri" w:hAnsi="Calibri"/>
                <w:b w:val="0"/>
                <w:i w:val="0"/>
                <w:color w:val="222222"/>
                <w:sz w:val="19"/>
              </w:rPr>
              <w:t>Precision</w:t>
            </w:r>
          </w:p>
        </w:tc>
        <w:tc>
          <w:tcPr>
            <w:tcW w:type="dxa" w:w="1550"/>
          </w:tcPr>
          <w:p>
            <w:pPr>
              <w:spacing w:after="0"/>
            </w:pPr>
            <w:r>
              <w:rPr>
                <w:rFonts w:ascii="Calibri" w:hAnsi="Calibri"/>
                <w:b w:val="0"/>
                <w:i w:val="0"/>
                <w:color w:val="222222"/>
                <w:sz w:val="19"/>
              </w:rPr>
            </w:r>
          </w:p>
        </w:tc>
        <w:tc>
          <w:tcPr>
            <w:tcW w:type="dxa" w:w="1550"/>
          </w:tcPr>
          <w:p>
            <w:pPr>
              <w:spacing w:after="0"/>
            </w:pPr>
            <w:r>
              <w:rPr>
                <w:rFonts w:ascii="Calibri" w:hAnsi="Calibri"/>
                <w:b w:val="0"/>
                <w:i w:val="0"/>
                <w:color w:val="222222"/>
                <w:sz w:val="19"/>
              </w:rPr>
            </w:r>
          </w:p>
        </w:tc>
        <w:tc>
          <w:tcPr>
            <w:tcW w:type="dxa" w:w="1900"/>
          </w:tcPr>
          <w:p>
            <w:pPr>
              <w:spacing w:after="0"/>
            </w:pPr>
            <w:r>
              <w:rPr>
                <w:rFonts w:ascii="Calibri" w:hAnsi="Calibri"/>
                <w:b w:val="0"/>
                <w:i w:val="0"/>
                <w:color w:val="222222"/>
                <w:sz w:val="19"/>
              </w:rPr>
            </w:r>
          </w:p>
        </w:tc>
        <w:tc>
          <w:tcPr>
            <w:tcW w:type="dxa" w:w="2310"/>
          </w:tcPr>
          <w:p>
            <w:pPr>
              <w:spacing w:after="0"/>
            </w:pPr>
            <w:r>
              <w:rPr>
                <w:rFonts w:ascii="Calibri" w:hAnsi="Calibri"/>
                <w:b w:val="0"/>
                <w:i w:val="0"/>
                <w:color w:val="222222"/>
                <w:sz w:val="19"/>
              </w:rPr>
            </w:r>
          </w:p>
        </w:tc>
      </w:tr>
      <w:tr>
        <w:tc>
          <w:tcPr>
            <w:tcW w:type="dxa" w:w="2050"/>
          </w:tcPr>
          <w:p>
            <w:pPr>
              <w:spacing w:after="0"/>
            </w:pPr>
            <w:r>
              <w:rPr>
                <w:rFonts w:ascii="Calibri" w:hAnsi="Calibri"/>
                <w:b w:val="0"/>
                <w:i w:val="0"/>
                <w:color w:val="222222"/>
                <w:sz w:val="19"/>
              </w:rPr>
              <w:t>Recall</w:t>
            </w:r>
          </w:p>
        </w:tc>
        <w:tc>
          <w:tcPr>
            <w:tcW w:type="dxa" w:w="1550"/>
          </w:tcPr>
          <w:p>
            <w:pPr>
              <w:spacing w:after="0"/>
            </w:pPr>
            <w:r>
              <w:rPr>
                <w:rFonts w:ascii="Calibri" w:hAnsi="Calibri"/>
                <w:b w:val="0"/>
                <w:i w:val="0"/>
                <w:color w:val="222222"/>
                <w:sz w:val="19"/>
              </w:rPr>
            </w:r>
          </w:p>
        </w:tc>
        <w:tc>
          <w:tcPr>
            <w:tcW w:type="dxa" w:w="1550"/>
          </w:tcPr>
          <w:p>
            <w:pPr>
              <w:spacing w:after="0"/>
            </w:pPr>
            <w:r>
              <w:rPr>
                <w:rFonts w:ascii="Calibri" w:hAnsi="Calibri"/>
                <w:b w:val="0"/>
                <w:i w:val="0"/>
                <w:color w:val="222222"/>
                <w:sz w:val="19"/>
              </w:rPr>
            </w:r>
          </w:p>
        </w:tc>
        <w:tc>
          <w:tcPr>
            <w:tcW w:type="dxa" w:w="1900"/>
          </w:tcPr>
          <w:p>
            <w:pPr>
              <w:spacing w:after="0"/>
            </w:pPr>
            <w:r>
              <w:rPr>
                <w:rFonts w:ascii="Calibri" w:hAnsi="Calibri"/>
                <w:b w:val="0"/>
                <w:i w:val="0"/>
                <w:color w:val="222222"/>
                <w:sz w:val="19"/>
              </w:rPr>
            </w:r>
          </w:p>
        </w:tc>
        <w:tc>
          <w:tcPr>
            <w:tcW w:type="dxa" w:w="2310"/>
          </w:tcPr>
          <w:p>
            <w:pPr>
              <w:spacing w:after="0"/>
            </w:pPr>
            <w:r>
              <w:rPr>
                <w:rFonts w:ascii="Calibri" w:hAnsi="Calibri"/>
                <w:b w:val="0"/>
                <w:i w:val="0"/>
                <w:color w:val="222222"/>
                <w:sz w:val="19"/>
              </w:rPr>
            </w:r>
          </w:p>
        </w:tc>
      </w:tr>
      <w:tr>
        <w:tc>
          <w:tcPr>
            <w:tcW w:type="dxa" w:w="2050"/>
          </w:tcPr>
          <w:p>
            <w:pPr>
              <w:spacing w:after="0"/>
            </w:pPr>
            <w:r>
              <w:rPr>
                <w:rFonts w:ascii="Calibri" w:hAnsi="Calibri"/>
                <w:b w:val="0"/>
                <w:i w:val="0"/>
                <w:color w:val="222222"/>
                <w:sz w:val="19"/>
              </w:rPr>
              <w:t>F1</w:t>
            </w:r>
          </w:p>
        </w:tc>
        <w:tc>
          <w:tcPr>
            <w:tcW w:type="dxa" w:w="1550"/>
          </w:tcPr>
          <w:p>
            <w:pPr>
              <w:spacing w:after="0"/>
            </w:pPr>
            <w:r>
              <w:rPr>
                <w:rFonts w:ascii="Calibri" w:hAnsi="Calibri"/>
                <w:b w:val="0"/>
                <w:i w:val="0"/>
                <w:color w:val="222222"/>
                <w:sz w:val="19"/>
              </w:rPr>
            </w:r>
          </w:p>
        </w:tc>
        <w:tc>
          <w:tcPr>
            <w:tcW w:type="dxa" w:w="1550"/>
          </w:tcPr>
          <w:p>
            <w:pPr>
              <w:spacing w:after="0"/>
            </w:pPr>
            <w:r>
              <w:rPr>
                <w:rFonts w:ascii="Calibri" w:hAnsi="Calibri"/>
                <w:b w:val="0"/>
                <w:i w:val="0"/>
                <w:color w:val="222222"/>
                <w:sz w:val="19"/>
              </w:rPr>
            </w:r>
          </w:p>
        </w:tc>
        <w:tc>
          <w:tcPr>
            <w:tcW w:type="dxa" w:w="1900"/>
          </w:tcPr>
          <w:p>
            <w:pPr>
              <w:spacing w:after="0"/>
            </w:pPr>
            <w:r>
              <w:rPr>
                <w:rFonts w:ascii="Calibri" w:hAnsi="Calibri"/>
                <w:b w:val="0"/>
                <w:i w:val="0"/>
                <w:color w:val="222222"/>
                <w:sz w:val="19"/>
              </w:rPr>
            </w:r>
          </w:p>
        </w:tc>
        <w:tc>
          <w:tcPr>
            <w:tcW w:type="dxa" w:w="2310"/>
          </w:tcPr>
          <w:p>
            <w:pPr>
              <w:spacing w:after="0"/>
            </w:pPr>
            <w:r>
              <w:rPr>
                <w:rFonts w:ascii="Calibri" w:hAnsi="Calibri"/>
                <w:b w:val="0"/>
                <w:i w:val="0"/>
                <w:color w:val="222222"/>
                <w:sz w:val="19"/>
              </w:rPr>
            </w:r>
          </w:p>
        </w:tc>
      </w:tr>
      <w:tr>
        <w:tc>
          <w:tcPr>
            <w:tcW w:type="dxa" w:w="2050"/>
          </w:tcPr>
          <w:p>
            <w:pPr>
              <w:spacing w:after="0"/>
            </w:pPr>
            <w:r>
              <w:rPr>
                <w:rFonts w:ascii="Calibri" w:hAnsi="Calibri"/>
                <w:b w:val="0"/>
                <w:i w:val="0"/>
                <w:color w:val="222222"/>
                <w:sz w:val="19"/>
              </w:rPr>
              <w:t>Exact-match rate</w:t>
            </w:r>
          </w:p>
        </w:tc>
        <w:tc>
          <w:tcPr>
            <w:tcW w:type="dxa" w:w="1550"/>
          </w:tcPr>
          <w:p>
            <w:pPr>
              <w:spacing w:after="0"/>
            </w:pPr>
            <w:r>
              <w:rPr>
                <w:rFonts w:ascii="Calibri" w:hAnsi="Calibri"/>
                <w:b w:val="0"/>
                <w:i w:val="0"/>
                <w:color w:val="222222"/>
                <w:sz w:val="19"/>
              </w:rPr>
            </w:r>
          </w:p>
        </w:tc>
        <w:tc>
          <w:tcPr>
            <w:tcW w:type="dxa" w:w="1550"/>
          </w:tcPr>
          <w:p>
            <w:pPr>
              <w:spacing w:after="0"/>
            </w:pPr>
            <w:r>
              <w:rPr>
                <w:rFonts w:ascii="Calibri" w:hAnsi="Calibri"/>
                <w:b w:val="0"/>
                <w:i w:val="0"/>
                <w:color w:val="222222"/>
                <w:sz w:val="19"/>
              </w:rPr>
            </w:r>
          </w:p>
        </w:tc>
        <w:tc>
          <w:tcPr>
            <w:tcW w:type="dxa" w:w="1900"/>
          </w:tcPr>
          <w:p>
            <w:pPr>
              <w:spacing w:after="0"/>
            </w:pPr>
            <w:r>
              <w:rPr>
                <w:rFonts w:ascii="Calibri" w:hAnsi="Calibri"/>
                <w:b w:val="0"/>
                <w:i w:val="0"/>
                <w:color w:val="222222"/>
                <w:sz w:val="19"/>
              </w:rPr>
            </w:r>
          </w:p>
        </w:tc>
        <w:tc>
          <w:tcPr>
            <w:tcW w:type="dxa" w:w="2310"/>
          </w:tcPr>
          <w:p>
            <w:pPr>
              <w:spacing w:after="0"/>
            </w:pPr>
            <w:r>
              <w:rPr>
                <w:rFonts w:ascii="Calibri" w:hAnsi="Calibri"/>
                <w:b w:val="0"/>
                <w:i w:val="0"/>
                <w:color w:val="222222"/>
                <w:sz w:val="19"/>
              </w:rPr>
            </w:r>
          </w:p>
        </w:tc>
      </w:tr>
      <w:tr>
        <w:tc>
          <w:tcPr>
            <w:tcW w:type="dxa" w:w="2050"/>
          </w:tcPr>
          <w:p>
            <w:pPr>
              <w:spacing w:after="0"/>
            </w:pPr>
            <w:r>
              <w:rPr>
                <w:rFonts w:ascii="Calibri" w:hAnsi="Calibri"/>
                <w:b w:val="0"/>
                <w:i w:val="0"/>
                <w:color w:val="222222"/>
                <w:sz w:val="19"/>
              </w:rPr>
              <w:t>Schema-valid rate</w:t>
            </w:r>
          </w:p>
        </w:tc>
        <w:tc>
          <w:tcPr>
            <w:tcW w:type="dxa" w:w="1550"/>
          </w:tcPr>
          <w:p>
            <w:pPr>
              <w:spacing w:after="0"/>
            </w:pPr>
            <w:r>
              <w:rPr>
                <w:rFonts w:ascii="Calibri" w:hAnsi="Calibri"/>
                <w:b w:val="0"/>
                <w:i w:val="0"/>
                <w:color w:val="222222"/>
                <w:sz w:val="19"/>
              </w:rPr>
            </w:r>
          </w:p>
        </w:tc>
        <w:tc>
          <w:tcPr>
            <w:tcW w:type="dxa" w:w="1550"/>
          </w:tcPr>
          <w:p>
            <w:pPr>
              <w:spacing w:after="0"/>
            </w:pPr>
            <w:r>
              <w:rPr>
                <w:rFonts w:ascii="Calibri" w:hAnsi="Calibri"/>
                <w:b w:val="0"/>
                <w:i w:val="0"/>
                <w:color w:val="222222"/>
                <w:sz w:val="19"/>
              </w:rPr>
            </w:r>
          </w:p>
        </w:tc>
        <w:tc>
          <w:tcPr>
            <w:tcW w:type="dxa" w:w="1900"/>
          </w:tcPr>
          <w:p>
            <w:pPr>
              <w:spacing w:after="0"/>
            </w:pPr>
            <w:r>
              <w:rPr>
                <w:rFonts w:ascii="Calibri" w:hAnsi="Calibri"/>
                <w:b w:val="0"/>
                <w:i w:val="0"/>
                <w:color w:val="222222"/>
                <w:sz w:val="19"/>
              </w:rPr>
            </w:r>
          </w:p>
        </w:tc>
        <w:tc>
          <w:tcPr>
            <w:tcW w:type="dxa" w:w="2310"/>
          </w:tcPr>
          <w:p>
            <w:pPr>
              <w:spacing w:after="0"/>
            </w:pPr>
            <w:r>
              <w:rPr>
                <w:rFonts w:ascii="Calibri" w:hAnsi="Calibri"/>
                <w:b w:val="0"/>
                <w:i w:val="0"/>
                <w:color w:val="222222"/>
                <w:sz w:val="19"/>
              </w:rPr>
            </w:r>
          </w:p>
        </w:tc>
      </w:tr>
      <w:tr>
        <w:tc>
          <w:tcPr>
            <w:tcW w:type="dxa" w:w="2050"/>
          </w:tcPr>
          <w:p>
            <w:pPr>
              <w:spacing w:after="0"/>
            </w:pPr>
            <w:r>
              <w:rPr>
                <w:rFonts w:ascii="Calibri" w:hAnsi="Calibri"/>
                <w:b w:val="0"/>
                <w:i w:val="0"/>
                <w:color w:val="222222"/>
                <w:sz w:val="19"/>
              </w:rPr>
              <w:t>Verbatim-evidence rate</w:t>
            </w:r>
          </w:p>
        </w:tc>
        <w:tc>
          <w:tcPr>
            <w:tcW w:type="dxa" w:w="1550"/>
          </w:tcPr>
          <w:p>
            <w:pPr>
              <w:spacing w:after="0"/>
            </w:pPr>
            <w:r>
              <w:rPr>
                <w:rFonts w:ascii="Calibri" w:hAnsi="Calibri"/>
                <w:b w:val="0"/>
                <w:i w:val="0"/>
                <w:color w:val="222222"/>
                <w:sz w:val="19"/>
              </w:rPr>
            </w:r>
          </w:p>
        </w:tc>
        <w:tc>
          <w:tcPr>
            <w:tcW w:type="dxa" w:w="1550"/>
          </w:tcPr>
          <w:p>
            <w:pPr>
              <w:spacing w:after="0"/>
            </w:pPr>
            <w:r>
              <w:rPr>
                <w:rFonts w:ascii="Calibri" w:hAnsi="Calibri"/>
                <w:b w:val="0"/>
                <w:i w:val="0"/>
                <w:color w:val="222222"/>
                <w:sz w:val="19"/>
              </w:rPr>
            </w:r>
          </w:p>
        </w:tc>
        <w:tc>
          <w:tcPr>
            <w:tcW w:type="dxa" w:w="1900"/>
          </w:tcPr>
          <w:p>
            <w:pPr>
              <w:spacing w:after="0"/>
            </w:pPr>
            <w:r>
              <w:rPr>
                <w:rFonts w:ascii="Calibri" w:hAnsi="Calibri"/>
                <w:b w:val="0"/>
                <w:i w:val="0"/>
                <w:color w:val="222222"/>
                <w:sz w:val="19"/>
              </w:rPr>
            </w:r>
          </w:p>
        </w:tc>
        <w:tc>
          <w:tcPr>
            <w:tcW w:type="dxa" w:w="2310"/>
          </w:tcPr>
          <w:p>
            <w:pPr>
              <w:spacing w:after="0"/>
            </w:pPr>
            <w:r>
              <w:rPr>
                <w:rFonts w:ascii="Calibri" w:hAnsi="Calibri"/>
                <w:b w:val="0"/>
                <w:i w:val="0"/>
                <w:color w:val="222222"/>
                <w:sz w:val="19"/>
              </w:rPr>
            </w:r>
          </w:p>
        </w:tc>
      </w:tr>
      <w:tr>
        <w:tc>
          <w:tcPr>
            <w:tcW w:type="dxa" w:w="2050"/>
          </w:tcPr>
          <w:p>
            <w:pPr>
              <w:spacing w:after="0"/>
            </w:pPr>
            <w:r>
              <w:rPr>
                <w:rFonts w:ascii="Calibri" w:hAnsi="Calibri"/>
                <w:b w:val="0"/>
                <w:i w:val="0"/>
                <w:color w:val="222222"/>
                <w:sz w:val="19"/>
              </w:rPr>
              <w:t>Expert quality score</w:t>
            </w:r>
          </w:p>
        </w:tc>
        <w:tc>
          <w:tcPr>
            <w:tcW w:type="dxa" w:w="1550"/>
          </w:tcPr>
          <w:p>
            <w:pPr>
              <w:spacing w:after="0"/>
            </w:pPr>
            <w:r>
              <w:rPr>
                <w:rFonts w:ascii="Calibri" w:hAnsi="Calibri"/>
                <w:b w:val="0"/>
                <w:i w:val="0"/>
                <w:color w:val="222222"/>
                <w:sz w:val="19"/>
              </w:rPr>
            </w:r>
          </w:p>
        </w:tc>
        <w:tc>
          <w:tcPr>
            <w:tcW w:type="dxa" w:w="1550"/>
          </w:tcPr>
          <w:p>
            <w:pPr>
              <w:spacing w:after="0"/>
            </w:pPr>
            <w:r>
              <w:rPr>
                <w:rFonts w:ascii="Calibri" w:hAnsi="Calibri"/>
                <w:b w:val="0"/>
                <w:i w:val="0"/>
                <w:color w:val="222222"/>
                <w:sz w:val="19"/>
              </w:rPr>
            </w:r>
          </w:p>
        </w:tc>
        <w:tc>
          <w:tcPr>
            <w:tcW w:type="dxa" w:w="1900"/>
          </w:tcPr>
          <w:p>
            <w:pPr>
              <w:spacing w:after="0"/>
            </w:pPr>
            <w:r>
              <w:rPr>
                <w:rFonts w:ascii="Calibri" w:hAnsi="Calibri"/>
                <w:b w:val="0"/>
                <w:i w:val="0"/>
                <w:color w:val="222222"/>
                <w:sz w:val="19"/>
              </w:rPr>
            </w:r>
          </w:p>
        </w:tc>
        <w:tc>
          <w:tcPr>
            <w:tcW w:type="dxa" w:w="2310"/>
          </w:tcPr>
          <w:p>
            <w:pPr>
              <w:spacing w:after="0"/>
            </w:pPr>
            <w:r>
              <w:rPr>
                <w:rFonts w:ascii="Calibri" w:hAnsi="Calibri"/>
                <w:b w:val="0"/>
                <w:i w:val="0"/>
                <w:color w:val="222222"/>
                <w:sz w:val="19"/>
              </w:rPr>
            </w:r>
          </w:p>
        </w:tc>
      </w:tr>
      <w:tr>
        <w:tc>
          <w:tcPr>
            <w:tcW w:type="dxa" w:w="2050"/>
          </w:tcPr>
          <w:p>
            <w:pPr>
              <w:spacing w:after="0"/>
            </w:pPr>
            <w:r>
              <w:rPr>
                <w:rFonts w:ascii="Calibri" w:hAnsi="Calibri"/>
                <w:b w:val="0"/>
                <w:i w:val="0"/>
                <w:color w:val="222222"/>
                <w:sz w:val="19"/>
              </w:rPr>
              <w:t>Median latency</w:t>
            </w:r>
          </w:p>
        </w:tc>
        <w:tc>
          <w:tcPr>
            <w:tcW w:type="dxa" w:w="1550"/>
          </w:tcPr>
          <w:p>
            <w:pPr>
              <w:spacing w:after="0"/>
            </w:pPr>
            <w:r>
              <w:rPr>
                <w:rFonts w:ascii="Calibri" w:hAnsi="Calibri"/>
                <w:b w:val="0"/>
                <w:i w:val="0"/>
                <w:color w:val="222222"/>
                <w:sz w:val="19"/>
              </w:rPr>
            </w:r>
          </w:p>
        </w:tc>
        <w:tc>
          <w:tcPr>
            <w:tcW w:type="dxa" w:w="1550"/>
          </w:tcPr>
          <w:p>
            <w:pPr>
              <w:spacing w:after="0"/>
            </w:pPr>
            <w:r>
              <w:rPr>
                <w:rFonts w:ascii="Calibri" w:hAnsi="Calibri"/>
                <w:b w:val="0"/>
                <w:i w:val="0"/>
                <w:color w:val="222222"/>
                <w:sz w:val="19"/>
              </w:rPr>
            </w:r>
          </w:p>
        </w:tc>
        <w:tc>
          <w:tcPr>
            <w:tcW w:type="dxa" w:w="1900"/>
          </w:tcPr>
          <w:p>
            <w:pPr>
              <w:spacing w:after="0"/>
            </w:pPr>
            <w:r>
              <w:rPr>
                <w:rFonts w:ascii="Calibri" w:hAnsi="Calibri"/>
                <w:b w:val="0"/>
                <w:i w:val="0"/>
                <w:color w:val="222222"/>
                <w:sz w:val="19"/>
              </w:rPr>
            </w:r>
          </w:p>
        </w:tc>
        <w:tc>
          <w:tcPr>
            <w:tcW w:type="dxa" w:w="2310"/>
          </w:tcPr>
          <w:p>
            <w:pPr>
              <w:spacing w:after="0"/>
            </w:pPr>
            <w:r>
              <w:rPr>
                <w:rFonts w:ascii="Calibri" w:hAnsi="Calibri"/>
                <w:b w:val="0"/>
                <w:i w:val="0"/>
                <w:color w:val="222222"/>
                <w:sz w:val="19"/>
              </w:rPr>
            </w:r>
          </w:p>
        </w:tc>
      </w:tr>
      <w:tr>
        <w:tc>
          <w:tcPr>
            <w:tcW w:type="dxa" w:w="2050"/>
          </w:tcPr>
          <w:p>
            <w:pPr>
              <w:spacing w:after="0"/>
            </w:pPr>
            <w:r>
              <w:rPr>
                <w:rFonts w:ascii="Calibri" w:hAnsi="Calibri"/>
                <w:b w:val="0"/>
                <w:i w:val="0"/>
                <w:color w:val="222222"/>
                <w:sz w:val="19"/>
              </w:rPr>
              <w:t>Mean output tokens</w:t>
            </w:r>
          </w:p>
        </w:tc>
        <w:tc>
          <w:tcPr>
            <w:tcW w:type="dxa" w:w="1550"/>
          </w:tcPr>
          <w:p>
            <w:pPr>
              <w:spacing w:after="0"/>
            </w:pPr>
            <w:r>
              <w:rPr>
                <w:rFonts w:ascii="Calibri" w:hAnsi="Calibri"/>
                <w:b w:val="0"/>
                <w:i w:val="0"/>
                <w:color w:val="222222"/>
                <w:sz w:val="19"/>
              </w:rPr>
            </w:r>
          </w:p>
        </w:tc>
        <w:tc>
          <w:tcPr>
            <w:tcW w:type="dxa" w:w="1550"/>
          </w:tcPr>
          <w:p>
            <w:pPr>
              <w:spacing w:after="0"/>
            </w:pPr>
            <w:r>
              <w:rPr>
                <w:rFonts w:ascii="Calibri" w:hAnsi="Calibri"/>
                <w:b w:val="0"/>
                <w:i w:val="0"/>
                <w:color w:val="222222"/>
                <w:sz w:val="19"/>
              </w:rPr>
            </w:r>
          </w:p>
        </w:tc>
        <w:tc>
          <w:tcPr>
            <w:tcW w:type="dxa" w:w="1900"/>
          </w:tcPr>
          <w:p>
            <w:pPr>
              <w:spacing w:after="0"/>
            </w:pPr>
            <w:r>
              <w:rPr>
                <w:rFonts w:ascii="Calibri" w:hAnsi="Calibri"/>
                <w:b w:val="0"/>
                <w:i w:val="0"/>
                <w:color w:val="222222"/>
                <w:sz w:val="19"/>
              </w:rPr>
            </w:r>
          </w:p>
        </w:tc>
        <w:tc>
          <w:tcPr>
            <w:tcW w:type="dxa" w:w="2310"/>
          </w:tcPr>
          <w:p>
            <w:pPr>
              <w:spacing w:after="0"/>
            </w:pPr>
            <w:r>
              <w:rPr>
                <w:rFonts w:ascii="Calibri" w:hAnsi="Calibri"/>
                <w:b w:val="0"/>
                <w:i w:val="0"/>
                <w:color w:val="222222"/>
                <w:sz w:val="19"/>
              </w:rPr>
            </w:r>
          </w:p>
        </w:tc>
      </w:tr>
    </w:tbl>
    <w:p>
      <w:pPr>
        <w:spacing w:after="60"/>
      </w:pPr>
    </w:p>
    <w:p>
      <w:pPr>
        <w:pStyle w:val="Heading1"/>
        <w:keepNext/>
      </w:pPr>
      <w:r>
        <w:rPr>
          <w:rFonts w:ascii="Calibri" w:hAnsi="Calibri"/>
          <w:b/>
          <w:i w:val="0"/>
          <w:color w:val="2E74B5"/>
          <w:sz w:val="32"/>
        </w:rPr>
        <w:t>10. Prompt-version register</w:t>
      </w:r>
    </w:p>
    <w:p>
      <w:pPr>
        <w:keepLines/>
      </w:pPr>
      <w:r>
        <w:rPr>
          <w:rFonts w:ascii="Calibri" w:hAnsi="Calibri"/>
          <w:b w:val="0"/>
          <w:i w:val="0"/>
          <w:color w:val="222222"/>
          <w:sz w:val="22"/>
        </w:rPr>
        <w:t>Maintain a short decision record for every tested prompt. This prevents accidental changes from being attributed to the wrong intervention and makes later regressions diagnosable.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i w:val="0"/>
                <w:color w:val="1F4D78"/>
                <w:sz w:val="19"/>
              </w:rPr>
              <w:t>Field</w:t>
            </w:r>
          </w:p>
        </w:tc>
        <w:tc>
          <w:tcPr>
            <w:tcW w:type="dxa" w:w="7460"/>
            <w:tcMar>
              <w:top w:w="80" w:type="dxa"/>
              <w:start w:w="120" w:type="dxa"/>
              <w:bottom w:w="80" w:type="dxa"/>
              <w:end w:w="120" w:type="dxa"/>
            </w:tcMar>
            <w:vAlign w:val="center"/>
            <w:shd w:fill="E8EEF5"/>
          </w:tcPr>
          <w:p>
            <w:pPr>
              <w:spacing w:after="0"/>
            </w:pPr>
            <w:r>
              <w:rPr>
                <w:rFonts w:ascii="Calibri" w:hAnsi="Calibri"/>
                <w:b/>
                <w:i w:val="0"/>
                <w:color w:val="1F4D78"/>
                <w:sz w:val="19"/>
              </w:rPr>
              <w:t>What to record</w:t>
            </w:r>
          </w:p>
        </w:tc>
      </w:tr>
      <w:tr>
        <w:tc>
          <w:tcPr>
            <w:tcW w:type="dxa" w:w="1900"/>
          </w:tcPr>
          <w:p>
            <w:pPr>
              <w:spacing w:after="0"/>
            </w:pPr>
            <w:r>
              <w:rPr>
                <w:rFonts w:ascii="Calibri" w:hAnsi="Calibri"/>
                <w:b w:val="0"/>
                <w:i w:val="0"/>
                <w:color w:val="222222"/>
                <w:sz w:val="19"/>
              </w:rPr>
              <w:t>Version</w:t>
            </w:r>
          </w:p>
        </w:tc>
        <w:tc>
          <w:tcPr>
            <w:tcW w:type="dxa" w:w="7460"/>
          </w:tcPr>
          <w:p>
            <w:pPr>
              <w:spacing w:after="0"/>
            </w:pPr>
            <w:r>
              <w:rPr>
                <w:rFonts w:ascii="Calibri" w:hAnsi="Calibri"/>
                <w:b w:val="0"/>
                <w:i w:val="0"/>
                <w:color w:val="222222"/>
                <w:sz w:val="19"/>
              </w:rPr>
              <w:t>v0, v1, v2, etc.</w:t>
            </w:r>
          </w:p>
        </w:tc>
      </w:tr>
      <w:tr>
        <w:tc>
          <w:tcPr>
            <w:tcW w:type="dxa" w:w="1900"/>
          </w:tcPr>
          <w:p>
            <w:pPr>
              <w:spacing w:after="0"/>
            </w:pPr>
            <w:r>
              <w:rPr>
                <w:rFonts w:ascii="Calibri" w:hAnsi="Calibri"/>
                <w:b w:val="0"/>
                <w:i w:val="0"/>
                <w:color w:val="222222"/>
                <w:sz w:val="19"/>
              </w:rPr>
              <w:t>Date and owner</w:t>
            </w:r>
          </w:p>
        </w:tc>
        <w:tc>
          <w:tcPr>
            <w:tcW w:type="dxa" w:w="7460"/>
          </w:tcPr>
          <w:p>
            <w:pPr>
              <w:spacing w:after="0"/>
            </w:pPr>
            <w:r>
              <w:rPr>
                <w:rFonts w:ascii="Calibri" w:hAnsi="Calibri"/>
                <w:b w:val="0"/>
                <w:i w:val="0"/>
                <w:color w:val="222222"/>
                <w:sz w:val="19"/>
              </w:rPr>
              <w:t>When the prompt was frozen and who approved it.</w:t>
            </w:r>
          </w:p>
        </w:tc>
      </w:tr>
      <w:tr>
        <w:tc>
          <w:tcPr>
            <w:tcW w:type="dxa" w:w="1900"/>
          </w:tcPr>
          <w:p>
            <w:pPr>
              <w:spacing w:after="0"/>
            </w:pPr>
            <w:r>
              <w:rPr>
                <w:rFonts w:ascii="Calibri" w:hAnsi="Calibri"/>
                <w:b w:val="0"/>
                <w:i w:val="0"/>
                <w:color w:val="222222"/>
                <w:sz w:val="19"/>
              </w:rPr>
              <w:t>Change summary</w:t>
            </w:r>
          </w:p>
        </w:tc>
        <w:tc>
          <w:tcPr>
            <w:tcW w:type="dxa" w:w="7460"/>
          </w:tcPr>
          <w:p>
            <w:pPr>
              <w:spacing w:after="0"/>
            </w:pPr>
            <w:r>
              <w:rPr>
                <w:rFonts w:ascii="Calibri" w:hAnsi="Calibri"/>
                <w:b w:val="0"/>
                <w:i w:val="0"/>
                <w:color w:val="222222"/>
                <w:sz w:val="19"/>
              </w:rPr>
              <w:t>Exact instruction changes and intended failure mode addressed.</w:t>
            </w:r>
          </w:p>
        </w:tc>
      </w:tr>
      <w:tr>
        <w:tc>
          <w:tcPr>
            <w:tcW w:type="dxa" w:w="1900"/>
          </w:tcPr>
          <w:p>
            <w:pPr>
              <w:spacing w:after="0"/>
            </w:pPr>
            <w:r>
              <w:rPr>
                <w:rFonts w:ascii="Calibri" w:hAnsi="Calibri"/>
                <w:b w:val="0"/>
                <w:i w:val="0"/>
                <w:color w:val="222222"/>
                <w:sz w:val="19"/>
              </w:rPr>
              <w:t>Examples</w:t>
            </w:r>
          </w:p>
        </w:tc>
        <w:tc>
          <w:tcPr>
            <w:tcW w:type="dxa" w:w="7460"/>
          </w:tcPr>
          <w:p>
            <w:pPr>
              <w:spacing w:after="0"/>
            </w:pPr>
            <w:r>
              <w:rPr>
                <w:rFonts w:ascii="Calibri" w:hAnsi="Calibri"/>
                <w:b w:val="0"/>
                <w:i w:val="0"/>
                <w:color w:val="222222"/>
                <w:sz w:val="19"/>
              </w:rPr>
              <w:t>Any few-shot examples added, removed, or changed.</w:t>
            </w:r>
          </w:p>
        </w:tc>
      </w:tr>
      <w:tr>
        <w:tc>
          <w:tcPr>
            <w:tcW w:type="dxa" w:w="1900"/>
          </w:tcPr>
          <w:p>
            <w:pPr>
              <w:spacing w:after="0"/>
            </w:pPr>
            <w:r>
              <w:rPr>
                <w:rFonts w:ascii="Calibri" w:hAnsi="Calibri"/>
                <w:b w:val="0"/>
                <w:i w:val="0"/>
                <w:color w:val="222222"/>
                <w:sz w:val="19"/>
              </w:rPr>
              <w:t>Configuration hash</w:t>
            </w:r>
          </w:p>
        </w:tc>
        <w:tc>
          <w:tcPr>
            <w:tcW w:type="dxa" w:w="7460"/>
          </w:tcPr>
          <w:p>
            <w:pPr>
              <w:spacing w:after="0"/>
            </w:pPr>
            <w:r>
              <w:rPr>
                <w:rFonts w:ascii="Calibri" w:hAnsi="Calibri"/>
                <w:b w:val="0"/>
                <w:i w:val="0"/>
                <w:color w:val="222222"/>
                <w:sz w:val="19"/>
              </w:rPr>
              <w:t>Model, schema, reasoning, and input-serialization version.</w:t>
            </w:r>
          </w:p>
        </w:tc>
      </w:tr>
      <w:tr>
        <w:tc>
          <w:tcPr>
            <w:tcW w:type="dxa" w:w="1900"/>
          </w:tcPr>
          <w:p>
            <w:pPr>
              <w:spacing w:after="0"/>
            </w:pPr>
            <w:r>
              <w:rPr>
                <w:rFonts w:ascii="Calibri" w:hAnsi="Calibri"/>
                <w:b w:val="0"/>
                <w:i w:val="0"/>
                <w:color w:val="222222"/>
                <w:sz w:val="19"/>
              </w:rPr>
              <w:t>Evaluation split</w:t>
            </w:r>
          </w:p>
        </w:tc>
        <w:tc>
          <w:tcPr>
            <w:tcW w:type="dxa" w:w="7460"/>
          </w:tcPr>
          <w:p>
            <w:pPr>
              <w:spacing w:after="0"/>
            </w:pPr>
            <w:r>
              <w:rPr>
                <w:rFonts w:ascii="Calibri" w:hAnsi="Calibri"/>
                <w:b w:val="0"/>
                <w:i w:val="0"/>
                <w:color w:val="222222"/>
                <w:sz w:val="19"/>
              </w:rPr>
              <w:t>Development or held_out.</w:t>
            </w:r>
          </w:p>
        </w:tc>
      </w:tr>
      <w:tr>
        <w:tc>
          <w:tcPr>
            <w:tcW w:type="dxa" w:w="1900"/>
          </w:tcPr>
          <w:p>
            <w:pPr>
              <w:spacing w:after="0"/>
            </w:pPr>
            <w:r>
              <w:rPr>
                <w:rFonts w:ascii="Calibri" w:hAnsi="Calibri"/>
                <w:b w:val="0"/>
                <w:i w:val="0"/>
                <w:color w:val="222222"/>
                <w:sz w:val="19"/>
              </w:rPr>
              <w:t>Result summary</w:t>
            </w:r>
          </w:p>
        </w:tc>
        <w:tc>
          <w:tcPr>
            <w:tcW w:type="dxa" w:w="7460"/>
          </w:tcPr>
          <w:p>
            <w:pPr>
              <w:spacing w:after="0"/>
            </w:pPr>
            <w:r>
              <w:rPr>
                <w:rFonts w:ascii="Calibri" w:hAnsi="Calibri"/>
                <w:b w:val="0"/>
                <w:i w:val="0"/>
                <w:color w:val="222222"/>
                <w:sz w:val="19"/>
              </w:rPr>
              <w:t>Main metrics, error changes, and decision: promote, revise, or reject.</w:t>
            </w:r>
          </w:p>
        </w:tc>
      </w:tr>
    </w:tbl>
    <w:p>
      <w:pPr>
        <w:spacing w:after="60"/>
      </w:pPr>
    </w:p>
    <w:p>
      <w:pPr>
        <w:pStyle w:val="Heading1"/>
        <w:keepNext/>
      </w:pPr>
      <w:r>
        <w:rPr>
          <w:rFonts w:ascii="Calibri" w:hAnsi="Calibri"/>
          <w:b/>
          <w:i w:val="0"/>
          <w:color w:val="2E74B5"/>
          <w:sz w:val="32"/>
        </w:rPr>
        <w:t>11. Acceptance criteria</w:t>
      </w:r>
    </w:p>
    <w:p>
      <w:pPr>
        <w:keepLines/>
      </w:pPr>
      <w:r>
        <w:rPr>
          <w:rFonts w:ascii="Calibri" w:hAnsi="Calibri"/>
          <w:b w:val="0"/>
          <w:i w:val="0"/>
          <w:color w:val="222222"/>
          <w:sz w:val="22"/>
        </w:rPr>
        <w:t>Before replacing Prompt v0 in production, Prompt v1 should meet the following decision rule. Thresholds must be finalized before the held-out run; the values below are starting points and should be calibrated after the first baseline measurement.</w:t>
      </w:r>
    </w:p>
    <w:p>
      <w:pPr>
        <w:pStyle w:val="ListBullet"/>
        <w:spacing w:after="80" w:line="276" w:lineRule="auto"/>
      </w:pPr>
      <w:r>
        <w:rPr>
          <w:rFonts w:ascii="Calibri" w:hAnsi="Calibri"/>
          <w:b w:val="0"/>
          <w:i w:val="0"/>
          <w:color w:val="222222"/>
          <w:sz w:val="22"/>
        </w:rPr>
        <w:t>F1 improves by a predeclared practical margin over Prompt v0, without a material decline in precision.</w:t>
      </w:r>
    </w:p>
    <w:p>
      <w:pPr>
        <w:pStyle w:val="ListBullet"/>
        <w:spacing w:after="80" w:line="276" w:lineRule="auto"/>
      </w:pPr>
      <w:r>
        <w:rPr>
          <w:rFonts w:ascii="Calibri" w:hAnsi="Calibri"/>
          <w:b w:val="0"/>
          <w:i w:val="0"/>
          <w:color w:val="222222"/>
          <w:sz w:val="22"/>
        </w:rPr>
        <w:t>Schema-valid and verbatim-evidence rates do not decrease.</w:t>
      </w:r>
    </w:p>
    <w:p>
      <w:pPr>
        <w:pStyle w:val="ListBullet"/>
        <w:spacing w:after="80" w:line="276" w:lineRule="auto"/>
      </w:pPr>
      <w:r>
        <w:rPr>
          <w:rFonts w:ascii="Calibri" w:hAnsi="Calibri"/>
          <w:b w:val="0"/>
          <w:i w:val="0"/>
          <w:color w:val="222222"/>
          <w:sz w:val="22"/>
        </w:rPr>
        <w:t>The FP-TOPIC error rate decreases or remains acceptably low.</w:t>
      </w:r>
    </w:p>
    <w:p>
      <w:pPr>
        <w:pStyle w:val="ListBullet"/>
        <w:spacing w:after="80" w:line="276" w:lineRule="auto"/>
      </w:pPr>
      <w:r>
        <w:rPr>
          <w:rFonts w:ascii="Calibri" w:hAnsi="Calibri"/>
          <w:b w:val="0"/>
          <w:i w:val="0"/>
          <w:color w:val="222222"/>
          <w:sz w:val="22"/>
        </w:rPr>
        <w:t>No new severe failure mode appears in expert review, especially hallucinated relationships or invalid source evidence.</w:t>
      </w:r>
    </w:p>
    <w:p>
      <w:pPr>
        <w:pStyle w:val="ListBullet"/>
        <w:spacing w:after="80" w:line="276" w:lineRule="auto"/>
      </w:pPr>
      <w:r>
        <w:rPr>
          <w:rFonts w:ascii="Calibri" w:hAnsi="Calibri"/>
          <w:b w:val="0"/>
          <w:i w:val="0"/>
          <w:color w:val="222222"/>
          <w:sz w:val="22"/>
        </w:rPr>
        <w:t>Latency and token cost remain within the agreed operational budget, or the quality improvement justifies the increase.</w:t>
      </w:r>
    </w:p>
    <w:p>
      <w:pPr>
        <w:pStyle w:val="Heading1"/>
        <w:keepNext/>
      </w:pPr>
      <w:r>
        <w:rPr>
          <w:rFonts w:ascii="Calibri" w:hAnsi="Calibri"/>
          <w:b/>
          <w:i w:val="0"/>
          <w:color w:val="2E74B5"/>
          <w:sz w:val="32"/>
        </w:rPr>
        <w:t>12. Immediate next steps</w:t>
      </w:r>
    </w:p>
    <w:p>
      <w:pPr>
        <w:pStyle w:val="ListNumber"/>
        <w:spacing w:after="80" w:line="276" w:lineRule="auto"/>
      </w:pPr>
      <w:r>
        <w:rPr>
          <w:rFonts w:ascii="Calibri" w:hAnsi="Calibri"/>
          <w:b w:val="0"/>
          <w:i w:val="0"/>
          <w:color w:val="222222"/>
          <w:sz w:val="22"/>
        </w:rPr>
        <w:t>Freeze and archive the exact current prompt as Prompt v0.</w:t>
      </w:r>
    </w:p>
    <w:p>
      <w:pPr>
        <w:pStyle w:val="ListNumber"/>
        <w:spacing w:after="80" w:line="276" w:lineRule="auto"/>
      </w:pPr>
      <w:r>
        <w:rPr>
          <w:rFonts w:ascii="Calibri" w:hAnsi="Calibri"/>
          <w:b w:val="0"/>
          <w:i w:val="0"/>
          <w:color w:val="222222"/>
          <w:sz w:val="22"/>
        </w:rPr>
        <w:t>Select and label an initial development set, then a separate held-out set of notebooks.</w:t>
      </w:r>
    </w:p>
    <w:p>
      <w:pPr>
        <w:pStyle w:val="ListNumber"/>
        <w:spacing w:after="80" w:line="276" w:lineRule="auto"/>
      </w:pPr>
      <w:r>
        <w:rPr>
          <w:rFonts w:ascii="Calibri" w:hAnsi="Calibri"/>
          <w:b w:val="0"/>
          <w:i w:val="0"/>
          <w:color w:val="222222"/>
          <w:sz w:val="22"/>
        </w:rPr>
        <w:t>Create the gold relationship format and reviewer instructions from Sections 4 and 8.</w:t>
      </w:r>
    </w:p>
    <w:p>
      <w:pPr>
        <w:pStyle w:val="ListNumber"/>
        <w:spacing w:after="80" w:line="276" w:lineRule="auto"/>
      </w:pPr>
      <w:r>
        <w:rPr>
          <w:rFonts w:ascii="Calibri" w:hAnsi="Calibri"/>
          <w:b w:val="0"/>
          <w:i w:val="0"/>
          <w:color w:val="222222"/>
          <w:sz w:val="22"/>
        </w:rPr>
        <w:t>Run v0, calculate the baseline, and inspect its highest-frequency errors.</w:t>
      </w:r>
    </w:p>
    <w:p>
      <w:pPr>
        <w:pStyle w:val="ListNumber"/>
        <w:spacing w:after="80" w:line="276" w:lineRule="auto"/>
      </w:pPr>
      <w:r>
        <w:rPr>
          <w:rFonts w:ascii="Calibri" w:hAnsi="Calibri"/>
          <w:b w:val="0"/>
          <w:i w:val="0"/>
          <w:color w:val="222222"/>
          <w:sz w:val="22"/>
        </w:rPr>
        <w:t>Draft Prompt v1 to address those errors only; keep all non-prompt conditions fixed.</w:t>
      </w:r>
    </w:p>
    <w:p>
      <w:pPr>
        <w:pStyle w:val="ListNumber"/>
        <w:spacing w:after="80" w:line="276" w:lineRule="auto"/>
      </w:pPr>
      <w:r>
        <w:rPr>
          <w:rFonts w:ascii="Calibri" w:hAnsi="Calibri"/>
          <w:b w:val="0"/>
          <w:i w:val="0"/>
          <w:color w:val="222222"/>
          <w:sz w:val="22"/>
        </w:rPr>
        <w:t>Run the final v0-versus-v1 comparison and populate the reporting table in Section 9.1.</w:t>
      </w:r>
    </w:p>
    <w:p>
      <w:pPr>
        <w:pStyle w:val="Heading1"/>
        <w:keepNext/>
      </w:pPr>
      <w:r>
        <w:rPr>
          <w:rFonts w:ascii="Calibri" w:hAnsi="Calibri"/>
          <w:b/>
          <w:i w:val="0"/>
          <w:color w:val="2E74B5"/>
          <w:sz w:val="32"/>
        </w:rPr>
        <w:t>Appendix A. Gold-label relationship object</w:t>
      </w:r>
    </w:p>
    <w:p>
      <w:pPr>
        <w:spacing w:after="160"/>
      </w:pPr>
      <w:r>
        <w:rPr>
          <w:rFonts w:ascii="Calibri" w:hAnsi="Calibri"/>
          <w:b w:val="0"/>
          <w:i w:val="0"/>
          <w:color w:val="1F4D78"/>
          <w:sz w:val="19"/>
        </w:rPr>
        <w:t>{</w:t>
        <w:br/>
        <w:t xml:space="preserve">  "markdownCellId": "markdown-a",</w:t>
        <w:br/>
        <w:t xml:space="preserve">  "markdownCellIndex": 0,</w:t>
        <w:br/>
        <w:t xml:space="preserve">  "markdownText": "Load the dataset.",</w:t>
        <w:br/>
        <w:t xml:space="preserve">  "codeCellId": "code-a",</w:t>
        <w:br/>
        <w:t xml:space="preserve">  "codeCellIndex": 1,</w:t>
        <w:br/>
        <w:t xml:space="preserve">  "codeScope": "excerpt",</w:t>
        <w:br/>
        <w:t xml:space="preserve">  "codeText": "data = load_data()",</w:t>
        <w:br/>
        <w:t xml:space="preserve">  "relationshipType": "documents_behavior",</w:t>
        <w:br/>
        <w:t xml:space="preserve">  "reviewDecision": "valid",</w:t>
        <w:br/>
        <w:t xml:space="preserve">  "reviewNotes": "The sentence documents the loading operation in the selected code."</w:t>
        <w:br/>
        <w:t>}</w:t>
      </w:r>
    </w:p>
    <w:p>
      <w:pPr>
        <w:pStyle w:val="Heading1"/>
        <w:keepNext/>
      </w:pPr>
      <w:r>
        <w:rPr>
          <w:rFonts w:ascii="Calibri" w:hAnsi="Calibri"/>
          <w:b/>
          <w:i w:val="0"/>
          <w:color w:val="2E74B5"/>
          <w:sz w:val="32"/>
        </w:rPr>
        <w:t>Appendix B. Per-run result record</w:t>
      </w:r>
    </w:p>
    <w:tbl>
      <w:tblPr>
        <w:tblStyle w:val="TableGrid"/>
        <w:tblW w:type="dxa" w:w="9360"/>
        <w:jc w:val="left"/>
        <w:tblLayout w:type="fixed"/>
        <w:tblLook w:firstColumn="1" w:firstRow="1" w:lastColumn="0" w:lastRow="0" w:noHBand="0" w:noVBand="1" w:val="04A0"/>
        <w:tblInd w:w="120" w:type="dxa"/>
      </w:tblPr>
      <w:tblGrid>
        <w:gridCol w:w="2000"/>
        <w:gridCol w:w="7360"/>
      </w:tblGrid>
      <w:tr>
        <w:trPr>
          <w:tblHeader w:val="true"/>
        </w:trPr>
        <w:tc>
          <w:tcPr>
            <w:tcW w:type="dxa" w:w="2000"/>
            <w:tcMar>
              <w:top w:w="80" w:type="dxa"/>
              <w:start w:w="120" w:type="dxa"/>
              <w:bottom w:w="80" w:type="dxa"/>
              <w:end w:w="120" w:type="dxa"/>
            </w:tcMar>
            <w:vAlign w:val="center"/>
            <w:shd w:fill="E8EEF5"/>
          </w:tcPr>
          <w:p>
            <w:pPr>
              <w:spacing w:after="0"/>
            </w:pPr>
            <w:r>
              <w:rPr>
                <w:rFonts w:ascii="Calibri" w:hAnsi="Calibri"/>
                <w:b/>
                <w:i w:val="0"/>
                <w:color w:val="1F4D78"/>
                <w:sz w:val="19"/>
              </w:rPr>
              <w:t>Field</w:t>
            </w:r>
          </w:p>
        </w:tc>
        <w:tc>
          <w:tcPr>
            <w:tcW w:type="dxa" w:w="7360"/>
            <w:tcMar>
              <w:top w:w="80" w:type="dxa"/>
              <w:start w:w="120" w:type="dxa"/>
              <w:bottom w:w="80" w:type="dxa"/>
              <w:end w:w="120" w:type="dxa"/>
            </w:tcMar>
            <w:vAlign w:val="center"/>
            <w:shd w:fill="E8EEF5"/>
          </w:tcPr>
          <w:p>
            <w:pPr>
              <w:spacing w:after="0"/>
            </w:pPr>
            <w:r>
              <w:rPr>
                <w:rFonts w:ascii="Calibri" w:hAnsi="Calibri"/>
                <w:b/>
                <w:i w:val="0"/>
                <w:color w:val="1F4D78"/>
                <w:sz w:val="19"/>
              </w:rPr>
              <w:t>Example / use</w:t>
            </w:r>
          </w:p>
        </w:tc>
      </w:tr>
      <w:tr>
        <w:tc>
          <w:tcPr>
            <w:tcW w:type="dxa" w:w="2000"/>
          </w:tcPr>
          <w:p>
            <w:pPr>
              <w:spacing w:after="0"/>
            </w:pPr>
            <w:r>
              <w:rPr>
                <w:rFonts w:ascii="Calibri" w:hAnsi="Calibri"/>
                <w:b w:val="0"/>
                <w:i w:val="0"/>
                <w:color w:val="222222"/>
                <w:sz w:val="19"/>
              </w:rPr>
              <w:t>run_id</w:t>
            </w:r>
          </w:p>
        </w:tc>
        <w:tc>
          <w:tcPr>
            <w:tcW w:type="dxa" w:w="7360"/>
          </w:tcPr>
          <w:p>
            <w:pPr>
              <w:spacing w:after="0"/>
            </w:pPr>
            <w:r>
              <w:rPr>
                <w:rFonts w:ascii="Calibri" w:hAnsi="Calibri"/>
                <w:b w:val="0"/>
                <w:i w:val="0"/>
                <w:color w:val="222222"/>
                <w:sz w:val="19"/>
              </w:rPr>
              <w:t>heldout-2026-08-24-v1-r01</w:t>
            </w:r>
          </w:p>
        </w:tc>
      </w:tr>
      <w:tr>
        <w:tc>
          <w:tcPr>
            <w:tcW w:type="dxa" w:w="2000"/>
          </w:tcPr>
          <w:p>
            <w:pPr>
              <w:spacing w:after="0"/>
            </w:pPr>
            <w:r>
              <w:rPr>
                <w:rFonts w:ascii="Calibri" w:hAnsi="Calibri"/>
                <w:b w:val="0"/>
                <w:i w:val="0"/>
                <w:color w:val="222222"/>
                <w:sz w:val="19"/>
              </w:rPr>
              <w:t>prompt_version</w:t>
            </w:r>
          </w:p>
        </w:tc>
        <w:tc>
          <w:tcPr>
            <w:tcW w:type="dxa" w:w="7360"/>
          </w:tcPr>
          <w:p>
            <w:pPr>
              <w:spacing w:after="0"/>
            </w:pPr>
            <w:r>
              <w:rPr>
                <w:rFonts w:ascii="Calibri" w:hAnsi="Calibri"/>
                <w:b w:val="0"/>
                <w:i w:val="0"/>
                <w:color w:val="222222"/>
                <w:sz w:val="19"/>
              </w:rPr>
              <w:t>v0 or v1</w:t>
            </w:r>
          </w:p>
        </w:tc>
      </w:tr>
      <w:tr>
        <w:tc>
          <w:tcPr>
            <w:tcW w:type="dxa" w:w="2000"/>
          </w:tcPr>
          <w:p>
            <w:pPr>
              <w:spacing w:after="0"/>
            </w:pPr>
            <w:r>
              <w:rPr>
                <w:rFonts w:ascii="Calibri" w:hAnsi="Calibri"/>
                <w:b w:val="0"/>
                <w:i w:val="0"/>
                <w:color w:val="222222"/>
                <w:sz w:val="19"/>
              </w:rPr>
              <w:t>notebook_id</w:t>
            </w:r>
          </w:p>
        </w:tc>
        <w:tc>
          <w:tcPr>
            <w:tcW w:type="dxa" w:w="7360"/>
          </w:tcPr>
          <w:p>
            <w:pPr>
              <w:spacing w:after="0"/>
            </w:pPr>
            <w:r>
              <w:rPr>
                <w:rFonts w:ascii="Calibri" w:hAnsi="Calibri"/>
                <w:b w:val="0"/>
                <w:i w:val="0"/>
                <w:color w:val="222222"/>
                <w:sz w:val="19"/>
              </w:rPr>
              <w:t>Stable gold-set ID</w:t>
            </w:r>
          </w:p>
        </w:tc>
      </w:tr>
      <w:tr>
        <w:tc>
          <w:tcPr>
            <w:tcW w:type="dxa" w:w="2000"/>
          </w:tcPr>
          <w:p>
            <w:pPr>
              <w:spacing w:after="0"/>
            </w:pPr>
            <w:r>
              <w:rPr>
                <w:rFonts w:ascii="Calibri" w:hAnsi="Calibri"/>
                <w:b w:val="0"/>
                <w:i w:val="0"/>
                <w:color w:val="222222"/>
                <w:sz w:val="19"/>
              </w:rPr>
              <w:t>raw_output</w:t>
            </w:r>
          </w:p>
        </w:tc>
        <w:tc>
          <w:tcPr>
            <w:tcW w:type="dxa" w:w="7360"/>
          </w:tcPr>
          <w:p>
            <w:pPr>
              <w:spacing w:after="0"/>
            </w:pPr>
            <w:r>
              <w:rPr>
                <w:rFonts w:ascii="Calibri" w:hAnsi="Calibri"/>
                <w:b w:val="0"/>
                <w:i w:val="0"/>
                <w:color w:val="222222"/>
                <w:sz w:val="19"/>
              </w:rPr>
              <w:t>Unmodified model response retained for audit</w:t>
            </w:r>
          </w:p>
        </w:tc>
      </w:tr>
      <w:tr>
        <w:tc>
          <w:tcPr>
            <w:tcW w:type="dxa" w:w="2000"/>
          </w:tcPr>
          <w:p>
            <w:pPr>
              <w:spacing w:after="0"/>
            </w:pPr>
            <w:r>
              <w:rPr>
                <w:rFonts w:ascii="Calibri" w:hAnsi="Calibri"/>
                <w:b w:val="0"/>
                <w:i w:val="0"/>
                <w:color w:val="222222"/>
                <w:sz w:val="19"/>
              </w:rPr>
              <w:t>validated_output</w:t>
            </w:r>
          </w:p>
        </w:tc>
        <w:tc>
          <w:tcPr>
            <w:tcW w:type="dxa" w:w="7360"/>
          </w:tcPr>
          <w:p>
            <w:pPr>
              <w:spacing w:after="0"/>
            </w:pPr>
            <w:r>
              <w:rPr>
                <w:rFonts w:ascii="Calibri" w:hAnsi="Calibri"/>
                <w:b w:val="0"/>
                <w:i w:val="0"/>
                <w:color w:val="222222"/>
                <w:sz w:val="19"/>
              </w:rPr>
              <w:t>Relationships accepted after schema/span validation</w:t>
            </w:r>
          </w:p>
        </w:tc>
      </w:tr>
      <w:tr>
        <w:tc>
          <w:tcPr>
            <w:tcW w:type="dxa" w:w="2000"/>
          </w:tcPr>
          <w:p>
            <w:pPr>
              <w:spacing w:after="0"/>
            </w:pPr>
            <w:r>
              <w:rPr>
                <w:rFonts w:ascii="Calibri" w:hAnsi="Calibri"/>
                <w:b w:val="0"/>
                <w:i w:val="0"/>
                <w:color w:val="222222"/>
                <w:sz w:val="19"/>
              </w:rPr>
              <w:t>metrics</w:t>
            </w:r>
          </w:p>
        </w:tc>
        <w:tc>
          <w:tcPr>
            <w:tcW w:type="dxa" w:w="7360"/>
          </w:tcPr>
          <w:p>
            <w:pPr>
              <w:spacing w:after="0"/>
            </w:pPr>
            <w:r>
              <w:rPr>
                <w:rFonts w:ascii="Calibri" w:hAnsi="Calibri"/>
                <w:b w:val="0"/>
                <w:i w:val="0"/>
                <w:color w:val="222222"/>
                <w:sz w:val="19"/>
              </w:rPr>
              <w:t>TP, FP, FN, precision, recall, F1, validity flags</w:t>
            </w:r>
          </w:p>
        </w:tc>
      </w:tr>
      <w:tr>
        <w:tc>
          <w:tcPr>
            <w:tcW w:type="dxa" w:w="2000"/>
          </w:tcPr>
          <w:p>
            <w:pPr>
              <w:spacing w:after="0"/>
            </w:pPr>
            <w:r>
              <w:rPr>
                <w:rFonts w:ascii="Calibri" w:hAnsi="Calibri"/>
                <w:b w:val="0"/>
                <w:i w:val="0"/>
                <w:color w:val="222222"/>
                <w:sz w:val="19"/>
              </w:rPr>
              <w:t>efficiency</w:t>
            </w:r>
          </w:p>
        </w:tc>
        <w:tc>
          <w:tcPr>
            <w:tcW w:type="dxa" w:w="7360"/>
          </w:tcPr>
          <w:p>
            <w:pPr>
              <w:spacing w:after="0"/>
            </w:pPr>
            <w:r>
              <w:rPr>
                <w:rFonts w:ascii="Calibri" w:hAnsi="Calibri"/>
                <w:b w:val="0"/>
                <w:i w:val="0"/>
                <w:color w:val="222222"/>
                <w:sz w:val="19"/>
              </w:rPr>
              <w:t>Latency, token fields, estimated cost</w:t>
            </w:r>
          </w:p>
        </w:tc>
      </w:tr>
      <w:tr>
        <w:tc>
          <w:tcPr>
            <w:tcW w:type="dxa" w:w="2000"/>
          </w:tcPr>
          <w:p>
            <w:pPr>
              <w:spacing w:after="0"/>
            </w:pPr>
            <w:r>
              <w:rPr>
                <w:rFonts w:ascii="Calibri" w:hAnsi="Calibri"/>
                <w:b w:val="0"/>
                <w:i w:val="0"/>
                <w:color w:val="222222"/>
                <w:sz w:val="19"/>
              </w:rPr>
              <w:t>review_labels</w:t>
            </w:r>
          </w:p>
        </w:tc>
        <w:tc>
          <w:tcPr>
            <w:tcW w:type="dxa" w:w="7360"/>
          </w:tcPr>
          <w:p>
            <w:pPr>
              <w:spacing w:after="0"/>
            </w:pPr>
            <w:r>
              <w:rPr>
                <w:rFonts w:ascii="Calibri" w:hAnsi="Calibri"/>
                <w:b w:val="0"/>
                <w:i w:val="0"/>
                <w:color w:val="222222"/>
                <w:sz w:val="19"/>
              </w:rPr>
              <w:t>Expert scores and primary error code</w:t>
            </w:r>
          </w:p>
        </w:tc>
      </w:tr>
    </w:tbl>
    <w:p>
      <w:pPr>
        <w:spacing w:after="6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6666"/>
        <w:sz w:val="17"/>
      </w:rPr>
      <w:t>LINKMAKER | PROMPT EVALUATION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LinkMaker Prompt Evaluation Protocol</dc:title>
  <dc:subject>Controlled evaluation of Markdown-to-code relationship prompts</dc:subject>
  <dc:creator>LinkMaker</dc:creator>
  <cp:keywords/>
  <dc:description>generated by python-docx</dc:description>
  <cp:lastModifiedBy/>
  <cp:revision>1</cp:revision>
  <dcterms:created xsi:type="dcterms:W3CDTF">2013-12-23T23:15:00Z</dcterms:created>
  <dcterms:modified xsi:type="dcterms:W3CDTF">2013-12-23T23:15:00Z</dcterms:modified>
  <cp:category/>
</cp:coreProperties>
</file>