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1F4D78"/>
          <w:sz w:val="46"/>
        </w:rPr>
        <w:t>LINKMAKER PROMPT EVALUATION REPORT</w:t>
      </w:r>
    </w:p>
    <w:p>
      <w:pPr>
        <w:spacing w:after="360"/>
      </w:pPr>
      <w:r>
        <w:rPr>
          <w:rFonts w:ascii="Calibri" w:hAnsi="Calibri"/>
          <w:b w:val="0"/>
          <w:i w:val="0"/>
          <w:color w:val="666666"/>
          <w:sz w:val="28"/>
        </w:rPr>
        <w:t>Markdown-to-code relationship extraction | GPT-5 nano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1. Executive conclusion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22222"/>
          <w:sz w:val="22"/>
        </w:rPr>
        <w:t>The evaluation is promising but not yet production-stable. The few-shot prompt achieved a strong best single run (F1 65.5%) and good conditional performance when it returned links (pooled F1 45.8% across non-zero runs). However, two of five v2 runs returned no links. Overall five-run pooled F1 was 31.1%, so reliability and recall remain the principal issues.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00"/>
        <w:gridCol w:w="6560"/>
      </w:tblGrid>
      <w:tr>
        <w:tc>
          <w:tcPr>
            <w:tcW w:type="dxa" w:w="280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Decision</w:t>
            </w:r>
          </w:p>
        </w:tc>
        <w:tc>
          <w:tcPr>
            <w:tcW w:type="dxa" w:w="656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Evidence</w:t>
            </w:r>
          </w:p>
        </w:tc>
      </w:tr>
      <w:tr>
        <w:tc>
          <w:tcPr>
            <w:tcW w:type="dxa" w:w="28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Do not claim stable improvement yet</w:t>
            </w:r>
          </w:p>
        </w:tc>
        <w:tc>
          <w:tcPr>
            <w:tcW w:type="dxa" w:w="656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Two of five v2 runs produced zero relationships.</w:t>
            </w:r>
          </w:p>
        </w:tc>
      </w:tr>
      <w:tr>
        <w:tc>
          <w:tcPr>
            <w:tcW w:type="dxa" w:w="28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Keep few-shot examples for further testing</w:t>
            </w:r>
          </w:p>
        </w:tc>
        <w:tc>
          <w:tcPr>
            <w:tcW w:type="dxa" w:w="656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Best v2 run: 19 TP, 3 FP, 52.8% recall, F1 65.5%.</w:t>
            </w:r>
          </w:p>
        </w:tc>
      </w:tr>
      <w:tr>
        <w:tc>
          <w:tcPr>
            <w:tcW w:type="dxa" w:w="28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Preserve relationshipType</w:t>
            </w:r>
          </w:p>
        </w:tc>
        <w:tc>
          <w:tcPr>
            <w:tcW w:type="dxa" w:w="656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Removing it coincided with sharply lower link counts and F1.</w:t>
            </w:r>
          </w:p>
        </w:tc>
      </w:tr>
      <w:tr>
        <w:tc>
          <w:tcPr>
            <w:tcW w:type="dxa" w:w="28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Next evaluation priority</w:t>
            </w:r>
          </w:p>
        </w:tc>
        <w:tc>
          <w:tcPr>
            <w:tcW w:type="dxa" w:w="656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Measure a configuration change separately from prompt wording.</w:t>
            </w:r>
          </w:p>
        </w:tc>
      </w:tr>
    </w:tbl>
    <w:p/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2. Scope, data, and ground truth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22222"/>
          <w:sz w:val="22"/>
        </w:rPr>
        <w:t>Task: identify supported relationships between Markdown cells and code cells in the Titanic notebook. Output and image/sketch relationships were explicitly excluded because the LinkMaker prompt receives Markdown and code, not notebook outputs.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c>
          <w:tcPr>
            <w:tcW w:type="dxa" w:w="260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Artifact</w:t>
            </w:r>
          </w:p>
        </w:tc>
        <w:tc>
          <w:tcPr>
            <w:tcW w:type="dxa" w:w="676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Use in evaluation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Titanic notebook</w:t>
            </w:r>
          </w:p>
        </w:tc>
        <w:tc>
          <w:tcPr>
            <w:tcW w:type="dxa" w:w="676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Fixed input: 49 Markdown cells and 52 code cells.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Manual relationship file</w:t>
            </w:r>
          </w:p>
        </w:tc>
        <w:tc>
          <w:tcPr>
            <w:tcW w:type="dxa" w:w="676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Human baseline; 38 code labels collapsed to 36 unique Markdown-code pairs.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LinkMaker JSON</w:t>
            </w:r>
          </w:p>
        </w:tc>
        <w:tc>
          <w:tcPr>
            <w:tcW w:type="dxa" w:w="676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GPT-5 nano prediction for each run.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Matching rule</w:t>
            </w:r>
          </w:p>
        </w:tc>
        <w:tc>
          <w:tcPr>
            <w:tcW w:type="dxa" w:w="676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Primary metric: exact Markdown-cell to code-cell pair. Evidence spans are checked separately.</w:t>
            </w:r>
          </w:p>
        </w:tc>
      </w:tr>
    </w:tbl>
    <w:p/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3. Metrics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200"/>
        <w:gridCol w:w="3360"/>
      </w:tblGrid>
      <w:tr>
        <w:tc>
          <w:tcPr>
            <w:tcW w:type="dxa" w:w="180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Metric</w:t>
            </w:r>
          </w:p>
        </w:tc>
        <w:tc>
          <w:tcPr>
            <w:tcW w:type="dxa" w:w="420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Definition</w:t>
            </w:r>
          </w:p>
        </w:tc>
        <w:tc>
          <w:tcPr>
            <w:tcW w:type="dxa" w:w="336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Purpose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Precision</w:t>
            </w:r>
          </w:p>
        </w:tc>
        <w:tc>
          <w:tcPr>
            <w:tcW w:type="dxa" w:w="42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TP / predicted pairs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Avoid unsupported links.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Recall</w:t>
            </w:r>
          </w:p>
        </w:tc>
        <w:tc>
          <w:tcPr>
            <w:tcW w:type="dxa" w:w="42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TP / 36 manual pairs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Measure coverage/completeness.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F1</w:t>
            </w:r>
          </w:p>
        </w:tc>
        <w:tc>
          <w:tcPr>
            <w:tcW w:type="dxa" w:w="42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Harmonic mean of precision and recall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Primary overall quality metric.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Span validity</w:t>
            </w:r>
          </w:p>
        </w:tc>
        <w:tc>
          <w:tcPr>
            <w:tcW w:type="dxa" w:w="42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Exact contiguous source spans / predictions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Verify grounding and output usability.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Run variability</w:t>
            </w:r>
          </w:p>
        </w:tc>
        <w:tc>
          <w:tcPr>
            <w:tcW w:type="dxa" w:w="42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Range of link counts and zero-result runs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Measure operational reliability.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/>
          <w:b w:val="0"/>
          <w:i/>
          <w:color w:val="222222"/>
          <w:sz w:val="22"/>
        </w:rPr>
        <w:t>Relationship-type accuracy was not measured because the manual labels do not assign relationship types. The manual file may also be incomplete; therefore, unmatched model predictions are treated as false positives for this benchmark but should be manually reviewed before being declared semantically wrong.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4. Prompt versions tested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4.1 v0 baseline prompt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22222"/>
          <w:sz w:val="22"/>
        </w:rPr>
        <w:t>The original prompt asks for every Markdown-to-code relationship, prefers explicit local references or described operations, requires smallest exact contiguous evidence spans, and uses three synthetic format-only examples. The response schema requires relationshipType, confidence, and reason.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4.2 Rejected v1: completeness instruction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22222"/>
          <w:sz w:val="22"/>
        </w:rPr>
        <w:t>Added: “Before returning, check every substantive Markdown cell for all relationships supported by its specific content; do not stop after finding only the most obvious links.” This change was rejected after five trials because it reduced mean links and pooled F1.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4.3 Rejected output-contract ablation: remove relationshipType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22222"/>
          <w:sz w:val="22"/>
        </w:rPr>
        <w:t>The relationshipType field was temporarily removed from the strict schema, prompt examples, persisted response, and tests. With the conservative baseline instruction restored but without this field, one evaluated run returned 5 links: 5 TP, 0 FP, 13.9% recall, and F1 24.4%. The field was restored because this was materially weaker than the original strong v0 run and because relationshipType provides useful output structure.</w:t>
      </w:r>
    </w:p>
    <w:p>
      <w:pPr>
        <w:spacing w:after="120" w:line="264" w:lineRule="auto"/>
      </w:pPr>
      <w:r>
        <w:rPr>
          <w:rFonts w:ascii="Calibri" w:hAnsi="Calibri"/>
          <w:b w:val="0"/>
          <w:i/>
          <w:color w:val="222222"/>
          <w:sz w:val="22"/>
        </w:rPr>
        <w:t>A separate combined experiment removed relationshipType and added a broader semantic/completeness instruction. That run returned 6 links: 3 TP, 3 FP, 8.3% recall, and F1 14.3%. This combined result is recorded as rejected but does not identify the causal change because two variables changed together.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4.4 v2: task-aligned few-shot examples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22222"/>
          <w:sz w:val="22"/>
        </w:rPr>
        <w:t>The current v2 retained the v0 instruction and response schema, while replacing generic examples with synthetic examples for: creating age bands (feature engineering), removing a temporary feature (feature removal), and mapping port labels to numeric values (categorical conversion). No Titanic text, IDs, or code were used in the examples.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5. Experimental results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00"/>
        <w:gridCol w:w="1200"/>
        <w:gridCol w:w="1200"/>
        <w:gridCol w:w="1200"/>
        <w:gridCol w:w="1200"/>
        <w:gridCol w:w="1100"/>
      </w:tblGrid>
      <w:tr>
        <w:tc>
          <w:tcPr>
            <w:tcW w:type="dxa" w:w="180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Version</w:t>
            </w:r>
          </w:p>
        </w:tc>
        <w:tc>
          <w:tcPr>
            <w:tcW w:type="dxa" w:w="70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Runs</w:t>
            </w:r>
          </w:p>
        </w:tc>
        <w:tc>
          <w:tcPr>
            <w:tcW w:type="dxa" w:w="120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Mean links</w:t>
            </w:r>
          </w:p>
        </w:tc>
        <w:tc>
          <w:tcPr>
            <w:tcW w:type="dxa" w:w="120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Pooled P</w:t>
            </w:r>
          </w:p>
        </w:tc>
        <w:tc>
          <w:tcPr>
            <w:tcW w:type="dxa" w:w="120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Pooled R</w:t>
            </w:r>
          </w:p>
        </w:tc>
        <w:tc>
          <w:tcPr>
            <w:tcW w:type="dxa" w:w="120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Pooled F1</w:t>
            </w:r>
          </w:p>
        </w:tc>
        <w:tc>
          <w:tcPr>
            <w:tcW w:type="dxa" w:w="110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Zero runs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v0 baseline</w:t>
            </w:r>
          </w:p>
        </w:tc>
        <w:tc>
          <w:tcPr>
            <w:tcW w:type="dxa" w:w="7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5</w:t>
            </w:r>
          </w:p>
        </w:tc>
        <w:tc>
          <w:tcPr>
            <w:tcW w:type="dxa" w:w="12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5.2</w:t>
            </w:r>
          </w:p>
        </w:tc>
        <w:tc>
          <w:tcPr>
            <w:tcW w:type="dxa" w:w="12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65.4%</w:t>
            </w:r>
          </w:p>
        </w:tc>
        <w:tc>
          <w:tcPr>
            <w:tcW w:type="dxa" w:w="12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9.4%</w:t>
            </w:r>
          </w:p>
        </w:tc>
        <w:tc>
          <w:tcPr>
            <w:tcW w:type="dxa" w:w="12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16.5%</w:t>
            </w:r>
          </w:p>
        </w:tc>
        <w:tc>
          <w:tcPr>
            <w:tcW w:type="dxa" w:w="11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1/5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v1 completeness</w:t>
            </w:r>
          </w:p>
        </w:tc>
        <w:tc>
          <w:tcPr>
            <w:tcW w:type="dxa" w:w="7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5</w:t>
            </w:r>
          </w:p>
        </w:tc>
        <w:tc>
          <w:tcPr>
            <w:tcW w:type="dxa" w:w="12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1.6</w:t>
            </w:r>
          </w:p>
        </w:tc>
        <w:tc>
          <w:tcPr>
            <w:tcW w:type="dxa" w:w="12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50.0%</w:t>
            </w:r>
          </w:p>
        </w:tc>
        <w:tc>
          <w:tcPr>
            <w:tcW w:type="dxa" w:w="12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2.2%</w:t>
            </w:r>
          </w:p>
        </w:tc>
        <w:tc>
          <w:tcPr>
            <w:tcW w:type="dxa" w:w="12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4.3%</w:t>
            </w:r>
          </w:p>
        </w:tc>
        <w:tc>
          <w:tcPr>
            <w:tcW w:type="dxa" w:w="11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2/5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v2 few-shot</w:t>
            </w:r>
          </w:p>
        </w:tc>
        <w:tc>
          <w:tcPr>
            <w:tcW w:type="dxa" w:w="7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5</w:t>
            </w:r>
          </w:p>
        </w:tc>
        <w:tc>
          <w:tcPr>
            <w:tcW w:type="dxa" w:w="12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9.0</w:t>
            </w:r>
          </w:p>
        </w:tc>
        <w:tc>
          <w:tcPr>
            <w:tcW w:type="dxa" w:w="12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77.8%</w:t>
            </w:r>
          </w:p>
        </w:tc>
        <w:tc>
          <w:tcPr>
            <w:tcW w:type="dxa" w:w="12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19.4%</w:t>
            </w:r>
          </w:p>
        </w:tc>
        <w:tc>
          <w:tcPr>
            <w:tcW w:type="dxa" w:w="12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31.1%</w:t>
            </w:r>
          </w:p>
        </w:tc>
        <w:tc>
          <w:tcPr>
            <w:tcW w:type="dxa" w:w="11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2/5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/>
          <w:b w:val="0"/>
          <w:i/>
          <w:color w:val="222222"/>
          <w:sz w:val="22"/>
        </w:rPr>
        <w:t>The relationshipType-removal and combined removal-plus-constraint ablations are not included in the five-run table because each was evaluated only once. Their single-run outcomes are documented in Section 4.3.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5.1 v2 five-run detail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50"/>
        <w:gridCol w:w="750"/>
        <w:gridCol w:w="650"/>
        <w:gridCol w:w="650"/>
        <w:gridCol w:w="650"/>
        <w:gridCol w:w="1400"/>
        <w:gridCol w:w="1400"/>
        <w:gridCol w:w="1400"/>
      </w:tblGrid>
      <w:tr>
        <w:tc>
          <w:tcPr>
            <w:tcW w:type="dxa" w:w="75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Run</w:t>
            </w:r>
          </w:p>
        </w:tc>
        <w:tc>
          <w:tcPr>
            <w:tcW w:type="dxa" w:w="75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Links</w:t>
            </w:r>
          </w:p>
        </w:tc>
        <w:tc>
          <w:tcPr>
            <w:tcW w:type="dxa" w:w="65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TP</w:t>
            </w:r>
          </w:p>
        </w:tc>
        <w:tc>
          <w:tcPr>
            <w:tcW w:type="dxa" w:w="65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FP</w:t>
            </w:r>
          </w:p>
        </w:tc>
        <w:tc>
          <w:tcPr>
            <w:tcW w:type="dxa" w:w="65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FN</w:t>
            </w:r>
          </w:p>
        </w:tc>
        <w:tc>
          <w:tcPr>
            <w:tcW w:type="dxa" w:w="140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Precision</w:t>
            </w:r>
          </w:p>
        </w:tc>
        <w:tc>
          <w:tcPr>
            <w:tcW w:type="dxa" w:w="140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Recall</w:t>
            </w:r>
          </w:p>
        </w:tc>
        <w:tc>
          <w:tcPr>
            <w:tcW w:type="dxa" w:w="140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F1</w:t>
            </w:r>
          </w:p>
        </w:tc>
      </w:tr>
      <w:tr>
        <w:tc>
          <w:tcPr>
            <w:tcW w:type="dxa" w:w="75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75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22</w:t>
            </w:r>
          </w:p>
        </w:tc>
        <w:tc>
          <w:tcPr>
            <w:tcW w:type="dxa" w:w="65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19</w:t>
            </w:r>
          </w:p>
        </w:tc>
        <w:tc>
          <w:tcPr>
            <w:tcW w:type="dxa" w:w="65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3</w:t>
            </w:r>
          </w:p>
        </w:tc>
        <w:tc>
          <w:tcPr>
            <w:tcW w:type="dxa" w:w="65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17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86.4%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52.8%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65.5%</w:t>
            </w:r>
          </w:p>
        </w:tc>
      </w:tr>
      <w:tr>
        <w:tc>
          <w:tcPr>
            <w:tcW w:type="dxa" w:w="75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75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0</w:t>
            </w:r>
          </w:p>
        </w:tc>
        <w:tc>
          <w:tcPr>
            <w:tcW w:type="dxa" w:w="65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0</w:t>
            </w:r>
          </w:p>
        </w:tc>
        <w:tc>
          <w:tcPr>
            <w:tcW w:type="dxa" w:w="65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0</w:t>
            </w:r>
          </w:p>
        </w:tc>
        <w:tc>
          <w:tcPr>
            <w:tcW w:type="dxa" w:w="65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36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N/A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0.0%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0.0%</w:t>
            </w:r>
          </w:p>
        </w:tc>
      </w:tr>
      <w:tr>
        <w:tc>
          <w:tcPr>
            <w:tcW w:type="dxa" w:w="75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3</w:t>
            </w:r>
          </w:p>
        </w:tc>
        <w:tc>
          <w:tcPr>
            <w:tcW w:type="dxa" w:w="75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9</w:t>
            </w:r>
          </w:p>
        </w:tc>
        <w:tc>
          <w:tcPr>
            <w:tcW w:type="dxa" w:w="65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8</w:t>
            </w:r>
          </w:p>
        </w:tc>
        <w:tc>
          <w:tcPr>
            <w:tcW w:type="dxa" w:w="65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65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28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88.9%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22.2%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35.6%</w:t>
            </w:r>
          </w:p>
        </w:tc>
      </w:tr>
      <w:tr>
        <w:tc>
          <w:tcPr>
            <w:tcW w:type="dxa" w:w="75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4</w:t>
            </w:r>
          </w:p>
        </w:tc>
        <w:tc>
          <w:tcPr>
            <w:tcW w:type="dxa" w:w="75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14</w:t>
            </w:r>
          </w:p>
        </w:tc>
        <w:tc>
          <w:tcPr>
            <w:tcW w:type="dxa" w:w="65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8</w:t>
            </w:r>
          </w:p>
        </w:tc>
        <w:tc>
          <w:tcPr>
            <w:tcW w:type="dxa" w:w="65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6</w:t>
            </w:r>
          </w:p>
        </w:tc>
        <w:tc>
          <w:tcPr>
            <w:tcW w:type="dxa" w:w="65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28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57.1%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22.2%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32.0%</w:t>
            </w:r>
          </w:p>
        </w:tc>
      </w:tr>
      <w:tr>
        <w:tc>
          <w:tcPr>
            <w:tcW w:type="dxa" w:w="75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5</w:t>
            </w:r>
          </w:p>
        </w:tc>
        <w:tc>
          <w:tcPr>
            <w:tcW w:type="dxa" w:w="75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0</w:t>
            </w:r>
          </w:p>
        </w:tc>
        <w:tc>
          <w:tcPr>
            <w:tcW w:type="dxa" w:w="65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0</w:t>
            </w:r>
          </w:p>
        </w:tc>
        <w:tc>
          <w:tcPr>
            <w:tcW w:type="dxa" w:w="65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0</w:t>
            </w:r>
          </w:p>
        </w:tc>
        <w:tc>
          <w:tcPr>
            <w:tcW w:type="dxa" w:w="65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36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N/A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0.0%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0.0%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/>
          <w:b w:val="0"/>
          <w:i/>
          <w:color w:val="222222"/>
          <w:sz w:val="22"/>
        </w:rPr>
        <w:t>Conditional analysis excluding zero-result runs: mean precision 77.5%, mean recall 32.4%, mean F1 44.4%; pooled precision 77.8%, pooled recall 32.4%, pooled F1 45.8%. These figures describe output quality when the model returns links, but must not replace the official all-run results because zero results are real failures.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6. Observed issues and interpretation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222"/>
          <w:sz w:val="22"/>
        </w:rPr>
        <w:t>High output variability: the same prompt and notebook produced zero to 22 relationships in v2.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222"/>
          <w:sz w:val="22"/>
        </w:rPr>
        <w:t>Recall is the bottleneck: even the stronger v2 runs miss many manually labeled relationships.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222"/>
          <w:sz w:val="22"/>
        </w:rPr>
        <w:t>The model consistently preserved exact source spans in non-empty outputs, a strong grounding result.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222"/>
          <w:sz w:val="22"/>
        </w:rPr>
        <w:t>The broad completeness wording reduced performance; “find everything” was not a useful control mechanism for GPT-5 nano in this task.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222"/>
          <w:sz w:val="22"/>
        </w:rPr>
        <w:t>The first v2 raw file was not retained, although its metrics were recorded; raw files are retained for runs 2-5.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7. Recommendations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222"/>
          <w:sz w:val="22"/>
        </w:rPr>
        <w:t>Keep v2 few-shot examples as the current candidate, but do not promote it based on one strong run.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222"/>
          <w:sz w:val="22"/>
        </w:rPr>
        <w:t>Repeat the five-run v2 evaluation after a configuration-only test, such as a higher reasoning effort, while keeping prompt text fixed.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222"/>
          <w:sz w:val="22"/>
        </w:rPr>
        <w:t>Add a second manually labeled notebook as a held-out evaluation set before selecting a production prompt.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222"/>
          <w:sz w:val="22"/>
        </w:rPr>
        <w:t>Review unmatched predictions to distinguish genuine false positives from omissions in the manual labels.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222"/>
          <w:sz w:val="22"/>
        </w:rPr>
        <w:t>Record raw response, model name, reasoning setting, latency, and token usage for every future run.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Appendix A. Prompt components used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22222"/>
          <w:sz w:val="22"/>
        </w:rPr>
        <w:t>Core instructions: identify every relationship; allow zero, one, or many links per Markdown/code cell; use separate relationships for distinct Markdown portions; prefer explicit local references or described operations; use exact contiguous source excerpts; use whole_cell only when necessary; return supplied IDs and indices exactly.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22222"/>
          <w:sz w:val="22"/>
        </w:rPr>
        <w:t>v2 examples: Create age bands to inspect survival patterns -&gt; records[AgeBand] = pd.cut(...); remove the temporary AgeBand feature -&gt; records.drop([AgeBand]); convert port labels into ordinal values -&gt; records[Port].map(...).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Appendix B. Reproducibility record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c>
          <w:tcPr>
            <w:tcW w:type="dxa" w:w="260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Item</w:t>
            </w:r>
          </w:p>
        </w:tc>
        <w:tc>
          <w:tcPr>
            <w:tcW w:type="dxa" w:w="6760"/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Recorded value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Model</w:t>
            </w:r>
          </w:p>
        </w:tc>
        <w:tc>
          <w:tcPr>
            <w:tcW w:type="dxa" w:w="676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gpt-5-nano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Reasoning effort</w:t>
            </w:r>
          </w:p>
        </w:tc>
        <w:tc>
          <w:tcPr>
            <w:tcW w:type="dxa" w:w="676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low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Output schema</w:t>
            </w:r>
          </w:p>
        </w:tc>
        <w:tc>
          <w:tcPr>
            <w:tcW w:type="dxa" w:w="676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Strict JSON schema with relationshipType, confidence, and reason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Gold scope</w:t>
            </w:r>
          </w:p>
        </w:tc>
        <w:tc>
          <w:tcPr>
            <w:tcW w:type="dxa" w:w="676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Code-only; 36 unique pairs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v2 archive</w:t>
            </w:r>
          </w:p>
        </w:tc>
        <w:tc>
          <w:tcPr>
            <w:tcW w:type="dxa" w:w="676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evaluation/runs/titanic_v2_few_shot/user_runs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Important limitation</w:t>
            </w:r>
          </w:p>
        </w:tc>
        <w:tc>
          <w:tcPr>
            <w:tcW w:type="dxa" w:w="6760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Run 1 metrics retained but raw JSON not archived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C. Medium-reasoning configuration result</w:t>
      </w:r>
    </w:p>
    <w:p>
      <w:r>
        <w:t>A configuration-only run was performed after the v2 evaluation. The Markdown-to-code prompt and strict response schema were unchanged; only the GPT-5 nano reasoning effort was changed from low to medium.</w:t>
      </w:r>
    </w:p>
    <w:p>
      <w:r>
        <w:t>This result is evaluated directly against the same Titanic code-only ground truth: 36 unique Markdown-to-code pairs. Output, image, and sketch links are excluded from both the prediction set and the ground truth.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Medium-reasoning result</w:t>
            </w:r>
          </w:p>
        </w:tc>
      </w:tr>
      <w:tr>
        <w:tc>
          <w:tcPr>
            <w:tcW w:type="dxa" w:w="4680"/>
          </w:tcPr>
          <w:p>
            <w:r>
              <w:t>Predicted Markdown-to-code links</w:t>
            </w:r>
          </w:p>
        </w:tc>
        <w:tc>
          <w:tcPr>
            <w:tcW w:type="dxa" w:w="4680"/>
          </w:tcPr>
          <w:p>
            <w:r>
              <w:t>39</w:t>
            </w:r>
          </w:p>
        </w:tc>
      </w:tr>
      <w:tr>
        <w:tc>
          <w:tcPr>
            <w:tcW w:type="dxa" w:w="4680"/>
          </w:tcPr>
          <w:p>
            <w:r>
              <w:t>Ground-truth links</w:t>
            </w:r>
          </w:p>
        </w:tc>
        <w:tc>
          <w:tcPr>
            <w:tcW w:type="dxa" w:w="4680"/>
          </w:tcPr>
          <w:p>
            <w:r>
              <w:t>36</w:t>
            </w:r>
          </w:p>
        </w:tc>
      </w:tr>
      <w:tr>
        <w:tc>
          <w:tcPr>
            <w:tcW w:type="dxa" w:w="4680"/>
          </w:tcPr>
          <w:p>
            <w:r>
              <w:t>True positives</w:t>
            </w:r>
          </w:p>
        </w:tc>
        <w:tc>
          <w:tcPr>
            <w:tcW w:type="dxa" w:w="4680"/>
          </w:tcPr>
          <w:p>
            <w:r>
              <w:t>28</w:t>
            </w:r>
          </w:p>
        </w:tc>
      </w:tr>
      <w:tr>
        <w:tc>
          <w:tcPr>
            <w:tcW w:type="dxa" w:w="4680"/>
          </w:tcPr>
          <w:p>
            <w:r>
              <w:t>False positives</w:t>
            </w:r>
          </w:p>
        </w:tc>
        <w:tc>
          <w:tcPr>
            <w:tcW w:type="dxa" w:w="4680"/>
          </w:tcPr>
          <w:p>
            <w:r>
              <w:t>11</w:t>
            </w:r>
          </w:p>
        </w:tc>
      </w:tr>
      <w:tr>
        <w:tc>
          <w:tcPr>
            <w:tcW w:type="dxa" w:w="4680"/>
          </w:tcPr>
          <w:p>
            <w:r>
              <w:t>False negatives</w:t>
            </w:r>
          </w:p>
        </w:tc>
        <w:tc>
          <w:tcPr>
            <w:tcW w:type="dxa" w:w="4680"/>
          </w:tcPr>
          <w:p>
            <w:r>
              <w:t>8</w:t>
            </w:r>
          </w:p>
        </w:tc>
      </w:tr>
      <w:tr>
        <w:tc>
          <w:tcPr>
            <w:tcW w:type="dxa" w:w="4680"/>
          </w:tcPr>
          <w:p>
            <w:r>
              <w:t>Precision</w:t>
            </w:r>
          </w:p>
        </w:tc>
        <w:tc>
          <w:tcPr>
            <w:tcW w:type="dxa" w:w="4680"/>
          </w:tcPr>
          <w:p>
            <w:r>
              <w:t>71.8%</w:t>
            </w:r>
          </w:p>
        </w:tc>
      </w:tr>
      <w:tr>
        <w:tc>
          <w:tcPr>
            <w:tcW w:type="dxa" w:w="4680"/>
          </w:tcPr>
          <w:p>
            <w:r>
              <w:t>Recall / ground-truth coverage</w:t>
            </w:r>
          </w:p>
        </w:tc>
        <w:tc>
          <w:tcPr>
            <w:tcW w:type="dxa" w:w="4680"/>
          </w:tcPr>
          <w:p>
            <w:r>
              <w:t>77.8% (28 of 36)</w:t>
            </w:r>
          </w:p>
        </w:tc>
      </w:tr>
      <w:tr>
        <w:tc>
          <w:tcPr>
            <w:tcW w:type="dxa" w:w="4680"/>
          </w:tcPr>
          <w:p>
            <w:r>
              <w:t>F1</w:t>
            </w:r>
          </w:p>
        </w:tc>
        <w:tc>
          <w:tcPr>
            <w:tcW w:type="dxa" w:w="4680"/>
          </w:tcPr>
          <w:p>
            <w:r>
              <w:t>74.7%</w:t>
            </w:r>
          </w:p>
        </w:tc>
      </w:tr>
    </w:tbl>
    <w:p>
      <w:r>
        <w:rPr>
          <w:b/>
        </w:rPr>
        <w:t xml:space="preserve">Interpretation. </w:t>
      </w:r>
      <w:r>
        <w:t>This medium-reasoning run covers 28 of the 36 manually labeled links. It is a strong single-run result, but it should be repeated across multiple runs before replacing the reliability conclusions from the five-run v2 experiment.</w:t>
      </w:r>
    </w:p>
    <w:p>
      <w:r>
        <w:rPr>
          <w:b/>
        </w:rPr>
        <w:t xml:space="preserve">Configuration record. </w:t>
      </w:r>
      <w:r>
        <w:t>Model: gpt-5-nano. Target: normal Markdown-to-code analysis only. Reasoning effort: medium. The independent Markdown-to-output analysis was not part of this measurement.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Appendix D. Low-reasoning GPT model comparison</w:t>
      </w:r>
    </w:p>
    <w:p>
      <w:r>
        <w:t>A configuration-controlled comparison evaluated GPT-5 nano, GPT-5 mini, and GPT-5.4 mini with low reasoning against the same Titanic code-only ground truth of 36 unique Markdown-to-code pairs. Output, image, and sketch relationships were excluded. The prompt, strict schema, notebook, matching rule, and post-processing were held constant.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560"/>
            <w:vAlign w:val="center"/>
          </w:tcPr>
          <w:p>
            <w:pPr>
              <w:jc w:val="center"/>
            </w:pPr>
            <w:r>
              <w:t>Model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t>Runs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t>Mean links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t>Pooled precision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t>Pooled recall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t>Pooled F1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left"/>
            </w:pPr>
            <w:r>
              <w:t>GPT-5 nano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t>6.0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t>83.3%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t>13.9%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t>23.8%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left"/>
            </w:pPr>
            <w:r>
              <w:t>GPT-5 mini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t>37.0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t>71.2%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t>73.1%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t>72.1%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left"/>
            </w:pPr>
            <w:r>
              <w:t>GPT-5.4 mini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t>60.3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t>53.0%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t>88.9%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t>66.4%</w:t>
            </w:r>
          </w:p>
        </w:tc>
      </w:tr>
    </w:tbl>
    <w:p>
      <w:r>
        <w:t>Latency results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</w:tcPr>
          <w:p>
            <w:pPr>
              <w:jc w:val="center"/>
            </w:pPr>
            <w:r>
              <w:t>Model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Mean latency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Observed range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t>GPT-5 nano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51.0 s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51.0 s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t>GPT-5 mini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84.7 s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76.5-92.2 s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t>GPT-5.4 mini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57.1 s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32.2-84.8 s</w:t>
            </w:r>
          </w:p>
        </w:tc>
      </w:tr>
    </w:tbl>
    <w:p>
      <w:r>
        <w:rPr>
          <w:b/>
        </w:rPr>
        <w:t xml:space="preserve">Conclusion. </w:t>
      </w:r>
      <w:r>
        <w:t>GPT-5 mini produced the best balance of precision and coverage and the highest pooled F1, so it was selected as the preferred model for Markdown-to-code relationship extraction. GPT-5.4 mini achieved the highest recall but generated substantially more unmatched links, reducing precision. GPT-5 nano was precise when it returned a link but missed most ground-truth relationships at low reasoning.</w:t>
      </w:r>
    </w:p>
    <w:p>
      <w:r>
        <w:rPr>
          <w:b/>
        </w:rPr>
        <w:t xml:space="preserve">Interpretation limits. </w:t>
      </w:r>
      <w:r>
        <w:t>GPT-5 nano has only one retained run in this low-reasoning model matrix, while the other models have three. The separate GPT-5 nano medium-reasoning result in Appendix C reached F1 74.7%, but it is a single configuration result and is not pooled into this table. Token usage was not retained, so this comparison reports latency but does not estimate API cost.</w:t>
      </w:r>
    </w:p>
    <w:p>
      <w:r>
        <w:br w:type="page"/>
      </w:r>
    </w:p>
    <w:p>
      <w:pPr>
        <w:pStyle w:val="Heading1"/>
      </w:pPr>
      <w:r>
        <w:t>Appendix E Qualitative relationship analysis</w:t>
      </w:r>
    </w:p>
    <w:p>
      <w:r>
        <w:t>The following cases expose the evidence presented to the evaluator and the model's own explanation. Confidence is a self-reported model estimate, not an independent correctness probability. The cases include strong, borderline, and weak links so that confidence can be interpreted together with evidence quality.</w:t>
      </w:r>
    </w:p>
    <w:p>
      <w:pPr>
        <w:pStyle w:val="Heading2"/>
      </w:pPr>
      <w:r>
        <w:t>Case 1 Directly supported transformation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72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Markdown evidence</w:t>
            </w:r>
          </w:p>
        </w:tc>
        <w:tc>
          <w:tcPr>
            <w:tcW w:type="dxa" w:w="5688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Code evidence</w:t>
            </w:r>
          </w:p>
        </w:tc>
      </w:tr>
      <w:tr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sz w:val="21"/>
              </w:rPr>
              <w:t>Based on our assumptions and decisions we want to drop the Cabin (correcting #2) and Ticket (correcting #1) features.</w:t>
            </w:r>
          </w:p>
        </w:tc>
        <w:tc>
          <w:tcPr>
            <w:tcW w:type="dxa" w:w="56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onsolas" w:hAnsi="Consolas"/>
                <w:sz w:val="18"/>
              </w:rPr>
              <w:t>train_df = train_df.drop(['Ticket', 'Cabin'], axis=1)</w:t>
              <w:br/>
              <w:t>test_df = test_df.drop(['Ticket', 'Cabin'], axis=1)</w:t>
            </w:r>
          </w:p>
        </w:tc>
      </w:tr>
    </w:tbl>
    <w:p>
      <w:pPr>
        <w:spacing w:before="140"/>
      </w:pPr>
      <w:r>
        <w:rPr>
          <w:b/>
        </w:rPr>
        <w:t xml:space="preserve">Model confidence  </w:t>
      </w:r>
      <w:r>
        <w:t>98%</w:t>
      </w:r>
    </w:p>
    <w:p>
      <w:r>
        <w:rPr>
          <w:b/>
        </w:rPr>
        <w:t xml:space="preserve">Model justification  </w:t>
      </w:r>
      <w:r>
        <w:t>Markdown recommends dropping Ticket and Cabin; code drops these columns from both datasets.</w:t>
      </w:r>
    </w:p>
    <w:p>
      <w:r>
        <w:rPr>
          <w:b/>
        </w:rPr>
        <w:t xml:space="preserve">Evaluation analysis  </w:t>
      </w:r>
      <w:r>
        <w:t>The Markdown and code name the same two columns and the same removal operation. The 98% confidence is consistent with the direct textual and operational match.</w:t>
      </w:r>
    </w:p>
    <w:p>
      <w:pPr>
        <w:pStyle w:val="Heading2"/>
      </w:pPr>
      <w:r>
        <w:t>Case 2 Supported analytical operation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72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Markdown evidence</w:t>
            </w:r>
          </w:p>
        </w:tc>
        <w:tc>
          <w:tcPr>
            <w:tcW w:type="dxa" w:w="5688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Code evidence</w:t>
            </w:r>
          </w:p>
        </w:tc>
      </w:tr>
      <w:tr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sz w:val="21"/>
              </w:rPr>
              <w:t>Let us create Age bands and determine correlations with Survived.</w:t>
            </w:r>
          </w:p>
        </w:tc>
        <w:tc>
          <w:tcPr>
            <w:tcW w:type="dxa" w:w="56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onsolas" w:hAnsi="Consolas"/>
                <w:sz w:val="18"/>
              </w:rPr>
              <w:t>train_df['AgeBand'] = pd.cut(train_df['Age'], 5)</w:t>
              <w:br/>
              <w:t>train_df[['AgeBand', 'Survived']].groupby(['AgeBand'], as_index=False).mean().sort_values(by='AgeBand', ascending=True)</w:t>
            </w:r>
          </w:p>
        </w:tc>
      </w:tr>
    </w:tbl>
    <w:p>
      <w:pPr>
        <w:spacing w:before="140"/>
      </w:pPr>
      <w:r>
        <w:rPr>
          <w:b/>
        </w:rPr>
        <w:t xml:space="preserve">Model confidence  </w:t>
      </w:r>
      <w:r>
        <w:t>95%</w:t>
      </w:r>
    </w:p>
    <w:p>
      <w:r>
        <w:rPr>
          <w:b/>
        </w:rPr>
        <w:t xml:space="preserve">Model justification  </w:t>
      </w:r>
      <w:r>
        <w:t>Markdown mentions creating Age bands to check correlation; code uses pd.cut to create AgeBand and shows survival mean per band.</w:t>
      </w:r>
    </w:p>
    <w:p>
      <w:r>
        <w:rPr>
          <w:b/>
        </w:rPr>
        <w:t xml:space="preserve">Evaluation analysis  </w:t>
      </w:r>
      <w:r>
        <w:t>The code creates AgeBand and aggregates survival by that band, directly matching both actions in the Markdown. The selected evidence is specific and grounded.</w:t>
      </w:r>
    </w:p>
    <w:p>
      <w:pPr>
        <w:pStyle w:val="Heading2"/>
      </w:pPr>
      <w:r>
        <w:t>Case 3 Partially inconsistent implementation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72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Markdown evidence</w:t>
            </w:r>
          </w:p>
        </w:tc>
        <w:tc>
          <w:tcPr>
            <w:tcW w:type="dxa" w:w="5688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Code evidence</w:t>
            </w:r>
          </w:p>
        </w:tc>
      </w:tr>
      <w:tr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sz w:val="21"/>
              </w:rPr>
              <w:t>We can now complete the Fare feature for single missing value in test dataset using mode to get the value that occurs most frequently for this feature. We do this in a single line of code.</w:t>
            </w:r>
          </w:p>
        </w:tc>
        <w:tc>
          <w:tcPr>
            <w:tcW w:type="dxa" w:w="56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onsolas" w:hAnsi="Consolas"/>
                <w:sz w:val="18"/>
              </w:rPr>
              <w:t>test_df['Fare'].fillna(test_df['Fare'].dropna().median(), inplace=True)</w:t>
              <w:br/>
              <w:t>test_df.head()</w:t>
            </w:r>
          </w:p>
        </w:tc>
      </w:tr>
    </w:tbl>
    <w:p>
      <w:pPr>
        <w:spacing w:before="140"/>
      </w:pPr>
      <w:r>
        <w:rPr>
          <w:b/>
        </w:rPr>
        <w:t xml:space="preserve">Model confidence  </w:t>
      </w:r>
      <w:r>
        <w:t>90%</w:t>
      </w:r>
    </w:p>
    <w:p>
      <w:r>
        <w:rPr>
          <w:b/>
        </w:rPr>
        <w:t xml:space="preserve">Model justification  </w:t>
      </w:r>
      <w:r>
        <w:t>Markdown says fill missing Fare using most frequent value; code fills missing Fare in test_df using median (slightly different but serves completion).</w:t>
      </w:r>
    </w:p>
    <w:p>
      <w:r>
        <w:rPr>
          <w:b/>
        </w:rPr>
        <w:t xml:space="preserve">Evaluation analysis  </w:t>
      </w:r>
      <w:r>
        <w:t>The relationship is relevant because both portions address completing Fare, but the Markdown specifies the mode while the code uses the median. A 90% confidence overstates the semantic agreement and illustrates that confidence requires review.</w:t>
      </w:r>
    </w:p>
    <w:p>
      <w:pPr>
        <w:pStyle w:val="Heading2"/>
      </w:pPr>
      <w:r>
        <w:t>Case 4 Weak contextual association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72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Markdown evidence</w:t>
            </w:r>
          </w:p>
        </w:tc>
        <w:tc>
          <w:tcPr>
            <w:tcW w:type="dxa" w:w="5688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Code evidence</w:t>
            </w:r>
          </w:p>
        </w:tc>
      </w:tr>
      <w:tr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sz w:val="21"/>
              </w:rPr>
              <w:t>We may also want round off the fare to two decimals as it represents currency.</w:t>
            </w:r>
          </w:p>
        </w:tc>
        <w:tc>
          <w:tcPr>
            <w:tcW w:type="dxa" w:w="56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onsolas" w:hAnsi="Consolas"/>
                <w:sz w:val="18"/>
              </w:rPr>
              <w:t>test_df.head()</w:t>
            </w:r>
          </w:p>
        </w:tc>
      </w:tr>
    </w:tbl>
    <w:p>
      <w:pPr>
        <w:spacing w:before="140"/>
      </w:pPr>
      <w:r>
        <w:rPr>
          <w:b/>
        </w:rPr>
        <w:t xml:space="preserve">Model confidence  </w:t>
      </w:r>
      <w:r>
        <w:t>60%</w:t>
      </w:r>
    </w:p>
    <w:p>
      <w:r>
        <w:rPr>
          <w:b/>
        </w:rPr>
        <w:t xml:space="preserve">Model justification  </w:t>
      </w:r>
      <w:r>
        <w:t>Markdown mentions rounding but no explicit rounding code exists; test_df.head() shows resulting data—relationship is weaker.</w:t>
      </w:r>
    </w:p>
    <w:p>
      <w:r>
        <w:rPr>
          <w:b/>
        </w:rPr>
        <w:t xml:space="preserve">Evaluation analysis  </w:t>
      </w:r>
      <w:r>
        <w:t>Displaying test_df does not implement the requested rounding operation. The 60% confidence appropriately signals uncertainty, but this link is better treated as a likely false positive under an evidence-based evaluation.</w:t>
      </w:r>
    </w:p>
    <w:p>
      <w:pPr>
        <w:spacing w:before="200"/>
      </w:pPr>
      <w:r>
        <w:rPr>
          <w:b/>
        </w:rPr>
        <w:t xml:space="preserve">Overall interpretation  </w:t>
      </w:r>
      <w:r>
        <w:t>High confidence generally accompanies direct operation-level matches, but it does not guarantee full semantic consistency. Reviewing the Markdown, code, and reason together reveals errors that pair-level metrics and confidence alone cannot detect.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6666"/>
        <w:sz w:val="16"/>
      </w:rPr>
      <w:t>Titanic code-only evaluation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666666"/>
        <w:sz w:val="16"/>
      </w:rPr>
      <w:t>LINKMAKER | PROMPT EVALUATION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LinkMaker Prompt Evaluation Report</dc:title>
  <dc:subject/>
  <dc:creator>LinkMaker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