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2f5e"/>
            <w:tcBorders>
              <w:top w:val="single" w:sz="0" w:space="0" w:color="1a2f5e"/>
              <w:left w:val="single" w:sz="0" w:space="0" w:color="1a2f5e"/>
              <w:bottom w:val="single" w:sz="0" w:space="0" w:color="1a2f5e"/>
              <w:right w:val="single" w:sz="0" w:space="0" w:color="1a2f5e"/>
            </w:tcBorders>
          </w:tcPr>
          <w:p>
            <w:pPr>
              <w:spacing w:before="36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48"/>
              </w:rPr>
              <w:t>GROWTH HACKER ANALYSIS</w:t>
            </w:r>
          </w:p>
          <w:p>
            <w:pPr>
              <w:spacing w:before="0" w:after="80"/>
              <w:jc w:val="center"/>
            </w:pPr>
            <w:r>
              <w:rPr>
                <w:rFonts w:ascii="Calibri" w:hAnsi="Calibri"/>
                <w:b/>
                <w:i w:val="0"/>
                <w:color w:val="A8C8F0"/>
                <w:sz w:val="34"/>
              </w:rPr>
              <w:t>Ready For Take-Off Book</w:t>
            </w:r>
          </w:p>
          <w:p>
            <w:pPr>
              <w:spacing w:before="0" w:after="360"/>
              <w:jc w:val="center"/>
            </w:pPr>
            <w:r>
              <w:rPr>
                <w:rFonts w:ascii="Calibri" w:hAnsi="Calibri"/>
                <w:b w:val="0"/>
                <w:i w:val="0"/>
                <w:color w:val="CCDDEE"/>
                <w:sz w:val="22"/>
              </w:rPr>
              <w:t>June 7, 2026  |  Prepared by: Growth Hacker Agent</w:t>
            </w:r>
          </w:p>
        </w:tc>
      </w:tr>
    </w:tbl>
    <w:p>
      <w:pPr>
        <w:spacing w:before="80" w:after="80"/>
        <w:jc w:val="left"/>
      </w:pPr>
    </w:p>
    <w:p>
      <w:pPr>
        <w:pStyle w:val="Heading1"/>
        <w:spacing w:before="320" w:after="120"/>
        <w:jc w:val="left"/>
      </w:pPr>
      <w:r>
        <w:rPr>
          <w:rFonts w:ascii="Calibri" w:hAnsi="Calibri"/>
          <w:color w:val="1A2F5E"/>
        </w:rPr>
        <w:t>1. Headline Diagnosis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BF5FB"/>
            <w:tcBorders>
              <w:top w:val="single" w:sz="6" w:space="0" w:color="1a2f5e"/>
              <w:left w:val="single" w:sz="6" w:space="0" w:color="1a2f5e"/>
              <w:bottom w:val="single" w:sz="6" w:space="0" w:color="1a2f5e"/>
              <w:right w:val="single" w:sz="6" w:space="0" w:color="1a2f5e"/>
            </w:tcBorders>
          </w:tcPr>
          <w:p>
            <w:pPr>
              <w:spacing w:before="200" w:after="200"/>
              <w:ind w:left="216" w:right="216"/>
              <w:jc w:val="left"/>
            </w:pPr>
            <w:r>
              <w:rPr>
                <w:rFonts w:ascii="Calibri" w:hAnsi="Calibri"/>
                <w:b/>
                <w:i w:val="0"/>
                <w:color w:val="1A2F5E"/>
                <w:sz w:val="26"/>
              </w:rPr>
              <w:t>Traffic Success / Conversion Failure</w:t>
              <w:br/>
            </w:r>
            <w:r>
              <w:rPr>
                <w:rFonts w:ascii="Calibri" w:hAnsi="Calibri"/>
                <w:b w:val="0"/>
                <w:i w:val="0"/>
                <w:color w:val="222222"/>
                <w:sz w:val="22"/>
              </w:rPr>
              <w:t>Your SEO brought in 307K sessions — that's excellent. But you're converting at 0.73%, roughly 3× below the e-commerce average of 2–3%. You're essentially leaving ~€300K/year on the table with your current traffic volume.</w:t>
            </w:r>
          </w:p>
        </w:tc>
      </w:tr>
    </w:tbl>
    <w:p>
      <w:pPr>
        <w:spacing w:before="80" w:after="80"/>
        <w:jc w:val="left"/>
      </w:pPr>
    </w:p>
    <w:p>
      <w:pPr>
        <w:pStyle w:val="Heading1"/>
        <w:spacing w:before="320" w:after="120"/>
        <w:jc w:val="left"/>
      </w:pPr>
      <w:r>
        <w:rPr>
          <w:rFonts w:ascii="Calibri" w:hAnsi="Calibri"/>
          <w:color w:val="1A2F5E"/>
        </w:rPr>
        <w:t>2. Key Metrics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024"/>
            <w:shd w:val="clear" w:color="auto" w:fill="1a2f5e"/>
            <w:tcBorders>
              <w:top w:val="single" w:sz="4" w:space="0" w:color="1a2f5e"/>
              <w:left w:val="single" w:sz="4" w:space="0" w:color="1a2f5e"/>
              <w:bottom w:val="single" w:sz="4" w:space="0" w:color="1a2f5e"/>
              <w:right w:val="single" w:sz="4" w:space="0" w:color="1a2f5e"/>
            </w:tcBorders>
            <w:vAlign w:val="center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Metric</w:t>
            </w:r>
          </w:p>
        </w:tc>
        <w:tc>
          <w:tcPr>
            <w:tcW w:type="dxa" w:w="2016"/>
            <w:shd w:val="clear" w:color="auto" w:fill="1a2f5e"/>
            <w:tcBorders>
              <w:top w:val="single" w:sz="4" w:space="0" w:color="1a2f5e"/>
              <w:left w:val="single" w:sz="4" w:space="0" w:color="1a2f5e"/>
              <w:bottom w:val="single" w:sz="4" w:space="0" w:color="1a2f5e"/>
              <w:right w:val="single" w:sz="4" w:space="0" w:color="1a2f5e"/>
            </w:tcBorders>
            <w:vAlign w:val="center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Your Number</w:t>
            </w:r>
          </w:p>
        </w:tc>
        <w:tc>
          <w:tcPr>
            <w:tcW w:type="dxa" w:w="1728"/>
            <w:shd w:val="clear" w:color="auto" w:fill="1a2f5e"/>
            <w:tcBorders>
              <w:top w:val="single" w:sz="4" w:space="0" w:color="1a2f5e"/>
              <w:left w:val="single" w:sz="4" w:space="0" w:color="1a2f5e"/>
              <w:bottom w:val="single" w:sz="4" w:space="0" w:color="1a2f5e"/>
              <w:right w:val="single" w:sz="4" w:space="0" w:color="1a2f5e"/>
            </w:tcBorders>
            <w:vAlign w:val="center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Benchmark</w:t>
            </w:r>
          </w:p>
        </w:tc>
        <w:tc>
          <w:tcPr>
            <w:tcW w:type="dxa" w:w="2016"/>
            <w:shd w:val="clear" w:color="auto" w:fill="1a2f5e"/>
            <w:tcBorders>
              <w:top w:val="single" w:sz="4" w:space="0" w:color="1a2f5e"/>
              <w:left w:val="single" w:sz="4" w:space="0" w:color="1a2f5e"/>
              <w:bottom w:val="single" w:sz="4" w:space="0" w:color="1a2f5e"/>
              <w:right w:val="single" w:sz="4" w:space="0" w:color="1a2f5e"/>
            </w:tcBorders>
            <w:vAlign w:val="center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Status</w:t>
            </w:r>
          </w:p>
        </w:tc>
      </w:tr>
      <w:tr>
        <w:tc>
          <w:tcPr>
            <w:tcW w:type="dxa" w:w="30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100" w:after="100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21"/>
              </w:rPr>
              <w:t>Sessions</w:t>
            </w:r>
          </w:p>
        </w:tc>
        <w:tc>
          <w:tcPr>
            <w:tcW w:type="dxa" w:w="2016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21"/>
              </w:rPr>
              <w:t>306,959 (+104%)</w:t>
            </w:r>
          </w:p>
        </w:tc>
        <w:tc>
          <w:tcPr>
            <w:tcW w:type="dxa" w:w="172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21"/>
              </w:rPr>
              <w:t>—</w:t>
            </w:r>
          </w:p>
        </w:tc>
        <w:tc>
          <w:tcPr>
            <w:tcW w:type="dxa" w:w="2016"/>
            <w:shd w:val="clear" w:color="auto" w:fill="2E7D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Growing fast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100" w:after="100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21"/>
              </w:rPr>
              <w:t>Conversion Rate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21"/>
              </w:rPr>
              <w:t>0.73%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21"/>
              </w:rPr>
              <w:t>2–3%</w:t>
            </w:r>
          </w:p>
        </w:tc>
        <w:tc>
          <w:tcPr>
            <w:tcW w:type="dxa" w:w="2016"/>
            <w:shd w:val="clear" w:color="auto" w:fill="C628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CRITICAL</w:t>
            </w:r>
          </w:p>
        </w:tc>
      </w:tr>
      <w:tr>
        <w:tc>
          <w:tcPr>
            <w:tcW w:type="dxa" w:w="30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100" w:after="100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21"/>
              </w:rPr>
              <w:t>Average Order Value</w:t>
            </w:r>
          </w:p>
        </w:tc>
        <w:tc>
          <w:tcPr>
            <w:tcW w:type="dxa" w:w="2016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21"/>
              </w:rPr>
              <w:t>€56.09</w:t>
            </w:r>
          </w:p>
        </w:tc>
        <w:tc>
          <w:tcPr>
            <w:tcW w:type="dxa" w:w="172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21"/>
              </w:rPr>
              <w:t>—</w:t>
            </w:r>
          </w:p>
        </w:tc>
        <w:tc>
          <w:tcPr>
            <w:tcW w:type="dxa" w:w="2016"/>
            <w:shd w:val="clear" w:color="auto" w:fill="2E7D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Healthy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100" w:after="100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21"/>
              </w:rPr>
              <w:t>Orders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21"/>
              </w:rPr>
              <w:t>2,590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21"/>
              </w:rPr>
              <w:t>—</w:t>
            </w:r>
          </w:p>
        </w:tc>
        <w:tc>
          <w:tcPr>
            <w:tcW w:type="dxa" w:w="2016"/>
            <w:shd w:val="clear" w:color="auto" w:fill="E651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Too low for traffic</w:t>
            </w:r>
          </w:p>
        </w:tc>
      </w:tr>
      <w:tr>
        <w:tc>
          <w:tcPr>
            <w:tcW w:type="dxa" w:w="30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100" w:after="100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21"/>
              </w:rPr>
              <w:t>Returning Customers</w:t>
            </w:r>
          </w:p>
        </w:tc>
        <w:tc>
          <w:tcPr>
            <w:tcW w:type="dxa" w:w="2016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21"/>
              </w:rPr>
              <w:t>2.53%</w:t>
            </w:r>
          </w:p>
        </w:tc>
        <w:tc>
          <w:tcPr>
            <w:tcW w:type="dxa" w:w="172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21"/>
              </w:rPr>
              <w:t>20–30%</w:t>
            </w:r>
          </w:p>
        </w:tc>
        <w:tc>
          <w:tcPr>
            <w:tcW w:type="dxa" w:w="2016"/>
            <w:shd w:val="clear" w:color="auto" w:fill="C628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CRITICAL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100" w:after="100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21"/>
              </w:rPr>
              <w:t>Add-to-Cart Rate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21"/>
              </w:rPr>
              <w:t>1.63%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21"/>
              </w:rPr>
              <w:t>8–12%</w:t>
            </w:r>
          </w:p>
        </w:tc>
        <w:tc>
          <w:tcPr>
            <w:tcW w:type="dxa" w:w="2016"/>
            <w:shd w:val="clear" w:color="auto" w:fill="C628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CRITICAL</w:t>
            </w:r>
          </w:p>
        </w:tc>
      </w:tr>
      <w:tr>
        <w:tc>
          <w:tcPr>
            <w:tcW w:type="dxa" w:w="30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100" w:after="100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21"/>
              </w:rPr>
              <w:t>Cart → Purchase</w:t>
            </w:r>
          </w:p>
        </w:tc>
        <w:tc>
          <w:tcPr>
            <w:tcW w:type="dxa" w:w="2016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21"/>
              </w:rPr>
              <w:t>53%</w:t>
            </w:r>
          </w:p>
        </w:tc>
        <w:tc>
          <w:tcPr>
            <w:tcW w:type="dxa" w:w="172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21"/>
              </w:rPr>
              <w:t>~65%</w:t>
            </w:r>
          </w:p>
        </w:tc>
        <w:tc>
          <w:tcPr>
            <w:tcW w:type="dxa" w:w="2016"/>
            <w:shd w:val="clear" w:color="auto" w:fill="E651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Fixable</w:t>
            </w:r>
          </w:p>
        </w:tc>
      </w:tr>
    </w:tbl>
    <w:p>
      <w:pPr>
        <w:spacing w:before="80" w:after="80"/>
        <w:jc w:val="left"/>
      </w:pPr>
    </w:p>
    <w:p>
      <w:pPr>
        <w:pStyle w:val="Heading1"/>
        <w:spacing w:before="320" w:after="120"/>
        <w:jc w:val="left"/>
      </w:pPr>
      <w:r>
        <w:rPr>
          <w:rFonts w:ascii="Calibri" w:hAnsi="Calibri"/>
          <w:color w:val="1A2F5E"/>
        </w:rPr>
        <w:t>3. The 3 Root Causes</w:t>
      </w:r>
    </w:p>
    <w:p>
      <w:pPr>
        <w:pStyle w:val="Heading2"/>
        <w:spacing w:before="200" w:after="80"/>
        <w:jc w:val="left"/>
      </w:pPr>
      <w:r>
        <w:rPr>
          <w:rFonts w:ascii="Calibri" w:hAnsi="Calibri"/>
          <w:color w:val="1A2F5E"/>
        </w:rPr>
        <w:t>3.1  SEO Traffic is Informational, Not Transactional</w:t>
      </w:r>
    </w:p>
    <w:p>
      <w:pPr>
        <w:spacing w:before="40" w:after="160"/>
        <w:jc w:val="left"/>
      </w:pPr>
      <w:r>
        <w:rPr>
          <w:rFonts w:ascii="Calibri" w:hAnsi="Calibri"/>
          <w:b w:val="0"/>
          <w:i w:val="0"/>
          <w:color w:val="333333"/>
          <w:sz w:val="22"/>
        </w:rPr>
        <w:t>Your #1 landing page — /products/ready-for-take-off-book — got 113,700 sessions but almost none converted. Your blog articles (pilot recruitment, A320 type rating) are pulling in aspiring pilots who are researching, not ready to buy. Top-of-funnel traffic landed directly on the buy page with no warm-up. That kills conversion.</w:t>
      </w:r>
    </w:p>
    <w:p>
      <w:pPr>
        <w:pStyle w:val="Heading2"/>
        <w:spacing w:before="200" w:after="80"/>
        <w:jc w:val="left"/>
      </w:pPr>
      <w:r>
        <w:rPr>
          <w:rFonts w:ascii="Calibri" w:hAnsi="Calibri"/>
          <w:color w:val="1A2F5E"/>
        </w:rPr>
        <w:t>3.2  Cart Abandonment is a Leak Nobody is Plugging</w:t>
      </w:r>
    </w:p>
    <w:p>
      <w:pPr>
        <w:spacing w:before="40" w:after="160"/>
        <w:jc w:val="left"/>
      </w:pPr>
      <w:r>
        <w:rPr>
          <w:rFonts w:ascii="Calibri" w:hAnsi="Calibri"/>
          <w:b w:val="0"/>
          <w:i w:val="0"/>
          <w:color w:val="333333"/>
          <w:sz w:val="22"/>
        </w:rPr>
        <w:t>5,017 added to cart → 2,267 completed = 2,750 abandoned carts. At €56 AOV, that's €154,000 of near-purchases you're not recovering.</w:t>
      </w:r>
    </w:p>
    <w:p>
      <w:pPr>
        <w:pStyle w:val="Heading2"/>
        <w:spacing w:before="200" w:after="80"/>
        <w:jc w:val="left"/>
      </w:pPr>
      <w:r>
        <w:rPr>
          <w:rFonts w:ascii="Calibri" w:hAnsi="Calibri"/>
          <w:color w:val="1A2F5E"/>
        </w:rPr>
        <w:t>3.3  Zero Retention — No Second Product to Buy</w:t>
      </w:r>
    </w:p>
    <w:p>
      <w:pPr>
        <w:spacing w:before="40" w:after="160"/>
        <w:jc w:val="left"/>
      </w:pPr>
      <w:r>
        <w:rPr>
          <w:rFonts w:ascii="Calibri" w:hAnsi="Calibri"/>
          <w:b w:val="0"/>
          <w:i w:val="0"/>
          <w:color w:val="333333"/>
          <w:sz w:val="22"/>
        </w:rPr>
        <w:t>The cohort analysis shows 0% repeat purchase after month 1 across every cohort. One product, customers buy it once, and they're gone. The email list is being massively underutilised.</w:t>
      </w:r>
    </w:p>
    <w:p>
      <w:pPr>
        <w:spacing w:before="40" w:after="40"/>
        <w:jc w:val="left"/>
      </w:pPr>
    </w:p>
    <w:p>
      <w:pPr>
        <w:pStyle w:val="Heading1"/>
        <w:spacing w:before="320" w:after="120"/>
        <w:jc w:val="left"/>
      </w:pPr>
      <w:r>
        <w:rPr>
          <w:rFonts w:ascii="Calibri" w:hAnsi="Calibri"/>
          <w:color w:val="1A2F5E"/>
        </w:rPr>
        <w:t>4. Prioritised Experiment Roadmap</w:t>
      </w:r>
    </w:p>
    <w:p>
      <w:pPr>
        <w:pStyle w:val="Heading2"/>
        <w:spacing w:before="280" w:after="80"/>
        <w:jc w:val="left"/>
        <w:pBdr>
          <w:bottom w:val="single" w:sz="4" w:space="2" w:color="2E7D32"/>
        </w:pBdr>
      </w:pPr>
      <w:r>
        <w:rPr>
          <w:rFonts w:ascii="Calibri" w:hAnsi="Calibri"/>
          <w:color w:val="1A2F5E"/>
        </w:rPr>
        <w:t>This Week — Highest Leverage, Zero Cost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05"/>
            <w:shd w:val="clear" w:color="auto" w:fill="1a2f5e"/>
            <w:tcBorders>
              <w:top w:val="single" w:sz="4" w:space="0" w:color="1a2f5e"/>
              <w:left w:val="single" w:sz="4" w:space="0" w:color="1a2f5e"/>
              <w:bottom w:val="single" w:sz="4" w:space="0" w:color="1a2f5e"/>
              <w:right w:val="single" w:sz="4" w:space="0" w:color="1a2f5e"/>
            </w:tcBorders>
            <w:vAlign w:val="center"/>
          </w:tcPr>
          <w:p>
            <w:pPr>
              <w:spacing w:before="160" w:after="1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1.</w:t>
            </w:r>
          </w:p>
        </w:tc>
        <w:tc>
          <w:tcPr>
            <w:tcW w:type="dxa" w:w="8179"/>
            <w:shd w:val="clear" w:color="auto" w:fill="F8FAFD"/>
            <w:tcBorders>
              <w:top w:val="single" w:sz="4" w:space="0" w:color="D0DDF0"/>
              <w:left w:val="single" w:sz="4" w:space="0" w:color="D0DDF0"/>
              <w:bottom w:val="single" w:sz="4" w:space="0" w:color="D0DDF0"/>
              <w:right w:val="single" w:sz="4" w:space="0" w:color="D0DDF0"/>
            </w:tcBorders>
            <w:vAlign w:val="center"/>
          </w:tcPr>
          <w:p>
            <w:pPr>
              <w:spacing w:before="140" w:after="140"/>
              <w:ind w:left="173" w:right="115"/>
              <w:jc w:val="left"/>
            </w:pPr>
            <w:r>
              <w:rPr>
                <w:rFonts w:ascii="Calibri" w:hAnsi="Calibri"/>
                <w:b/>
                <w:i w:val="0"/>
                <w:color w:val="1A2F5E"/>
                <w:sz w:val="22"/>
              </w:rPr>
              <w:t>Abandoned Cart Email Sequence</w:t>
              <w:br/>
            </w:r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Set up a 3-email flow in Shopify (1hr / 24hr / 72hr). Recovering 20% of your 2,750 abandoned carts = +550 orders = +€30K. This is the single biggest win available right now.</w:t>
            </w:r>
          </w:p>
        </w:tc>
      </w:tr>
    </w:tbl>
    <w:p>
      <w:pPr>
        <w:spacing w:before="0" w:after="80"/>
        <w:jc w:val="left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05"/>
            <w:shd w:val="clear" w:color="auto" w:fill="1a2f5e"/>
            <w:tcBorders>
              <w:top w:val="single" w:sz="4" w:space="0" w:color="1a2f5e"/>
              <w:left w:val="single" w:sz="4" w:space="0" w:color="1a2f5e"/>
              <w:bottom w:val="single" w:sz="4" w:space="0" w:color="1a2f5e"/>
              <w:right w:val="single" w:sz="4" w:space="0" w:color="1a2f5e"/>
            </w:tcBorders>
            <w:vAlign w:val="center"/>
          </w:tcPr>
          <w:p>
            <w:pPr>
              <w:spacing w:before="160" w:after="1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2.</w:t>
            </w:r>
          </w:p>
        </w:tc>
        <w:tc>
          <w:tcPr>
            <w:tcW w:type="dxa" w:w="8179"/>
            <w:shd w:val="clear" w:color="auto" w:fill="F8FAFD"/>
            <w:tcBorders>
              <w:top w:val="single" w:sz="4" w:space="0" w:color="D0DDF0"/>
              <w:left w:val="single" w:sz="4" w:space="0" w:color="D0DDF0"/>
              <w:bottom w:val="single" w:sz="4" w:space="0" w:color="D0DDF0"/>
              <w:right w:val="single" w:sz="4" w:space="0" w:color="D0DDF0"/>
            </w:tcBorders>
            <w:vAlign w:val="center"/>
          </w:tcPr>
          <w:p>
            <w:pPr>
              <w:spacing w:before="140" w:after="140"/>
              <w:ind w:left="173" w:right="115"/>
              <w:jc w:val="left"/>
            </w:pPr>
            <w:r>
              <w:rPr>
                <w:rFonts w:ascii="Calibri" w:hAnsi="Calibri"/>
                <w:b/>
                <w:i w:val="0"/>
                <w:color w:val="1A2F5E"/>
                <w:sz w:val="22"/>
              </w:rPr>
              <w:t>Add Apple Pay / Google Pay to Checkout</w:t>
              <w:br/>
            </w:r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Traffic is predominantly mobile. One-tap payment removes the biggest mobile checkout friction. Expected CVR lift: +0.2–0.4%.</w:t>
            </w:r>
          </w:p>
        </w:tc>
      </w:tr>
    </w:tbl>
    <w:p>
      <w:pPr>
        <w:spacing w:before="0" w:after="80"/>
        <w:jc w:val="left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05"/>
            <w:shd w:val="clear" w:color="auto" w:fill="1a2f5e"/>
            <w:tcBorders>
              <w:top w:val="single" w:sz="4" w:space="0" w:color="1a2f5e"/>
              <w:left w:val="single" w:sz="4" w:space="0" w:color="1a2f5e"/>
              <w:bottom w:val="single" w:sz="4" w:space="0" w:color="1a2f5e"/>
              <w:right w:val="single" w:sz="4" w:space="0" w:color="1a2f5e"/>
            </w:tcBorders>
            <w:vAlign w:val="center"/>
          </w:tcPr>
          <w:p>
            <w:pPr>
              <w:spacing w:before="160" w:after="1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3.</w:t>
            </w:r>
          </w:p>
        </w:tc>
        <w:tc>
          <w:tcPr>
            <w:tcW w:type="dxa" w:w="8179"/>
            <w:shd w:val="clear" w:color="auto" w:fill="F8FAFD"/>
            <w:tcBorders>
              <w:top w:val="single" w:sz="4" w:space="0" w:color="D0DDF0"/>
              <w:left w:val="single" w:sz="4" w:space="0" w:color="D0DDF0"/>
              <w:bottom w:val="single" w:sz="4" w:space="0" w:color="D0DDF0"/>
              <w:right w:val="single" w:sz="4" w:space="0" w:color="D0DDF0"/>
            </w:tcBorders>
            <w:vAlign w:val="center"/>
          </w:tcPr>
          <w:p>
            <w:pPr>
              <w:spacing w:before="140" w:after="140"/>
              <w:ind w:left="173" w:right="115"/>
              <w:jc w:val="left"/>
            </w:pPr>
            <w:r>
              <w:rPr>
                <w:rFonts w:ascii="Calibri" w:hAnsi="Calibri"/>
                <w:b/>
                <w:i w:val="0"/>
                <w:color w:val="1A2F5E"/>
                <w:sz w:val="22"/>
              </w:rPr>
              <w:t>Sticky 'Buy Now' Button on Mobile Product Page</w:t>
              <w:br/>
            </w:r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113K sessions hit that page. A persistent CTA costs nothing to test and directly addresses the 1.63% add-to-cart rate.</w:t>
            </w:r>
          </w:p>
        </w:tc>
      </w:tr>
    </w:tbl>
    <w:p>
      <w:pPr>
        <w:spacing w:before="0" w:after="80"/>
        <w:jc w:val="left"/>
      </w:pPr>
    </w:p>
    <w:p>
      <w:pPr>
        <w:pStyle w:val="Heading2"/>
        <w:spacing w:before="280" w:after="80"/>
        <w:jc w:val="left"/>
        <w:pBdr>
          <w:bottom w:val="single" w:sz="4" w:space="2" w:color="1565C0"/>
        </w:pBdr>
      </w:pPr>
      <w:r>
        <w:rPr>
          <w:rFonts w:ascii="Calibri" w:hAnsi="Calibri"/>
          <w:color w:val="1A2F5E"/>
        </w:rPr>
        <w:t>Next 2–4 Weeks — Conversion Funnel Fixes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05"/>
            <w:shd w:val="clear" w:color="auto" w:fill="1a2f5e"/>
            <w:tcBorders>
              <w:top w:val="single" w:sz="4" w:space="0" w:color="1a2f5e"/>
              <w:left w:val="single" w:sz="4" w:space="0" w:color="1a2f5e"/>
              <w:bottom w:val="single" w:sz="4" w:space="0" w:color="1a2f5e"/>
              <w:right w:val="single" w:sz="4" w:space="0" w:color="1a2f5e"/>
            </w:tcBorders>
            <w:vAlign w:val="center"/>
          </w:tcPr>
          <w:p>
            <w:pPr>
              <w:spacing w:before="160" w:after="1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4.</w:t>
            </w:r>
          </w:p>
        </w:tc>
        <w:tc>
          <w:tcPr>
            <w:tcW w:type="dxa" w:w="8179"/>
            <w:shd w:val="clear" w:color="auto" w:fill="F8FAFD"/>
            <w:tcBorders>
              <w:top w:val="single" w:sz="4" w:space="0" w:color="D0DDF0"/>
              <w:left w:val="single" w:sz="4" w:space="0" w:color="D0DDF0"/>
              <w:bottom w:val="single" w:sz="4" w:space="0" w:color="D0DDF0"/>
              <w:right w:val="single" w:sz="4" w:space="0" w:color="D0DDF0"/>
            </w:tcBorders>
            <w:vAlign w:val="center"/>
          </w:tcPr>
          <w:p>
            <w:pPr>
              <w:spacing w:before="140" w:after="140"/>
              <w:ind w:left="173" w:right="115"/>
              <w:jc w:val="left"/>
            </w:pPr>
            <w:r>
              <w:rPr>
                <w:rFonts w:ascii="Calibri" w:hAnsi="Calibri"/>
                <w:b/>
                <w:i w:val="0"/>
                <w:color w:val="1A2F5E"/>
                <w:sz w:val="22"/>
              </w:rPr>
              <w:t>Email Capture on Blog Articles</w:t>
              <w:br/>
            </w:r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The pilot recruitment blog gets 14K sessions from perfect prospects. Add a lead magnet mid-article: "Free: The 7 Questions Airlines Always Ask (and How to Answer Them)." Even 5% capture = 700 emails/month. Nurture with a 7-day sequence ending in a purchase offer. Estimated: +150–300 orders/month.</w:t>
            </w:r>
          </w:p>
        </w:tc>
      </w:tr>
    </w:tbl>
    <w:p>
      <w:pPr>
        <w:spacing w:before="0" w:after="80"/>
        <w:jc w:val="left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05"/>
            <w:shd w:val="clear" w:color="auto" w:fill="1a2f5e"/>
            <w:tcBorders>
              <w:top w:val="single" w:sz="4" w:space="0" w:color="1a2f5e"/>
              <w:left w:val="single" w:sz="4" w:space="0" w:color="1a2f5e"/>
              <w:bottom w:val="single" w:sz="4" w:space="0" w:color="1a2f5e"/>
              <w:right w:val="single" w:sz="4" w:space="0" w:color="1a2f5e"/>
            </w:tcBorders>
            <w:vAlign w:val="center"/>
          </w:tcPr>
          <w:p>
            <w:pPr>
              <w:spacing w:before="160" w:after="1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5.</w:t>
            </w:r>
          </w:p>
        </w:tc>
        <w:tc>
          <w:tcPr>
            <w:tcW w:type="dxa" w:w="8179"/>
            <w:shd w:val="clear" w:color="auto" w:fill="F8FAFD"/>
            <w:tcBorders>
              <w:top w:val="single" w:sz="4" w:space="0" w:color="D0DDF0"/>
              <w:left w:val="single" w:sz="4" w:space="0" w:color="D0DDF0"/>
              <w:bottom w:val="single" w:sz="4" w:space="0" w:color="D0DDF0"/>
              <w:right w:val="single" w:sz="4" w:space="0" w:color="D0DDF0"/>
            </w:tcBorders>
            <w:vAlign w:val="center"/>
          </w:tcPr>
          <w:p>
            <w:pPr>
              <w:spacing w:before="140" w:after="140"/>
              <w:ind w:left="173" w:right="115"/>
              <w:jc w:val="left"/>
            </w:pPr>
            <w:r>
              <w:rPr>
                <w:rFonts w:ascii="Calibri" w:hAnsi="Calibri"/>
                <w:b/>
                <w:i w:val="0"/>
                <w:color w:val="1A2F5E"/>
                <w:sz w:val="22"/>
              </w:rPr>
              <w:t>Post-Purchase Upsell</w:t>
              <w:br/>
            </w:r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Add an instant upsell after checkout: "Complete your preparation — add the ebook for €X." The ebook and mock interview products barely register in orders despite existing. Bundle them. This lifts AOV from €56 toward €80+.</w:t>
            </w:r>
          </w:p>
        </w:tc>
      </w:tr>
    </w:tbl>
    <w:p>
      <w:pPr>
        <w:spacing w:before="0" w:after="80"/>
        <w:jc w:val="left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05"/>
            <w:shd w:val="clear" w:color="auto" w:fill="1a2f5e"/>
            <w:tcBorders>
              <w:top w:val="single" w:sz="4" w:space="0" w:color="1a2f5e"/>
              <w:left w:val="single" w:sz="4" w:space="0" w:color="1a2f5e"/>
              <w:bottom w:val="single" w:sz="4" w:space="0" w:color="1a2f5e"/>
              <w:right w:val="single" w:sz="4" w:space="0" w:color="1a2f5e"/>
            </w:tcBorders>
            <w:vAlign w:val="center"/>
          </w:tcPr>
          <w:p>
            <w:pPr>
              <w:spacing w:before="160" w:after="1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6.</w:t>
            </w:r>
          </w:p>
        </w:tc>
        <w:tc>
          <w:tcPr>
            <w:tcW w:type="dxa" w:w="8179"/>
            <w:shd w:val="clear" w:color="auto" w:fill="F8FAFD"/>
            <w:tcBorders>
              <w:top w:val="single" w:sz="4" w:space="0" w:color="D0DDF0"/>
              <w:left w:val="single" w:sz="4" w:space="0" w:color="D0DDF0"/>
              <w:bottom w:val="single" w:sz="4" w:space="0" w:color="D0DDF0"/>
              <w:right w:val="single" w:sz="4" w:space="0" w:color="D0DDF0"/>
            </w:tcBorders>
            <w:vAlign w:val="center"/>
          </w:tcPr>
          <w:p>
            <w:pPr>
              <w:spacing w:before="140" w:after="140"/>
              <w:ind w:left="173" w:right="115"/>
              <w:jc w:val="left"/>
            </w:pPr>
            <w:r>
              <w:rPr>
                <w:rFonts w:ascii="Calibri" w:hAnsi="Calibri"/>
                <w:b/>
                <w:i w:val="0"/>
                <w:color w:val="1A2F5E"/>
                <w:sz w:val="22"/>
              </w:rPr>
              <w:t>Product Page Social Proof Overhaul</w:t>
              <w:br/>
            </w:r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Add: number of pilots who passed using the book, specific airline logos, a money-back guarantee badge, and 3–5 video or named testimonials. The page is getting 113K sessions — even a 0.5% CVR lift = +565 orders.</w:t>
            </w:r>
          </w:p>
        </w:tc>
      </w:tr>
    </w:tbl>
    <w:p>
      <w:pPr>
        <w:spacing w:before="0" w:after="80"/>
        <w:jc w:val="left"/>
      </w:pPr>
    </w:p>
    <w:p>
      <w:pPr>
        <w:pStyle w:val="Heading2"/>
        <w:spacing w:before="280" w:after="80"/>
        <w:jc w:val="left"/>
        <w:pBdr>
          <w:bottom w:val="single" w:sz="4" w:space="2" w:color="6A1B9A"/>
        </w:pBdr>
      </w:pPr>
      <w:r>
        <w:rPr>
          <w:rFonts w:ascii="Calibri" w:hAnsi="Calibri"/>
          <w:color w:val="1A2F5E"/>
        </w:rPr>
        <w:t>Month 2+ — Scale What's Working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05"/>
            <w:shd w:val="clear" w:color="auto" w:fill="1a2f5e"/>
            <w:tcBorders>
              <w:top w:val="single" w:sz="4" w:space="0" w:color="1a2f5e"/>
              <w:left w:val="single" w:sz="4" w:space="0" w:color="1a2f5e"/>
              <w:bottom w:val="single" w:sz="4" w:space="0" w:color="1a2f5e"/>
              <w:right w:val="single" w:sz="4" w:space="0" w:color="1a2f5e"/>
            </w:tcBorders>
            <w:vAlign w:val="center"/>
          </w:tcPr>
          <w:p>
            <w:pPr>
              <w:spacing w:before="160" w:after="1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7.</w:t>
            </w:r>
          </w:p>
        </w:tc>
        <w:tc>
          <w:tcPr>
            <w:tcW w:type="dxa" w:w="8179"/>
            <w:shd w:val="clear" w:color="auto" w:fill="F8FAFD"/>
            <w:tcBorders>
              <w:top w:val="single" w:sz="4" w:space="0" w:color="D0DDF0"/>
              <w:left w:val="single" w:sz="4" w:space="0" w:color="D0DDF0"/>
              <w:bottom w:val="single" w:sz="4" w:space="0" w:color="D0DDF0"/>
              <w:right w:val="single" w:sz="4" w:space="0" w:color="D0DDF0"/>
            </w:tcBorders>
            <w:vAlign w:val="center"/>
          </w:tcPr>
          <w:p>
            <w:pPr>
              <w:spacing w:before="140" w:after="140"/>
              <w:ind w:left="173" w:right="115"/>
              <w:jc w:val="left"/>
            </w:pPr>
            <w:r>
              <w:rPr>
                <w:rFonts w:ascii="Calibri" w:hAnsi="Calibri"/>
                <w:b/>
                <w:i w:val="0"/>
                <w:color w:val="1A2F5E"/>
                <w:sz w:val="22"/>
              </w:rPr>
              <w:t>Facebook / Instagram Retargeting</w:t>
              <w:br/>
            </w:r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Already getting €21.4K from Facebook organically. Set up retargeting audiences: product page visitors who didn't buy, blog readers, email list. At current traffic volume, retargeting should generate €5–10K/month at low CAC.</w:t>
            </w:r>
          </w:p>
        </w:tc>
      </w:tr>
    </w:tbl>
    <w:p>
      <w:pPr>
        <w:spacing w:before="0" w:after="80"/>
        <w:jc w:val="left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05"/>
            <w:shd w:val="clear" w:color="auto" w:fill="1a2f5e"/>
            <w:tcBorders>
              <w:top w:val="single" w:sz="4" w:space="0" w:color="1a2f5e"/>
              <w:left w:val="single" w:sz="4" w:space="0" w:color="1a2f5e"/>
              <w:bottom w:val="single" w:sz="4" w:space="0" w:color="1a2f5e"/>
              <w:right w:val="single" w:sz="4" w:space="0" w:color="1a2f5e"/>
            </w:tcBorders>
            <w:vAlign w:val="center"/>
          </w:tcPr>
          <w:p>
            <w:pPr>
              <w:spacing w:before="160" w:after="1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8.</w:t>
            </w:r>
          </w:p>
        </w:tc>
        <w:tc>
          <w:tcPr>
            <w:tcW w:type="dxa" w:w="8179"/>
            <w:shd w:val="clear" w:color="auto" w:fill="F8FAFD"/>
            <w:tcBorders>
              <w:top w:val="single" w:sz="4" w:space="0" w:color="D0DDF0"/>
              <w:left w:val="single" w:sz="4" w:space="0" w:color="D0DDF0"/>
              <w:bottom w:val="single" w:sz="4" w:space="0" w:color="D0DDF0"/>
              <w:right w:val="single" w:sz="4" w:space="0" w:color="D0DDF0"/>
            </w:tcBorders>
            <w:vAlign w:val="center"/>
          </w:tcPr>
          <w:p>
            <w:pPr>
              <w:spacing w:before="140" w:after="140"/>
              <w:ind w:left="173" w:right="115"/>
              <w:jc w:val="left"/>
            </w:pPr>
            <w:r>
              <w:rPr>
                <w:rFonts w:ascii="Calibri" w:hAnsi="Calibri"/>
                <w:b/>
                <w:i w:val="0"/>
                <w:color w:val="1A2F5E"/>
                <w:sz w:val="22"/>
              </w:rPr>
              <w:t>TikTok — Fix or Kill</w:t>
              <w:br/>
            </w:r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4.2K sessions, ~€96 in sales. Either invest in it properly (organic content strategy) or kill it. Don't leave it as a half-measure.</w:t>
            </w:r>
          </w:p>
        </w:tc>
      </w:tr>
    </w:tbl>
    <w:p>
      <w:pPr>
        <w:spacing w:before="0" w:after="80"/>
        <w:jc w:val="left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05"/>
            <w:shd w:val="clear" w:color="auto" w:fill="1a2f5e"/>
            <w:tcBorders>
              <w:top w:val="single" w:sz="4" w:space="0" w:color="1a2f5e"/>
              <w:left w:val="single" w:sz="4" w:space="0" w:color="1a2f5e"/>
              <w:bottom w:val="single" w:sz="4" w:space="0" w:color="1a2f5e"/>
              <w:right w:val="single" w:sz="4" w:space="0" w:color="1a2f5e"/>
            </w:tcBorders>
            <w:vAlign w:val="center"/>
          </w:tcPr>
          <w:p>
            <w:pPr>
              <w:spacing w:before="160" w:after="1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9.</w:t>
            </w:r>
          </w:p>
        </w:tc>
        <w:tc>
          <w:tcPr>
            <w:tcW w:type="dxa" w:w="8179"/>
            <w:shd w:val="clear" w:color="auto" w:fill="F8FAFD"/>
            <w:tcBorders>
              <w:top w:val="single" w:sz="4" w:space="0" w:color="D0DDF0"/>
              <w:left w:val="single" w:sz="4" w:space="0" w:color="D0DDF0"/>
              <w:bottom w:val="single" w:sz="4" w:space="0" w:color="D0DDF0"/>
              <w:right w:val="single" w:sz="4" w:space="0" w:color="D0DDF0"/>
            </w:tcBorders>
            <w:vAlign w:val="center"/>
          </w:tcPr>
          <w:p>
            <w:pPr>
              <w:spacing w:before="140" w:after="140"/>
              <w:ind w:left="173" w:right="115"/>
              <w:jc w:val="left"/>
            </w:pPr>
            <w:r>
              <w:rPr>
                <w:rFonts w:ascii="Calibri" w:hAnsi="Calibri"/>
                <w:b/>
                <w:i w:val="0"/>
                <w:color w:val="1A2F5E"/>
                <w:sz w:val="22"/>
              </w:rPr>
              <w:t>Create a Second Product</w:t>
              <w:br/>
            </w:r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A subscription, course, or community (€99–199) targeting the same audience. Even 5% of your 2,590 existing customers buying a second product = €13–26K incremental revenue with zero new traffic needed.</w:t>
            </w:r>
          </w:p>
        </w:tc>
      </w:tr>
    </w:tbl>
    <w:p>
      <w:pPr>
        <w:spacing w:before="0" w:after="80"/>
        <w:jc w:val="left"/>
      </w:pPr>
    </w:p>
    <w:p>
      <w:pPr>
        <w:spacing w:before="40" w:after="40"/>
        <w:jc w:val="left"/>
      </w:pPr>
    </w:p>
    <w:p>
      <w:pPr>
        <w:pStyle w:val="Heading1"/>
        <w:spacing w:before="320" w:after="120"/>
        <w:jc w:val="left"/>
      </w:pPr>
      <w:r>
        <w:rPr>
          <w:rFonts w:ascii="Calibri" w:hAnsi="Calibri"/>
          <w:color w:val="1A2F5E"/>
        </w:rPr>
        <w:t>5. North Star Target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2f5e"/>
            <w:tcBorders>
              <w:top w:val="single" w:sz="6" w:space="0" w:color="1a2f5e"/>
              <w:left w:val="single" w:sz="6" w:space="0" w:color="1a2f5e"/>
              <w:bottom w:val="single" w:sz="6" w:space="0" w:color="1a2f5e"/>
              <w:right w:val="single" w:sz="6" w:space="0" w:color="1a2f5e"/>
            </w:tcBorders>
            <w:vAlign w:val="center"/>
          </w:tcPr>
          <w:p>
            <w:pPr>
              <w:spacing w:before="240" w:after="2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Get Conversion Rate from 0.73% to 2.0% with the Same Traffic</w:t>
            </w:r>
          </w:p>
        </w:tc>
      </w:tr>
      <w:tr>
        <w:tc>
          <w:tcPr>
            <w:tcW w:type="dxa" w:w="9406"/>
            <w:shd w:val="clear" w:color="auto" w:fill="EAF0FB"/>
            <w:tcBorders>
              <w:top w:val="single" w:sz="6" w:space="0" w:color="D0DDF0"/>
              <w:left w:val="single" w:sz="6" w:space="0" w:color="D0DDF0"/>
              <w:bottom w:val="single" w:sz="6" w:space="0" w:color="D0DDF0"/>
              <w:right w:val="single" w:sz="6" w:space="0" w:color="D0DDF0"/>
            </w:tcBorders>
            <w:vAlign w:val="center"/>
          </w:tcPr>
          <w:p>
            <w:pPr>
              <w:spacing w:before="240" w:after="24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22"/>
              </w:rPr>
              <w:t xml:space="preserve">Current state:  </w:t>
            </w:r>
            <w:r>
              <w:rPr>
                <w:rFonts w:ascii="Calibri" w:hAnsi="Calibri"/>
                <w:b w:val="0"/>
                <w:i w:val="0"/>
                <w:color w:val="333333"/>
                <w:sz w:val="22"/>
              </w:rPr>
              <w:t>306,000 sessions × 0.73% CVR × €56 AOV = ~€125,000/year</w:t>
            </w:r>
          </w:p>
        </w:tc>
      </w:tr>
      <w:tr>
        <w:tc>
          <w:tcPr>
            <w:tcW w:type="dxa" w:w="9406"/>
            <w:shd w:val="clear" w:color="auto" w:fill="E8F5E9"/>
            <w:tcBorders>
              <w:top w:val="single" w:sz="6" w:space="0" w:color="4CAF50"/>
              <w:left w:val="single" w:sz="6" w:space="0" w:color="4CAF50"/>
              <w:bottom w:val="single" w:sz="6" w:space="0" w:color="4CAF50"/>
              <w:right w:val="single" w:sz="6" w:space="0" w:color="4CAF50"/>
            </w:tcBorders>
            <w:vAlign w:val="center"/>
          </w:tcPr>
          <w:p>
            <w:pPr>
              <w:spacing w:before="240" w:after="240"/>
              <w:jc w:val="center"/>
            </w:pPr>
            <w:r>
              <w:rPr>
                <w:rFonts w:ascii="Calibri" w:hAnsi="Calibri"/>
                <w:b/>
                <w:i w:val="0"/>
                <w:color w:val="1B5E20"/>
                <w:sz w:val="22"/>
              </w:rPr>
              <w:t xml:space="preserve">Target state:  </w:t>
            </w:r>
            <w:r>
              <w:rPr>
                <w:rFonts w:ascii="Calibri" w:hAnsi="Calibri"/>
                <w:b/>
                <w:i w:val="0"/>
                <w:color w:val="1B5E20"/>
                <w:sz w:val="22"/>
              </w:rPr>
              <w:t>306,000 sessions × 2.00% CVR × €68 AOV = ~€416,000/year</w:t>
            </w:r>
          </w:p>
        </w:tc>
      </w:tr>
      <w:tr>
        <w:tc>
          <w:tcPr>
            <w:tcW w:type="dxa" w:w="9406"/>
            <w:shd w:val="clear" w:color="auto" w:fill="1a2f5e"/>
            <w:tcBorders>
              <w:top w:val="single" w:sz="6" w:space="0" w:color="1a2f5e"/>
              <w:left w:val="single" w:sz="6" w:space="0" w:color="1a2f5e"/>
              <w:bottom w:val="single" w:sz="6" w:space="0" w:color="1a2f5e"/>
              <w:right w:val="single" w:sz="6" w:space="0" w:color="1a2f5e"/>
            </w:tcBorders>
            <w:vAlign w:val="center"/>
          </w:tcPr>
          <w:p>
            <w:pPr>
              <w:spacing w:before="240" w:after="2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Potential upside: +€291,000/year</w:t>
            </w:r>
            <w:r>
              <w:rPr>
                <w:rFonts w:ascii="Calibri" w:hAnsi="Calibri"/>
                <w:b/>
                <w:i w:val="0"/>
                <w:color w:val="A8C8F0"/>
                <w:sz w:val="22"/>
              </w:rPr>
              <w:br/>
              <w:t>Same traffic. Fixed funnel.</w:t>
            </w:r>
          </w:p>
        </w:tc>
      </w:tr>
    </w:tbl>
    <w:p>
      <w:pPr>
        <w:spacing w:before="80" w:after="80"/>
        <w:jc w:val="left"/>
      </w:pPr>
    </w:p>
    <w:p>
      <w:pPr>
        <w:pStyle w:val="Heading1"/>
        <w:spacing w:before="320" w:after="120"/>
        <w:jc w:val="left"/>
      </w:pPr>
      <w:r>
        <w:rPr>
          <w:rFonts w:ascii="Calibri" w:hAnsi="Calibri"/>
          <w:color w:val="1A2F5E"/>
        </w:rPr>
        <w:t>6. Start Here — In Order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368"/>
            <w:shd w:val="clear" w:color="auto" w:fill="1a2f5e"/>
            <w:tcBorders>
              <w:top w:val="single" w:sz="4" w:space="0" w:color="1a2f5e"/>
              <w:left w:val="single" w:sz="4" w:space="0" w:color="1a2f5e"/>
              <w:bottom w:val="single" w:sz="4" w:space="0" w:color="1a2f5e"/>
              <w:right w:val="single" w:sz="4" w:space="0" w:color="1a2f5e"/>
            </w:tcBorders>
            <w:vAlign w:val="center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TODAY</w:t>
            </w:r>
          </w:p>
        </w:tc>
        <w:tc>
          <w:tcPr>
            <w:tcW w:type="dxa" w:w="7416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120" w:after="120"/>
              <w:ind w:left="173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22"/>
              </w:rPr>
              <w:t>Activate abandoned cart emails in Shopify (built-in, free)</w:t>
            </w:r>
          </w:p>
        </w:tc>
      </w:tr>
    </w:tbl>
    <w:p>
      <w:pPr>
        <w:spacing w:before="0" w:after="80"/>
        <w:jc w:val="left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368"/>
            <w:shd w:val="clear" w:color="auto" w:fill="1a2f5e"/>
            <w:tcBorders>
              <w:top w:val="single" w:sz="4" w:space="0" w:color="1a2f5e"/>
              <w:left w:val="single" w:sz="4" w:space="0" w:color="1a2f5e"/>
              <w:bottom w:val="single" w:sz="4" w:space="0" w:color="1a2f5e"/>
              <w:right w:val="single" w:sz="4" w:space="0" w:color="1a2f5e"/>
            </w:tcBorders>
            <w:vAlign w:val="center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THIS WEEK</w:t>
            </w:r>
          </w:p>
        </w:tc>
        <w:tc>
          <w:tcPr>
            <w:tcW w:type="dxa" w:w="7416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120" w:after="120"/>
              <w:ind w:left="173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22"/>
              </w:rPr>
              <w:t>Enable Apple Pay / Google Pay in checkout settings</w:t>
            </w:r>
          </w:p>
        </w:tc>
      </w:tr>
    </w:tbl>
    <w:p>
      <w:pPr>
        <w:spacing w:before="0" w:after="80"/>
        <w:jc w:val="left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368"/>
            <w:shd w:val="clear" w:color="auto" w:fill="1a2f5e"/>
            <w:tcBorders>
              <w:top w:val="single" w:sz="4" w:space="0" w:color="1a2f5e"/>
              <w:left w:val="single" w:sz="4" w:space="0" w:color="1a2f5e"/>
              <w:bottom w:val="single" w:sz="4" w:space="0" w:color="1a2f5e"/>
              <w:right w:val="single" w:sz="4" w:space="0" w:color="1a2f5e"/>
            </w:tcBorders>
            <w:vAlign w:val="center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THIS WEEK</w:t>
            </w:r>
          </w:p>
        </w:tc>
        <w:tc>
          <w:tcPr>
            <w:tcW w:type="dxa" w:w="7416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120" w:after="120"/>
              <w:ind w:left="173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22"/>
              </w:rPr>
              <w:t>Add email capture + lead magnet to blog articles</w:t>
            </w:r>
          </w:p>
        </w:tc>
      </w:tr>
    </w:tbl>
    <w:p>
      <w:pPr>
        <w:spacing w:before="0" w:after="80"/>
        <w:jc w:val="left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368"/>
            <w:shd w:val="clear" w:color="auto" w:fill="1a2f5e"/>
            <w:tcBorders>
              <w:top w:val="single" w:sz="4" w:space="0" w:color="1a2f5e"/>
              <w:left w:val="single" w:sz="4" w:space="0" w:color="1a2f5e"/>
              <w:bottom w:val="single" w:sz="4" w:space="0" w:color="1a2f5e"/>
              <w:right w:val="single" w:sz="4" w:space="0" w:color="1a2f5e"/>
            </w:tcBorders>
            <w:vAlign w:val="center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NEXT WEEK</w:t>
            </w:r>
          </w:p>
        </w:tc>
        <w:tc>
          <w:tcPr>
            <w:tcW w:type="dxa" w:w="7416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120" w:after="120"/>
              <w:ind w:left="173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22"/>
              </w:rPr>
              <w:t>Run a mobile UX audit of your product page</w:t>
            </w:r>
          </w:p>
        </w:tc>
      </w:tr>
    </w:tbl>
    <w:p>
      <w:pPr>
        <w:spacing w:before="0" w:after="80"/>
        <w:jc w:val="left"/>
      </w:pPr>
    </w:p>
    <w:p>
      <w:pPr>
        <w:spacing w:before="280" w:after="120"/>
        <w:jc w:val="center"/>
      </w:pPr>
      <w:r>
        <w:rPr>
          <w:rFonts w:ascii="Calibri" w:hAnsi="Calibri"/>
          <w:b/>
          <w:i/>
          <w:color w:val="1A2F5E"/>
          <w:sz w:val="26"/>
        </w:rPr>
        <w:t>The traffic is there. The audience is right. The funnel just has holes in it.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120"/>
      <w:jc w:val="center"/>
    </w:pPr>
    <w:r>
      <w:rPr>
        <w:rFonts w:ascii="Calibri" w:hAnsi="Calibri"/>
        <w:b w:val="0"/>
        <w:i w:val="0"/>
        <w:color w:val="888888"/>
        <w:sz w:val="18"/>
      </w:rPr>
      <w:t xml:space="preserve">Growth Hacker Analysis  |  Ready For Take-Off Book  |  June 7, 2026  |  Page </w:t>
    </w:r>
    <w:r>
      <w:rPr>
        <w:rFonts w:ascii="Calibri"/>
        <w:sz w:val="18"/>
      </w:rPr>
      <w:fldChar w:fldCharType="begin"/>
      <w:instrText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