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fpk.png"/>
                    <pic:cNvPicPr/>
                  </pic:nvPicPr>
                  <pic:blipFill>
                    <a:blip r:embed="rId9"/>
                    <a:stretch>
                      <a:fillRect/>
                    </a:stretch>
                  </pic:blipFill>
                  <pic:spPr>
                    <a:xfrm>
                      <a:off x="0" y="0"/>
                      <a:ext cx="7560000" cy="10692000"/>
                    </a:xfrm>
                    <a:prstGeom prst="rect"/>
                  </pic:spPr>
                </pic:pic>
              </a:graphicData>
            </a:graphic>
          </wp:inline>
        </w:drawing>
      </w:r>
    </w:p>
    <w:p>
      <w:pPr>
        <w:sectPr>
          <w:headerReference w:type="default" r:id="rId10"/>
          <w:footerReference w:type="default" r:id="rId11"/>
          <w:pgSz w:w="11906" w:h="16838"/>
          <w:pgMar w:top="0" w:right="0" w:bottom="0" w:left="0" w:header="720" w:footer="720" w:gutter="0"/>
          <w:cols w:space="720"/>
          <w:titlePg/>
          <w:docGrid w:linePitch="360"/>
        </w:sectPr>
      </w:pPr>
    </w:p>
    <w:p>
      <w:pPr>
        <w:pStyle w:val="Heading1"/>
        <w:keepNext/>
        <w:spacing w:before="60" w:after="160"/>
        <w:jc w:val="left"/>
        <w:pBdr>
          <w:bottom w:val="single" w:sz="10" w:space="1" w:color="C89D4C"/>
        </w:pBdr>
      </w:pPr>
      <w:r>
        <w:rPr>
          <w:rFonts w:ascii="Noto Serif" w:hAnsi="Noto Serif" w:eastAsia="Noto Serif"/>
          <w:b/>
          <w:i w:val="0"/>
          <w:color w:val="70101A"/>
          <w:sz w:val="38"/>
        </w:rPr>
        <w:t>Identitas Dokumen</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381"/>
        <w:gridCol w:w="6576"/>
      </w:tblGrid>
      <w:tr>
        <w:tc>
          <w:tcPr>
            <w:tcW w:type="dxa" w:w="4649"/>
            <w:shd w:fill="70101A"/>
            <w:tcMar>
              <w:top w:w="125" w:type="dxa"/>
              <w:start w:w="140" w:type="dxa"/>
              <w:bottom w:w="125" w:type="dxa"/>
              <w:end w:w="140" w:type="dxa"/>
            </w:tcMar>
          </w:tcPr>
          <w:p>
            <w:r>
              <w:rPr>
                <w:rFonts w:ascii="Inter" w:hAnsi="Inter" w:eastAsia="Inter"/>
                <w:b/>
                <w:i w:val="0"/>
                <w:color w:val="FFFFFF"/>
                <w:sz w:val="18"/>
              </w:rPr>
              <w:t>Judul</w:t>
            </w:r>
          </w:p>
        </w:tc>
        <w:tc>
          <w:tcPr>
            <w:tcW w:type="dxa" w:w="4649"/>
            <w:shd w:fill="FAF8F3"/>
            <w:tcMar>
              <w:top w:w="125" w:type="dxa"/>
              <w:start w:w="140" w:type="dxa"/>
              <w:bottom w:w="125" w:type="dxa"/>
              <w:end w:w="140" w:type="dxa"/>
            </w:tcMar>
          </w:tcPr>
          <w:p>
            <w:pPr>
              <w:jc w:val="both"/>
            </w:pPr>
            <w:r>
              <w:rPr>
                <w:rFonts w:ascii="Inter" w:hAnsi="Inter" w:eastAsia="Inter"/>
                <w:b w:val="0"/>
                <w:i w:val="0"/>
                <w:color w:val="252525"/>
                <w:sz w:val="18"/>
              </w:rPr>
              <w:t>Laporan Profil Forum Pembauran Kebangsaan Kota Malang</w:t>
            </w:r>
          </w:p>
        </w:tc>
      </w:tr>
      <w:tr>
        <w:tc>
          <w:tcPr>
            <w:tcW w:type="dxa" w:w="4649"/>
            <w:shd w:fill="F5EBDD"/>
            <w:tcMar>
              <w:top w:w="125" w:type="dxa"/>
              <w:start w:w="140" w:type="dxa"/>
              <w:bottom w:w="125" w:type="dxa"/>
              <w:end w:w="140" w:type="dxa"/>
            </w:tcMar>
          </w:tcPr>
          <w:p>
            <w:r>
              <w:rPr>
                <w:rFonts w:ascii="Inter" w:hAnsi="Inter" w:eastAsia="Inter"/>
                <w:b/>
                <w:i w:val="0"/>
                <w:color w:val="70101A"/>
                <w:sz w:val="18"/>
              </w:rPr>
              <w:t>Sumber utama</w:t>
            </w:r>
          </w:p>
        </w:tc>
        <w:tc>
          <w:tcPr>
            <w:tcW w:type="dxa" w:w="4649"/>
            <w:shd w:fill="FAF8F3"/>
            <w:tcMar>
              <w:top w:w="125" w:type="dxa"/>
              <w:start w:w="140" w:type="dxa"/>
              <w:bottom w:w="125" w:type="dxa"/>
              <w:end w:w="140" w:type="dxa"/>
            </w:tcMar>
          </w:tcPr>
          <w:p>
            <w:pPr>
              <w:jc w:val="both"/>
            </w:pPr>
            <w:r>
              <w:rPr>
                <w:rFonts w:ascii="Inter" w:hAnsi="Inter" w:eastAsia="Inter"/>
                <w:b w:val="0"/>
                <w:i w:val="0"/>
                <w:color w:val="252525"/>
                <w:sz w:val="18"/>
              </w:rPr>
              <w:t>Materi presentasi “Profil Sosialisasi” FPK Kota Malang</w:t>
            </w:r>
          </w:p>
        </w:tc>
      </w:tr>
      <w:tr>
        <w:tc>
          <w:tcPr>
            <w:tcW w:type="dxa" w:w="4649"/>
            <w:shd w:fill="F5EBDD"/>
            <w:tcMar>
              <w:top w:w="125" w:type="dxa"/>
              <w:start w:w="140" w:type="dxa"/>
              <w:bottom w:w="125" w:type="dxa"/>
              <w:end w:w="140" w:type="dxa"/>
            </w:tcMar>
          </w:tcPr>
          <w:p>
            <w:r>
              <w:rPr>
                <w:rFonts w:ascii="Inter" w:hAnsi="Inter" w:eastAsia="Inter"/>
                <w:b/>
                <w:i w:val="0"/>
                <w:color w:val="70101A"/>
                <w:sz w:val="18"/>
              </w:rPr>
              <w:t>Tahun materi</w:t>
            </w:r>
          </w:p>
        </w:tc>
        <w:tc>
          <w:tcPr>
            <w:tcW w:type="dxa" w:w="4649"/>
            <w:shd w:fill="FAF8F3"/>
            <w:tcMar>
              <w:top w:w="125" w:type="dxa"/>
              <w:start w:w="140" w:type="dxa"/>
              <w:bottom w:w="125" w:type="dxa"/>
              <w:end w:w="140" w:type="dxa"/>
            </w:tcMar>
          </w:tcPr>
          <w:p>
            <w:pPr>
              <w:jc w:val="both"/>
            </w:pPr>
            <w:r>
              <w:rPr>
                <w:rFonts w:ascii="Inter" w:hAnsi="Inter" w:eastAsia="Inter"/>
                <w:b w:val="0"/>
                <w:i w:val="0"/>
                <w:color w:val="252525"/>
                <w:sz w:val="18"/>
              </w:rPr>
              <w:t>2026</w:t>
            </w:r>
          </w:p>
        </w:tc>
      </w:tr>
      <w:tr>
        <w:tc>
          <w:tcPr>
            <w:tcW w:type="dxa" w:w="4649"/>
            <w:shd w:fill="F5EBDD"/>
            <w:tcMar>
              <w:top w:w="125" w:type="dxa"/>
              <w:start w:w="140" w:type="dxa"/>
              <w:bottom w:w="125" w:type="dxa"/>
              <w:end w:w="140" w:type="dxa"/>
            </w:tcMar>
          </w:tcPr>
          <w:p>
            <w:r>
              <w:rPr>
                <w:rFonts w:ascii="Inter" w:hAnsi="Inter" w:eastAsia="Inter"/>
                <w:b/>
                <w:i w:val="0"/>
                <w:color w:val="70101A"/>
                <w:sz w:val="18"/>
              </w:rPr>
              <w:t>Ruang lingkup</w:t>
            </w:r>
          </w:p>
        </w:tc>
        <w:tc>
          <w:tcPr>
            <w:tcW w:type="dxa" w:w="4649"/>
            <w:shd w:fill="FAF8F3"/>
            <w:tcMar>
              <w:top w:w="125" w:type="dxa"/>
              <w:start w:w="140" w:type="dxa"/>
              <w:bottom w:w="125" w:type="dxa"/>
              <w:end w:w="140" w:type="dxa"/>
            </w:tcMar>
          </w:tcPr>
          <w:p>
            <w:pPr>
              <w:jc w:val="both"/>
            </w:pPr>
            <w:r>
              <w:rPr>
                <w:rFonts w:ascii="Inter" w:hAnsi="Inter" w:eastAsia="Inter"/>
                <w:b w:val="0"/>
                <w:i w:val="0"/>
                <w:color w:val="252525"/>
                <w:sz w:val="18"/>
              </w:rPr>
              <w:t>Profil, dasar hukum, tujuan, tugas, struktur pengurus, biro, dan dokumentasi kegiatan</w:t>
            </w:r>
          </w:p>
        </w:tc>
      </w:tr>
      <w:tr>
        <w:tc>
          <w:tcPr>
            <w:tcW w:type="dxa" w:w="4649"/>
            <w:shd w:fill="F5EBDD"/>
            <w:tcMar>
              <w:top w:w="125" w:type="dxa"/>
              <w:start w:w="140" w:type="dxa"/>
              <w:bottom w:w="125" w:type="dxa"/>
              <w:end w:w="140" w:type="dxa"/>
            </w:tcMar>
          </w:tcPr>
          <w:p>
            <w:r>
              <w:rPr>
                <w:rFonts w:ascii="Inter" w:hAnsi="Inter" w:eastAsia="Inter"/>
                <w:b/>
                <w:i w:val="0"/>
                <w:color w:val="70101A"/>
                <w:sz w:val="18"/>
              </w:rPr>
              <w:t>Status dokumen</w:t>
            </w:r>
          </w:p>
        </w:tc>
        <w:tc>
          <w:tcPr>
            <w:tcW w:type="dxa" w:w="4649"/>
            <w:shd w:fill="FAF8F3"/>
            <w:tcMar>
              <w:top w:w="125" w:type="dxa"/>
              <w:start w:w="140" w:type="dxa"/>
              <w:bottom w:w="125" w:type="dxa"/>
              <w:end w:w="140" w:type="dxa"/>
            </w:tcMar>
          </w:tcPr>
          <w:p>
            <w:pPr>
              <w:jc w:val="both"/>
            </w:pPr>
            <w:r>
              <w:rPr>
                <w:rFonts w:ascii="Inter" w:hAnsi="Inter" w:eastAsia="Inter"/>
                <w:b w:val="0"/>
                <w:i w:val="0"/>
                <w:color w:val="252525"/>
                <w:sz w:val="18"/>
              </w:rPr>
              <w:t>Penyajian ulang naratif berdasarkan materi presentasi; bukan pengganti dokumen hukum atau Surat Keputusan resmi.</w:t>
            </w:r>
          </w:p>
        </w:tc>
      </w:tr>
    </w:tbl>
    <w:p/>
    <w:p>
      <w:pPr>
        <w:pStyle w:val="Heading2"/>
        <w:keepNext/>
        <w:spacing w:before="160" w:after="100"/>
      </w:pPr>
      <w:r>
        <w:rPr>
          <w:rFonts w:ascii="Noto Serif" w:hAnsi="Noto Serif" w:eastAsia="Noto Serif"/>
          <w:b/>
          <w:i w:val="0"/>
          <w:color w:val="861622"/>
          <w:sz w:val="28"/>
        </w:rPr>
        <w:t>Ringkasan Eksekutif</w:t>
      </w:r>
    </w:p>
    <w:p>
      <w:pPr>
        <w:spacing w:before="0" w:after="140" w:line="283" w:lineRule="auto"/>
        <w:ind w:firstLine="454"/>
        <w:jc w:val="both"/>
      </w:pPr>
      <w:r>
        <w:rPr>
          <w:rFonts w:ascii="Inter" w:hAnsi="Inter" w:eastAsia="Inter"/>
          <w:b w:val="0"/>
          <w:i w:val="0"/>
          <w:color w:val="252525"/>
          <w:sz w:val="21"/>
        </w:rPr>
        <w:t>Forum Pembauran Kebangsaan (FPK) Kota Malang diposisikan sebagai wadah informasi, komunikasi, konsultasi, dan kerja sama antarwarga untuk menumbuhkan, memantapkan, memelihara, serta mengembangkan pembauran kebangsaan. Materi sosialisasi menekankan bahwa keberagaman masyarakat perlu dikelola melalui toleransi, dialog, koordinasi, dan kegiatan bersama agar menjadi kekuatan bagi persatuan dalam Negara Kesatuan Republik Indonesia.</w:t>
      </w:r>
    </w:p>
    <w:p>
      <w:pPr>
        <w:spacing w:before="0" w:after="140" w:line="283" w:lineRule="auto"/>
        <w:ind w:firstLine="454"/>
        <w:jc w:val="both"/>
      </w:pPr>
      <w:r>
        <w:rPr>
          <w:rFonts w:ascii="Inter" w:hAnsi="Inter" w:eastAsia="Inter"/>
          <w:b w:val="0"/>
          <w:i w:val="0"/>
          <w:color w:val="252525"/>
          <w:sz w:val="21"/>
        </w:rPr>
        <w:t>Secara kelembagaan, FPK menjalankan fungsi penjaringan aspirasi, penyelenggaraan dialog, sosialisasi kebijakan, dan perumusan rekomendasi kepada Wali Kota. Organisasi didukung oleh unsur pimpinan, empat bidang kerja, serta biro kesekretariatan, event, dan media. Dokumentasi kegiatan menunjukkan pelaksanaan sosialisasi, workshop, dialog antarsuku, seminar wawasan kebangsaan, festival kebudayaan, olahraga, outbound, dan kegiatan pembauran lainnya.</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957"/>
      </w:tblGrid>
      <w:tr>
        <w:tc>
          <w:tcPr>
            <w:tcW w:type="dxa" w:w="9298"/>
            <w:shd w:fill="F5EBDD"/>
            <w:tcMar>
              <w:top w:w="180" w:type="dxa"/>
              <w:start w:w="220" w:type="dxa"/>
              <w:bottom w:w="180" w:type="dxa"/>
              <w:end w:w="220" w:type="dxa"/>
            </w:tcMar>
          </w:tcPr>
          <w:p>
            <w:pPr>
              <w:spacing w:before="0" w:after="60" w:line="269" w:lineRule="auto"/>
            </w:pPr>
            <w:r>
              <w:rPr>
                <w:rFonts w:ascii="Inter" w:hAnsi="Inter" w:eastAsia="Inter"/>
                <w:b/>
                <w:i w:val="0"/>
                <w:color w:val="70101A"/>
                <w:sz w:val="19"/>
              </w:rPr>
              <w:t>CATATAN AKURASI</w:t>
            </w:r>
          </w:p>
          <w:p>
            <w:pPr>
              <w:spacing w:before="0" w:after="0" w:line="269" w:lineRule="auto"/>
              <w:jc w:val="both"/>
            </w:pPr>
            <w:r>
              <w:rPr>
                <w:rFonts w:ascii="Inter" w:hAnsi="Inter" w:eastAsia="Inter"/>
                <w:b w:val="0"/>
                <w:i w:val="0"/>
                <w:color w:val="252525"/>
                <w:sz w:val="19"/>
              </w:rPr>
              <w:t>Nomor regulasi, nama pengurus, dan gelar akademik pada laporan ini ditranskripsikan dari materi presentasi. Sebelum digunakan sebagai dokumen resmi atau dipublikasikan, seluruh data tersebut perlu dicocokkan kembali dengan Peraturan Gubernur, Surat Keputusan Wali Kota, dan arsip sekretariat FPK.</w:t>
            </w:r>
          </w:p>
        </w:tc>
      </w:tr>
    </w:tbl>
    <w:p>
      <w:pPr>
        <w:spacing w:after="0"/>
      </w:pP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Daftar Isi</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107"/>
        <w:gridCol w:w="850"/>
      </w:tblGrid>
      <w:tr>
        <w:tc>
          <w:tcPr>
            <w:tcW w:type="dxa" w:w="8107"/>
            <w:tcMar>
              <w:top w:w="120" w:type="dxa"/>
              <w:start w:w="80" w:type="dxa"/>
              <w:bottom w:w="120" w:type="dxa"/>
              <w:end w:w="80" w:type="dxa"/>
            </w:tcMar>
          </w:tcPr>
          <w:p>
            <w:r>
              <w:rPr>
                <w:rFonts w:ascii="Inter" w:hAnsi="Inter" w:eastAsia="Inter"/>
                <w:b/>
                <w:i w:val="0"/>
                <w:color w:val="70101A"/>
                <w:sz w:val="20"/>
              </w:rPr>
              <w:t>Identitas Dokumen</w:t>
            </w:r>
          </w:p>
        </w:tc>
        <w:tc>
          <w:tcPr>
            <w:tcW w:type="dxa" w:w="850"/>
            <w:tcMar>
              <w:top w:w="120" w:type="dxa"/>
              <w:start w:w="80" w:type="dxa"/>
              <w:bottom w:w="120" w:type="dxa"/>
              <w:end w:w="80" w:type="dxa"/>
            </w:tcMar>
          </w:tcPr>
          <w:p>
            <w:pPr>
              <w:jc w:val="right"/>
            </w:pPr>
            <w:r>
              <w:rPr>
                <w:rFonts w:ascii="Inter" w:hAnsi="Inter" w:eastAsia="Inter"/>
                <w:b/>
                <w:i w:val="0"/>
                <w:color w:val="70101A"/>
                <w:sz w:val="20"/>
              </w:rPr>
              <w:t>1</w:t>
            </w:r>
          </w:p>
        </w:tc>
      </w:tr>
      <w:tr>
        <w:tc>
          <w:tcPr>
            <w:tcW w:type="dxa" w:w="8107"/>
            <w:tcMar>
              <w:top w:w="120" w:type="dxa"/>
              <w:start w:w="80" w:type="dxa"/>
              <w:bottom w:w="120" w:type="dxa"/>
              <w:end w:w="80" w:type="dxa"/>
            </w:tcMar>
            <w:shd w:fill="FAF7F1"/>
          </w:tcPr>
          <w:p>
            <w:r>
              <w:rPr>
                <w:rFonts w:ascii="Inter" w:hAnsi="Inter" w:eastAsia="Inter"/>
                <w:b w:val="0"/>
                <w:i w:val="0"/>
                <w:color w:val="252525"/>
                <w:sz w:val="20"/>
              </w:rPr>
              <w:t>1. Pendahuluan</w:t>
            </w:r>
          </w:p>
        </w:tc>
        <w:tc>
          <w:tcPr>
            <w:tcW w:type="dxa" w:w="850"/>
            <w:tcMar>
              <w:top w:w="120" w:type="dxa"/>
              <w:start w:w="80" w:type="dxa"/>
              <w:bottom w:w="120" w:type="dxa"/>
              <w:end w:w="80" w:type="dxa"/>
            </w:tcMar>
            <w:shd w:fill="FAF7F1"/>
          </w:tcPr>
          <w:p>
            <w:pPr>
              <w:jc w:val="right"/>
            </w:pPr>
            <w:r>
              <w:rPr>
                <w:rFonts w:ascii="Inter" w:hAnsi="Inter" w:eastAsia="Inter"/>
                <w:b/>
                <w:i w:val="0"/>
                <w:color w:val="70101A"/>
                <w:sz w:val="20"/>
              </w:rPr>
              <w:t>3</w:t>
            </w:r>
          </w:p>
        </w:tc>
      </w:tr>
      <w:tr>
        <w:tc>
          <w:tcPr>
            <w:tcW w:type="dxa" w:w="8107"/>
            <w:tcMar>
              <w:top w:w="120" w:type="dxa"/>
              <w:start w:w="80" w:type="dxa"/>
              <w:bottom w:w="120" w:type="dxa"/>
              <w:end w:w="80" w:type="dxa"/>
            </w:tcMar>
          </w:tcPr>
          <w:p>
            <w:r>
              <w:rPr>
                <w:rFonts w:ascii="Inter" w:hAnsi="Inter" w:eastAsia="Inter"/>
                <w:b w:val="0"/>
                <w:i w:val="0"/>
                <w:color w:val="252525"/>
                <w:sz w:val="20"/>
              </w:rPr>
              <w:t>2. Dasar Hukum dan Pengertian</w:t>
            </w:r>
          </w:p>
        </w:tc>
        <w:tc>
          <w:tcPr>
            <w:tcW w:type="dxa" w:w="850"/>
            <w:tcMar>
              <w:top w:w="120" w:type="dxa"/>
              <w:start w:w="80" w:type="dxa"/>
              <w:bottom w:w="120" w:type="dxa"/>
              <w:end w:w="80" w:type="dxa"/>
            </w:tcMar>
          </w:tcPr>
          <w:p>
            <w:pPr>
              <w:jc w:val="right"/>
            </w:pPr>
            <w:r>
              <w:rPr>
                <w:rFonts w:ascii="Inter" w:hAnsi="Inter" w:eastAsia="Inter"/>
                <w:b/>
                <w:i w:val="0"/>
                <w:color w:val="70101A"/>
                <w:sz w:val="20"/>
              </w:rPr>
              <w:t>5</w:t>
            </w:r>
          </w:p>
        </w:tc>
      </w:tr>
      <w:tr>
        <w:tc>
          <w:tcPr>
            <w:tcW w:type="dxa" w:w="8107"/>
            <w:tcMar>
              <w:top w:w="120" w:type="dxa"/>
              <w:start w:w="80" w:type="dxa"/>
              <w:bottom w:w="120" w:type="dxa"/>
              <w:end w:w="80" w:type="dxa"/>
            </w:tcMar>
            <w:shd w:fill="FAF7F1"/>
          </w:tcPr>
          <w:p>
            <w:r>
              <w:rPr>
                <w:rFonts w:ascii="Inter" w:hAnsi="Inter" w:eastAsia="Inter"/>
                <w:b w:val="0"/>
                <w:i w:val="0"/>
                <w:color w:val="252525"/>
                <w:sz w:val="20"/>
              </w:rPr>
              <w:t>3. Tujuan, Peran, dan Arah Kerja</w:t>
            </w:r>
          </w:p>
        </w:tc>
        <w:tc>
          <w:tcPr>
            <w:tcW w:type="dxa" w:w="850"/>
            <w:tcMar>
              <w:top w:w="120" w:type="dxa"/>
              <w:start w:w="80" w:type="dxa"/>
              <w:bottom w:w="120" w:type="dxa"/>
              <w:end w:w="80" w:type="dxa"/>
            </w:tcMar>
            <w:shd w:fill="FAF7F1"/>
          </w:tcPr>
          <w:p>
            <w:pPr>
              <w:jc w:val="right"/>
            </w:pPr>
            <w:r>
              <w:rPr>
                <w:rFonts w:ascii="Inter" w:hAnsi="Inter" w:eastAsia="Inter"/>
                <w:b/>
                <w:i w:val="0"/>
                <w:color w:val="70101A"/>
                <w:sz w:val="20"/>
              </w:rPr>
              <w:t>6</w:t>
            </w:r>
          </w:p>
        </w:tc>
      </w:tr>
      <w:tr>
        <w:tc>
          <w:tcPr>
            <w:tcW w:type="dxa" w:w="8107"/>
            <w:tcMar>
              <w:top w:w="120" w:type="dxa"/>
              <w:start w:w="80" w:type="dxa"/>
              <w:bottom w:w="120" w:type="dxa"/>
              <w:end w:w="80" w:type="dxa"/>
            </w:tcMar>
          </w:tcPr>
          <w:p>
            <w:r>
              <w:rPr>
                <w:rFonts w:ascii="Inter" w:hAnsi="Inter" w:eastAsia="Inter"/>
                <w:b w:val="0"/>
                <w:i w:val="0"/>
                <w:color w:val="252525"/>
                <w:sz w:val="20"/>
              </w:rPr>
              <w:t>4. Tugas Pokok Forum Pembauran Kebangsaan</w:t>
            </w:r>
          </w:p>
        </w:tc>
        <w:tc>
          <w:tcPr>
            <w:tcW w:type="dxa" w:w="850"/>
            <w:tcMar>
              <w:top w:w="120" w:type="dxa"/>
              <w:start w:w="80" w:type="dxa"/>
              <w:bottom w:w="120" w:type="dxa"/>
              <w:end w:w="80" w:type="dxa"/>
            </w:tcMar>
          </w:tcPr>
          <w:p>
            <w:pPr>
              <w:jc w:val="right"/>
            </w:pPr>
            <w:r>
              <w:rPr>
                <w:rFonts w:ascii="Inter" w:hAnsi="Inter" w:eastAsia="Inter"/>
                <w:b/>
                <w:i w:val="0"/>
                <w:color w:val="70101A"/>
                <w:sz w:val="20"/>
              </w:rPr>
              <w:t>9</w:t>
            </w:r>
          </w:p>
        </w:tc>
      </w:tr>
      <w:tr>
        <w:tc>
          <w:tcPr>
            <w:tcW w:type="dxa" w:w="8107"/>
            <w:tcMar>
              <w:top w:w="120" w:type="dxa"/>
              <w:start w:w="80" w:type="dxa"/>
              <w:bottom w:w="120" w:type="dxa"/>
              <w:end w:w="80" w:type="dxa"/>
            </w:tcMar>
            <w:shd w:fill="FAF7F1"/>
          </w:tcPr>
          <w:p>
            <w:r>
              <w:rPr>
                <w:rFonts w:ascii="Inter" w:hAnsi="Inter" w:eastAsia="Inter"/>
                <w:b w:val="0"/>
                <w:i w:val="0"/>
                <w:color w:val="252525"/>
                <w:sz w:val="20"/>
              </w:rPr>
              <w:t>5. Struktur Organisasi FPK Kota Malang</w:t>
            </w:r>
          </w:p>
        </w:tc>
        <w:tc>
          <w:tcPr>
            <w:tcW w:type="dxa" w:w="850"/>
            <w:tcMar>
              <w:top w:w="120" w:type="dxa"/>
              <w:start w:w="80" w:type="dxa"/>
              <w:bottom w:w="120" w:type="dxa"/>
              <w:end w:w="80" w:type="dxa"/>
            </w:tcMar>
            <w:shd w:fill="FAF7F1"/>
          </w:tcPr>
          <w:p>
            <w:pPr>
              <w:jc w:val="right"/>
            </w:pPr>
            <w:r>
              <w:rPr>
                <w:rFonts w:ascii="Inter" w:hAnsi="Inter" w:eastAsia="Inter"/>
                <w:b/>
                <w:i w:val="0"/>
                <w:color w:val="70101A"/>
                <w:sz w:val="20"/>
              </w:rPr>
              <w:t>10</w:t>
            </w:r>
          </w:p>
        </w:tc>
      </w:tr>
      <w:tr>
        <w:tc>
          <w:tcPr>
            <w:tcW w:type="dxa" w:w="8107"/>
            <w:tcMar>
              <w:top w:w="120" w:type="dxa"/>
              <w:start w:w="80" w:type="dxa"/>
              <w:bottom w:w="120" w:type="dxa"/>
              <w:end w:w="80" w:type="dxa"/>
            </w:tcMar>
          </w:tcPr>
          <w:p>
            <w:r>
              <w:rPr>
                <w:rFonts w:ascii="Inter" w:hAnsi="Inter" w:eastAsia="Inter"/>
                <w:b w:val="0"/>
                <w:i w:val="0"/>
                <w:color w:val="252525"/>
                <w:sz w:val="20"/>
              </w:rPr>
              <w:t>6. Biro Pendukung dan Tata Kerja</w:t>
            </w:r>
          </w:p>
        </w:tc>
        <w:tc>
          <w:tcPr>
            <w:tcW w:type="dxa" w:w="850"/>
            <w:tcMar>
              <w:top w:w="120" w:type="dxa"/>
              <w:start w:w="80" w:type="dxa"/>
              <w:bottom w:w="120" w:type="dxa"/>
              <w:end w:w="80" w:type="dxa"/>
            </w:tcMar>
          </w:tcPr>
          <w:p>
            <w:pPr>
              <w:jc w:val="right"/>
            </w:pPr>
            <w:r>
              <w:rPr>
                <w:rFonts w:ascii="Inter" w:hAnsi="Inter" w:eastAsia="Inter"/>
                <w:b/>
                <w:i w:val="0"/>
                <w:color w:val="70101A"/>
                <w:sz w:val="20"/>
              </w:rPr>
              <w:t>15</w:t>
            </w:r>
          </w:p>
        </w:tc>
      </w:tr>
      <w:tr>
        <w:tc>
          <w:tcPr>
            <w:tcW w:type="dxa" w:w="8107"/>
            <w:tcMar>
              <w:top w:w="120" w:type="dxa"/>
              <w:start w:w="80" w:type="dxa"/>
              <w:bottom w:w="120" w:type="dxa"/>
              <w:end w:w="80" w:type="dxa"/>
            </w:tcMar>
            <w:shd w:fill="FAF7F1"/>
          </w:tcPr>
          <w:p>
            <w:r>
              <w:rPr>
                <w:rFonts w:ascii="Inter" w:hAnsi="Inter" w:eastAsia="Inter"/>
                <w:b w:val="0"/>
                <w:i w:val="0"/>
                <w:color w:val="252525"/>
                <w:sz w:val="20"/>
              </w:rPr>
              <w:t>7. Program dan Dokumentasi Kegiatan</w:t>
            </w:r>
          </w:p>
        </w:tc>
        <w:tc>
          <w:tcPr>
            <w:tcW w:type="dxa" w:w="850"/>
            <w:tcMar>
              <w:top w:w="120" w:type="dxa"/>
              <w:start w:w="80" w:type="dxa"/>
              <w:bottom w:w="120" w:type="dxa"/>
              <w:end w:w="80" w:type="dxa"/>
            </w:tcMar>
            <w:shd w:fill="FAF7F1"/>
          </w:tcPr>
          <w:p>
            <w:pPr>
              <w:jc w:val="right"/>
            </w:pPr>
            <w:r>
              <w:rPr>
                <w:rFonts w:ascii="Inter" w:hAnsi="Inter" w:eastAsia="Inter"/>
                <w:b/>
                <w:i w:val="0"/>
                <w:color w:val="70101A"/>
                <w:sz w:val="20"/>
              </w:rPr>
              <w:t>16</w:t>
            </w:r>
          </w:p>
        </w:tc>
      </w:tr>
      <w:tr>
        <w:tc>
          <w:tcPr>
            <w:tcW w:type="dxa" w:w="8107"/>
            <w:tcMar>
              <w:top w:w="120" w:type="dxa"/>
              <w:start w:w="80" w:type="dxa"/>
              <w:bottom w:w="120" w:type="dxa"/>
              <w:end w:w="80" w:type="dxa"/>
            </w:tcMar>
          </w:tcPr>
          <w:p>
            <w:r>
              <w:rPr>
                <w:rFonts w:ascii="Inter" w:hAnsi="Inter" w:eastAsia="Inter"/>
                <w:b w:val="0"/>
                <w:i w:val="0"/>
                <w:color w:val="252525"/>
                <w:sz w:val="20"/>
              </w:rPr>
              <w:t>8. Penutup</w:t>
            </w:r>
          </w:p>
        </w:tc>
        <w:tc>
          <w:tcPr>
            <w:tcW w:type="dxa" w:w="850"/>
            <w:tcMar>
              <w:top w:w="120" w:type="dxa"/>
              <w:start w:w="80" w:type="dxa"/>
              <w:bottom w:w="120" w:type="dxa"/>
              <w:end w:w="80" w:type="dxa"/>
            </w:tcMar>
          </w:tcPr>
          <w:p>
            <w:pPr>
              <w:jc w:val="right"/>
            </w:pPr>
            <w:r>
              <w:rPr>
                <w:rFonts w:ascii="Inter" w:hAnsi="Inter" w:eastAsia="Inter"/>
                <w:b/>
                <w:i w:val="0"/>
                <w:color w:val="70101A"/>
                <w:sz w:val="20"/>
              </w:rPr>
              <w:t>22</w:t>
            </w:r>
          </w:p>
        </w:tc>
      </w:tr>
    </w:tbl>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957"/>
      </w:tblGrid>
      <w:tr>
        <w:tc>
          <w:tcPr>
            <w:tcW w:type="dxa" w:w="9298"/>
            <w:shd w:fill="F5EBDD"/>
            <w:tcMar>
              <w:top w:w="180" w:type="dxa"/>
              <w:start w:w="220" w:type="dxa"/>
              <w:bottom w:w="180" w:type="dxa"/>
              <w:end w:w="220" w:type="dxa"/>
            </w:tcMar>
          </w:tcPr>
          <w:p>
            <w:pPr>
              <w:spacing w:before="0" w:after="60" w:line="269" w:lineRule="auto"/>
            </w:pPr>
            <w:r>
              <w:rPr>
                <w:rFonts w:ascii="Inter" w:hAnsi="Inter" w:eastAsia="Inter"/>
                <w:b/>
                <w:i w:val="0"/>
                <w:color w:val="70101A"/>
                <w:sz w:val="19"/>
              </w:rPr>
              <w:t>KETERANGAN</w:t>
            </w:r>
          </w:p>
          <w:p>
            <w:pPr>
              <w:spacing w:before="0" w:after="0" w:line="269" w:lineRule="auto"/>
              <w:jc w:val="both"/>
            </w:pPr>
            <w:r>
              <w:rPr>
                <w:rFonts w:ascii="Inter" w:hAnsi="Inter" w:eastAsia="Inter"/>
                <w:b w:val="0"/>
                <w:i w:val="0"/>
                <w:color w:val="252525"/>
                <w:sz w:val="19"/>
              </w:rPr>
              <w:t>Nomor halaman dihitung mulai dari halaman Identitas Dokumen; halaman sampul tidak diberi nomor.</w:t>
            </w:r>
          </w:p>
        </w:tc>
      </w:tr>
    </w:tbl>
    <w:p>
      <w:pPr>
        <w:spacing w:after="0"/>
      </w:pP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1. Pendahuluan</w:t>
      </w:r>
    </w:p>
    <w:p>
      <w:pPr>
        <w:pStyle w:val="Heading2"/>
        <w:keepNext/>
        <w:spacing w:before="160" w:after="100"/>
      </w:pPr>
      <w:r>
        <w:rPr>
          <w:rFonts w:ascii="Noto Serif" w:hAnsi="Noto Serif" w:eastAsia="Noto Serif"/>
          <w:b/>
          <w:i w:val="0"/>
          <w:color w:val="861622"/>
          <w:sz w:val="28"/>
        </w:rPr>
        <w:t>1.1 Konteks Kebangsaan</w:t>
      </w:r>
    </w:p>
    <w:p>
      <w:pPr>
        <w:spacing w:before="0" w:after="140" w:line="283" w:lineRule="auto"/>
        <w:ind w:firstLine="454"/>
        <w:jc w:val="both"/>
      </w:pPr>
      <w:r>
        <w:rPr>
          <w:rFonts w:ascii="Inter" w:hAnsi="Inter" w:eastAsia="Inter"/>
          <w:b w:val="0"/>
          <w:i w:val="0"/>
          <w:color w:val="252525"/>
          <w:sz w:val="21"/>
        </w:rPr>
        <w:t>Indonesia dibangun di atas keragaman suku, etnis, budaya, bahasa, adat istiadat, dan latar sosial. Materi presentasi menggambarkan kemajemukan tersebut sebagai realitas nasional yang harus dipelihara melalui semangat Bhinneka Tunggal Ika, persamaan pengalaman sejarah, dan komitmen bersama terhadap persatuan bangsa.</w:t>
      </w:r>
    </w:p>
    <w:p>
      <w:pPr>
        <w:spacing w:before="0" w:after="140" w:line="283" w:lineRule="auto"/>
        <w:ind w:firstLine="454"/>
        <w:jc w:val="both"/>
      </w:pPr>
      <w:r>
        <w:rPr>
          <w:rFonts w:ascii="Inter" w:hAnsi="Inter" w:eastAsia="Inter"/>
          <w:b w:val="0"/>
          <w:i w:val="0"/>
          <w:color w:val="252525"/>
          <w:sz w:val="21"/>
        </w:rPr>
        <w:t>Dalam konteks Kota Malang, keberagaman masyarakat memerlukan ruang interaksi yang terstruktur. Ruang tersebut tidak hanya berfungsi sebagai sarana pertemuan, tetapi juga sebagai media untuk menyampaikan aspirasi, membangun saling pengertian, mencegah prasangka, dan mengembangkan kerja sama lintas kelompok.</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957"/>
      </w:tblGrid>
      <w:tr>
        <w:tc>
          <w:tcPr>
            <w:tcW w:type="dxa" w:w="9298"/>
            <w:shd w:fill="F5EBDD"/>
            <w:tcMar>
              <w:top w:w="180" w:type="dxa"/>
              <w:start w:w="220" w:type="dxa"/>
              <w:bottom w:w="180" w:type="dxa"/>
              <w:end w:w="220" w:type="dxa"/>
            </w:tcMar>
          </w:tcPr>
          <w:p>
            <w:pPr>
              <w:spacing w:before="0" w:after="60" w:line="269" w:lineRule="auto"/>
            </w:pPr>
            <w:r>
              <w:rPr>
                <w:rFonts w:ascii="Inter" w:hAnsi="Inter" w:eastAsia="Inter"/>
                <w:b/>
                <w:i w:val="0"/>
                <w:color w:val="70101A"/>
                <w:sz w:val="19"/>
              </w:rPr>
              <w:t>PESAN KEBANGSAAN</w:t>
            </w:r>
          </w:p>
          <w:p>
            <w:pPr>
              <w:spacing w:before="0" w:after="0" w:line="269" w:lineRule="auto"/>
              <w:jc w:val="both"/>
            </w:pPr>
            <w:r>
              <w:rPr>
                <w:rFonts w:ascii="Inter" w:hAnsi="Inter" w:eastAsia="Inter"/>
                <w:b w:val="0"/>
                <w:i w:val="0"/>
                <w:color w:val="252525"/>
                <w:sz w:val="19"/>
              </w:rPr>
              <w:t>Bangsa yang kuat bertumpu pada masyarakat yang mampu menjaga persatuan sekaligus menghargai perbedaan. Materi sosialisasi menggunakan gagasan tersebut sebagai landasan moral pembauran kebangsaan.</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2" name="Picture 2"/>
            <wp:cNvGraphicFramePr>
              <a:graphicFrameLocks noChangeAspect="1"/>
            </wp:cNvGraphicFramePr>
            <a:graphic>
              <a:graphicData uri="http://schemas.openxmlformats.org/drawingml/2006/picture">
                <pic:pic>
                  <pic:nvPicPr>
                    <pic:cNvPr id="0" name="slide_03.jpg"/>
                    <pic:cNvPicPr/>
                  </pic:nvPicPr>
                  <pic:blipFill>
                    <a:blip r:embed="rId12"/>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 Visual kemajemukan Indonesia dalam materi sosialisasi (slide 3).</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1.2 Latar Belakang Pembentukan FPK</w:t>
      </w:r>
    </w:p>
    <w:p>
      <w:pPr>
        <w:spacing w:before="0" w:after="140" w:line="283" w:lineRule="auto"/>
        <w:ind w:firstLine="454"/>
        <w:jc w:val="both"/>
      </w:pPr>
      <w:r>
        <w:rPr>
          <w:rFonts w:ascii="Inter" w:hAnsi="Inter" w:eastAsia="Inter"/>
          <w:b w:val="0"/>
          <w:i w:val="0"/>
          <w:color w:val="252525"/>
          <w:sz w:val="21"/>
        </w:rPr>
        <w:t>Materi sosialisasi merumuskan tiga latar utama pembentukan FPK, yaitu kemajemukan dan pluralisme bangsa Indonesia, persamaan senasib dan seperjuangan, serta semangat kebhinekaan. Ketiga unsur ini menjadi dasar perlunya suatu wadah yang dapat menghubungkan warga, organisasi masyarakat, tokoh adat, unsur pemerintah, dan pihak terkait lainnya.</w:t>
      </w:r>
    </w:p>
    <w:p>
      <w:pPr>
        <w:spacing w:before="0" w:after="140" w:line="283" w:lineRule="auto"/>
        <w:ind w:firstLine="454"/>
        <w:jc w:val="both"/>
      </w:pPr>
      <w:r>
        <w:rPr>
          <w:rFonts w:ascii="Inter" w:hAnsi="Inter" w:eastAsia="Inter"/>
          <w:b w:val="0"/>
          <w:i w:val="0"/>
          <w:color w:val="252525"/>
          <w:sz w:val="21"/>
        </w:rPr>
        <w:t>FPK dibentuk agar pembauran kebangsaan dapat tumbuh dan berkembang melalui mekanisme informasi, komunikasi, konsultasi, dan kerja sama. Jangkauan pembauran dipandang perlu hadir secara berjenjang, mulai dari tingkat provinsi sampai tingkat desa atau kelurahan, sehingga nilai persatuan dapat diterapkan dekat dengan kehidupan masyarakat.</w:t>
      </w:r>
    </w:p>
    <w:p>
      <w:pPr>
        <w:spacing w:before="80" w:after="80"/>
        <w:jc w:val="center"/>
      </w:pPr>
      <w:r>
        <w:drawing>
          <wp:inline xmlns:a="http://schemas.openxmlformats.org/drawingml/2006/main" xmlns:pic="http://schemas.openxmlformats.org/drawingml/2006/picture">
            <wp:extent cx="5760000" cy="3240960"/>
            <wp:docPr id="3" name="Picture 3"/>
            <wp:cNvGraphicFramePr>
              <a:graphicFrameLocks noChangeAspect="1"/>
            </wp:cNvGraphicFramePr>
            <a:graphic>
              <a:graphicData uri="http://schemas.openxmlformats.org/drawingml/2006/picture">
                <pic:pic>
                  <pic:nvPicPr>
                    <pic:cNvPr id="0" name="slide_05.jpg"/>
                    <pic:cNvPicPr/>
                  </pic:nvPicPr>
                  <pic:blipFill>
                    <a:blip r:embed="rId13"/>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2. Latar belakang pembentukan Forum Pembauran Kebangsaan (slide 5).</w:t>
      </w:r>
    </w:p>
    <w:p>
      <w:pPr>
        <w:spacing w:before="0" w:after="100" w:line="240" w:lineRule="auto"/>
        <w:jc w:val="center"/>
      </w:pPr>
      <w:r>
        <w:rPr>
          <w:rFonts w:ascii="Inter" w:hAnsi="Inter" w:eastAsia="Inter"/>
          <w:b w:val="0"/>
          <w:i/>
          <w:color w:val="666666"/>
          <w:sz w:val="16"/>
        </w:rPr>
        <w:t>Sumber: Materi presentasi FPK Kota Malang, 2026.</w:t>
      </w: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2. Dasar Hukum dan Pengertian</w:t>
      </w:r>
    </w:p>
    <w:p>
      <w:pPr>
        <w:pStyle w:val="Heading2"/>
        <w:keepNext/>
        <w:spacing w:before="160" w:after="100"/>
      </w:pPr>
      <w:r>
        <w:rPr>
          <w:rFonts w:ascii="Noto Serif" w:hAnsi="Noto Serif" w:eastAsia="Noto Serif"/>
          <w:b/>
          <w:i w:val="0"/>
          <w:color w:val="861622"/>
          <w:sz w:val="28"/>
        </w:rPr>
        <w:t>2.1 Dasar Hukum</w:t>
      </w:r>
    </w:p>
    <w:p>
      <w:pPr>
        <w:spacing w:before="0" w:after="140" w:line="283" w:lineRule="auto"/>
        <w:ind w:firstLine="454"/>
        <w:jc w:val="both"/>
      </w:pPr>
      <w:r>
        <w:rPr>
          <w:rFonts w:ascii="Inter" w:hAnsi="Inter" w:eastAsia="Inter"/>
          <w:b w:val="0"/>
          <w:i w:val="0"/>
          <w:color w:val="252525"/>
          <w:sz w:val="21"/>
        </w:rPr>
        <w:t>Materi presentasi mencantumkan Peraturan Gubernur Jawa Timur Nomor 41 Tahun 2009 sebagai dasar penyelenggaraan pembauran kebangsaan di Provinsi Jawa Timur.</w:t>
      </w:r>
    </w:p>
    <w:p>
      <w:pPr>
        <w:spacing w:before="0" w:after="140" w:line="283" w:lineRule="auto"/>
        <w:ind w:firstLine="454"/>
        <w:jc w:val="both"/>
      </w:pPr>
      <w:r>
        <w:rPr>
          <w:rFonts w:ascii="Inter" w:hAnsi="Inter" w:eastAsia="Inter"/>
          <w:b w:val="0"/>
          <w:i w:val="0"/>
          <w:color w:val="252525"/>
          <w:sz w:val="21"/>
        </w:rPr>
        <w:t>Untuk kelembagaan di Kota Malang, materi juga mencantumkan Surat Keputusan Wali Kota Malang Nomor 100.3.3.3/201/35.73.112/2025 tentang perubahan atas Keputusan Wali Kota Malang Nomor 100.3.3.3/130/35.73.112/2025. Keputusan tersebut berkaitan dengan pembentukan Forum Pembauran Kebangsaan dan Dewan Pembina Forum Pembauran Kebangsaan untuk masa bakti 2025-2027.</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957"/>
      </w:tblGrid>
      <w:tr>
        <w:tc>
          <w:tcPr>
            <w:tcW w:type="dxa" w:w="9298"/>
            <w:shd w:fill="F5EBDD"/>
            <w:tcMar>
              <w:top w:w="180" w:type="dxa"/>
              <w:start w:w="220" w:type="dxa"/>
              <w:bottom w:w="180" w:type="dxa"/>
              <w:end w:w="220" w:type="dxa"/>
            </w:tcMar>
          </w:tcPr>
          <w:p>
            <w:pPr>
              <w:spacing w:before="0" w:after="60" w:line="269" w:lineRule="auto"/>
            </w:pPr>
            <w:r>
              <w:rPr>
                <w:rFonts w:ascii="Inter" w:hAnsi="Inter" w:eastAsia="Inter"/>
                <w:b/>
                <w:i w:val="0"/>
                <w:color w:val="70101A"/>
                <w:sz w:val="19"/>
              </w:rPr>
              <w:t>KEDUDUKAN DOKUMEN</w:t>
            </w:r>
          </w:p>
          <w:p>
            <w:pPr>
              <w:spacing w:before="0" w:after="0" w:line="269" w:lineRule="auto"/>
              <w:jc w:val="both"/>
            </w:pPr>
            <w:r>
              <w:rPr>
                <w:rFonts w:ascii="Inter" w:hAnsi="Inter" w:eastAsia="Inter"/>
                <w:b w:val="0"/>
                <w:i w:val="0"/>
                <w:color w:val="252525"/>
                <w:sz w:val="19"/>
              </w:rPr>
              <w:t>Laporan ini hanya menyajikan informasi yang tertulis pada materi sosialisasi. Rumusan hukum yang mengikat tetap merujuk pada naskah peraturan dan keputusan resmi.</w:t>
            </w:r>
          </w:p>
        </w:tc>
      </w:tr>
    </w:tbl>
    <w:p>
      <w:pPr>
        <w:spacing w:after="0"/>
      </w:pPr>
    </w:p>
    <w:p>
      <w:pPr>
        <w:pStyle w:val="Heading2"/>
        <w:keepNext/>
        <w:spacing w:before="160" w:after="100"/>
      </w:pPr>
      <w:r>
        <w:rPr>
          <w:rFonts w:ascii="Noto Serif" w:hAnsi="Noto Serif" w:eastAsia="Noto Serif"/>
          <w:b/>
          <w:i w:val="0"/>
          <w:color w:val="861622"/>
          <w:sz w:val="28"/>
        </w:rPr>
        <w:t>2.2 Pengertian FPK</w:t>
      </w:r>
    </w:p>
    <w:p>
      <w:pPr>
        <w:spacing w:before="0" w:after="140" w:line="283" w:lineRule="auto"/>
        <w:ind w:firstLine="454"/>
        <w:jc w:val="both"/>
      </w:pPr>
      <w:r>
        <w:rPr>
          <w:rFonts w:ascii="Inter" w:hAnsi="Inter" w:eastAsia="Inter"/>
          <w:b w:val="0"/>
          <w:i w:val="0"/>
          <w:color w:val="252525"/>
          <w:sz w:val="21"/>
        </w:rPr>
        <w:t>Forum Pembauran Kebangsaan Kota Malang adalah wadah informasi, komunikasi, konsultasi, dan kerja sama antarwarga masyarakat. Arah utamanya ialah menumbuhkan, memantapkan, memelihara, dan mengembangkan pembauran kebangsaan.</w:t>
      </w:r>
    </w:p>
    <w:p>
      <w:pPr>
        <w:spacing w:before="0" w:after="140" w:line="283" w:lineRule="auto"/>
        <w:ind w:firstLine="454"/>
        <w:jc w:val="both"/>
      </w:pPr>
      <w:r>
        <w:rPr>
          <w:rFonts w:ascii="Inter" w:hAnsi="Inter" w:eastAsia="Inter"/>
          <w:b w:val="0"/>
          <w:i w:val="0"/>
          <w:color w:val="252525"/>
          <w:sz w:val="21"/>
        </w:rPr>
        <w:t>Dengan pengertian tersebut, FPK bukan sekadar organisasi seremonial. FPK berperan sebagai penghubung antara masyarakat dan pemerintah, sekaligus ruang dialog yang mendorong hubungan sosial yang lebih harmonis di tengah kemajemukan Kota Malang.</w:t>
      </w: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3. Tujuan, Peran, dan Arah Kerja</w:t>
      </w:r>
    </w:p>
    <w:p>
      <w:pPr>
        <w:pStyle w:val="Heading2"/>
        <w:keepNext/>
        <w:spacing w:before="160" w:after="100"/>
      </w:pPr>
      <w:r>
        <w:rPr>
          <w:rFonts w:ascii="Noto Serif" w:hAnsi="Noto Serif" w:eastAsia="Noto Serif"/>
          <w:b/>
          <w:i w:val="0"/>
          <w:color w:val="861622"/>
          <w:sz w:val="28"/>
        </w:rPr>
        <w:t>3.1 Tujuan Pembauran Kebangsaan</w:t>
      </w:r>
    </w:p>
    <w:p>
      <w:pPr>
        <w:spacing w:before="0" w:after="140" w:line="283" w:lineRule="auto"/>
        <w:ind w:firstLine="454"/>
        <w:jc w:val="both"/>
      </w:pPr>
      <w:r>
        <w:rPr>
          <w:rFonts w:ascii="Inter" w:hAnsi="Inter" w:eastAsia="Inter"/>
          <w:b w:val="0"/>
          <w:i w:val="0"/>
          <w:color w:val="252525"/>
          <w:sz w:val="21"/>
        </w:rPr>
        <w:t>Tujuan pembauran kebangsaan adalah terciptanya iklim sosial yang kondusif, disertai perubahan sikap masyarakat agar mampu menerima kemajemukan dalam wadah Negara Kesatuan Republik Indonesia. Tujuan tersebut diterjemahkan ke dalam empat arah utama:</w:t>
      </w:r>
    </w:p>
    <w:p>
      <w:pPr>
        <w:pStyle w:val="ListBullet"/>
        <w:spacing w:before="0" w:after="80" w:line="269" w:lineRule="auto"/>
        <w:ind w:left="397" w:hanging="170"/>
      </w:pPr>
      <w:r>
        <w:rPr>
          <w:rFonts w:ascii="Inter" w:hAnsi="Inter" w:eastAsia="Inter"/>
          <w:b w:val="0"/>
          <w:i w:val="0"/>
          <w:color w:val="252525"/>
          <w:sz w:val="21"/>
        </w:rPr>
        <w:t>Menumbuhkan sikap toleransi dan saling menghormati.</w:t>
      </w:r>
    </w:p>
    <w:p>
      <w:pPr>
        <w:pStyle w:val="ListBullet"/>
        <w:spacing w:before="0" w:after="80" w:line="269" w:lineRule="auto"/>
        <w:ind w:left="397" w:hanging="170"/>
      </w:pPr>
      <w:r>
        <w:rPr>
          <w:rFonts w:ascii="Inter" w:hAnsi="Inter" w:eastAsia="Inter"/>
          <w:b w:val="0"/>
          <w:i w:val="0"/>
          <w:color w:val="252525"/>
          <w:sz w:val="21"/>
        </w:rPr>
        <w:t>Meningkatkan integrasi nasional.</w:t>
      </w:r>
    </w:p>
    <w:p>
      <w:pPr>
        <w:pStyle w:val="ListBullet"/>
        <w:spacing w:before="0" w:after="80" w:line="269" w:lineRule="auto"/>
        <w:ind w:left="397" w:hanging="170"/>
      </w:pPr>
      <w:r>
        <w:rPr>
          <w:rFonts w:ascii="Inter" w:hAnsi="Inter" w:eastAsia="Inter"/>
          <w:b w:val="0"/>
          <w:i w:val="0"/>
          <w:color w:val="252525"/>
          <w:sz w:val="21"/>
        </w:rPr>
        <w:t>Mencegah konflik sosial dan disintegrasi.</w:t>
      </w:r>
    </w:p>
    <w:p>
      <w:pPr>
        <w:pStyle w:val="ListBullet"/>
        <w:spacing w:before="0" w:after="80" w:line="269" w:lineRule="auto"/>
        <w:ind w:left="397" w:hanging="170"/>
      </w:pPr>
      <w:r>
        <w:rPr>
          <w:rFonts w:ascii="Inter" w:hAnsi="Inter" w:eastAsia="Inter"/>
          <w:b w:val="0"/>
          <w:i w:val="0"/>
          <w:color w:val="252525"/>
          <w:sz w:val="21"/>
        </w:rPr>
        <w:t>Membangun solidaritas dan persatuan.</w:t>
      </w:r>
    </w:p>
    <w:p>
      <w:pPr>
        <w:spacing w:before="0" w:after="140" w:line="283" w:lineRule="auto"/>
        <w:ind w:firstLine="454"/>
        <w:jc w:val="both"/>
      </w:pPr>
      <w:r>
        <w:rPr>
          <w:rFonts w:ascii="Inter" w:hAnsi="Inter" w:eastAsia="Inter"/>
          <w:b w:val="0"/>
          <w:i w:val="0"/>
          <w:color w:val="252525"/>
          <w:sz w:val="21"/>
        </w:rPr>
        <w:t>Materi menempatkan FPK sebagai instrumen pemerintah dan masyarakat untuk merawat nilai Bhinneka Tunggal Ika serta mengamalkan sila ketiga Pancasila, Persatuan Indonesia.</w:t>
      </w:r>
    </w:p>
    <w:p>
      <w:pPr>
        <w:pStyle w:val="Heading2"/>
        <w:keepNext/>
        <w:spacing w:before="160" w:after="100"/>
      </w:pPr>
      <w:r>
        <w:rPr>
          <w:rFonts w:ascii="Noto Serif" w:hAnsi="Noto Serif" w:eastAsia="Noto Serif"/>
          <w:b/>
          <w:i w:val="0"/>
          <w:color w:val="861622"/>
          <w:sz w:val="28"/>
        </w:rPr>
        <w:t>3.2 Peran yang Harus Dijalankan</w:t>
      </w:r>
    </w:p>
    <w:p>
      <w:pPr>
        <w:spacing w:before="0" w:after="140" w:line="283" w:lineRule="auto"/>
        <w:ind w:firstLine="454"/>
        <w:jc w:val="both"/>
      </w:pPr>
      <w:r>
        <w:rPr>
          <w:rFonts w:ascii="Inter" w:hAnsi="Inter" w:eastAsia="Inter"/>
          <w:b w:val="0"/>
          <w:i w:val="0"/>
          <w:color w:val="252525"/>
          <w:sz w:val="21"/>
        </w:rPr>
        <w:t>Dalam pelaksanaannya, FPK diarahkan untuk menjalankan peran yang bersifat fasilitatif, partisipatif, koordinatif, dan preventif. Peran tersebut meliputi:</w:t>
      </w:r>
    </w:p>
    <w:p>
      <w:pPr>
        <w:spacing w:before="0" w:after="100" w:line="274" w:lineRule="auto"/>
        <w:ind w:left="510" w:hanging="312"/>
      </w:pPr>
      <w:r>
        <w:rPr>
          <w:rFonts w:ascii="Inter" w:hAnsi="Inter" w:eastAsia="Inter"/>
          <w:b/>
          <w:i w:val="0"/>
          <w:color w:val="70101A"/>
          <w:sz w:val="21"/>
        </w:rPr>
        <w:t xml:space="preserve">1. </w:t>
      </w:r>
      <w:r>
        <w:rPr>
          <w:rFonts w:ascii="Inter" w:hAnsi="Inter" w:eastAsia="Inter"/>
          <w:b w:val="0"/>
          <w:i w:val="0"/>
          <w:color w:val="252525"/>
          <w:sz w:val="21"/>
        </w:rPr>
        <w:t>Memfasilitasi, membina, dan mengoordinasikan penyelenggaraan pembauran kebangsaan.</w:t>
      </w:r>
    </w:p>
    <w:p>
      <w:pPr>
        <w:spacing w:before="0" w:after="100" w:line="274" w:lineRule="auto"/>
        <w:ind w:left="510" w:hanging="312"/>
      </w:pPr>
      <w:r>
        <w:rPr>
          <w:rFonts w:ascii="Inter" w:hAnsi="Inter" w:eastAsia="Inter"/>
          <w:b/>
          <w:i w:val="0"/>
          <w:color w:val="70101A"/>
          <w:sz w:val="21"/>
        </w:rPr>
        <w:t xml:space="preserve">2. </w:t>
      </w:r>
      <w:r>
        <w:rPr>
          <w:rFonts w:ascii="Inter" w:hAnsi="Inter" w:eastAsia="Inter"/>
          <w:b w:val="0"/>
          <w:i w:val="0"/>
          <w:color w:val="252525"/>
          <w:sz w:val="21"/>
        </w:rPr>
        <w:t>Menjaring aspirasi masyarakat.</w:t>
      </w:r>
    </w:p>
    <w:p>
      <w:pPr>
        <w:spacing w:before="0" w:after="100" w:line="274" w:lineRule="auto"/>
        <w:ind w:left="510" w:hanging="312"/>
      </w:pPr>
      <w:r>
        <w:rPr>
          <w:rFonts w:ascii="Inter" w:hAnsi="Inter" w:eastAsia="Inter"/>
          <w:b/>
          <w:i w:val="0"/>
          <w:color w:val="70101A"/>
          <w:sz w:val="21"/>
        </w:rPr>
        <w:t xml:space="preserve">3. </w:t>
      </w:r>
      <w:r>
        <w:rPr>
          <w:rFonts w:ascii="Inter" w:hAnsi="Inter" w:eastAsia="Inter"/>
          <w:b w:val="0"/>
          <w:i w:val="0"/>
          <w:color w:val="252525"/>
          <w:sz w:val="21"/>
        </w:rPr>
        <w:t>Menjadi wadah dialog dan koordinasi antara pemerintah, masyarakat, dan pihak terkait.</w:t>
      </w:r>
    </w:p>
    <w:p>
      <w:pPr>
        <w:spacing w:before="0" w:after="100" w:line="274" w:lineRule="auto"/>
        <w:ind w:left="510" w:hanging="312"/>
      </w:pPr>
      <w:r>
        <w:rPr>
          <w:rFonts w:ascii="Inter" w:hAnsi="Inter" w:eastAsia="Inter"/>
          <w:b/>
          <w:i w:val="0"/>
          <w:color w:val="70101A"/>
          <w:sz w:val="21"/>
        </w:rPr>
        <w:t xml:space="preserve">4. </w:t>
      </w:r>
      <w:r>
        <w:rPr>
          <w:rFonts w:ascii="Inter" w:hAnsi="Inter" w:eastAsia="Inter"/>
          <w:b w:val="0"/>
          <w:i w:val="0"/>
          <w:color w:val="252525"/>
          <w:sz w:val="21"/>
        </w:rPr>
        <w:t>Menumbuhkan keharmonisan, saling pengertian, saling menghormati, dan saling percaya di antara warga dari berbagai ras, suku, dan etnis.</w:t>
      </w:r>
    </w:p>
    <w:p>
      <w:pPr>
        <w:spacing w:before="0" w:after="100" w:line="274" w:lineRule="auto"/>
        <w:ind w:left="510" w:hanging="312"/>
      </w:pPr>
      <w:r>
        <w:rPr>
          <w:rFonts w:ascii="Inter" w:hAnsi="Inter" w:eastAsia="Inter"/>
          <w:b/>
          <w:i w:val="0"/>
          <w:color w:val="70101A"/>
          <w:sz w:val="21"/>
        </w:rPr>
        <w:t xml:space="preserve">5. </w:t>
      </w:r>
      <w:r>
        <w:rPr>
          <w:rFonts w:ascii="Inter" w:hAnsi="Inter" w:eastAsia="Inter"/>
          <w:b w:val="0"/>
          <w:i w:val="0"/>
          <w:color w:val="252525"/>
          <w:sz w:val="21"/>
        </w:rPr>
        <w:t>Membina serta memelihara ketenteraman dan ketertiban masyarakat.</w:t>
      </w:r>
    </w:p>
    <w:p>
      <w:pPr>
        <w:spacing w:before="80" w:after="80"/>
        <w:jc w:val="center"/>
      </w:pPr>
      <w:r>
        <w:drawing>
          <wp:inline xmlns:a="http://schemas.openxmlformats.org/drawingml/2006/main" xmlns:pic="http://schemas.openxmlformats.org/drawingml/2006/picture">
            <wp:extent cx="5760000" cy="3240960"/>
            <wp:docPr id="4" name="Picture 4"/>
            <wp:cNvGraphicFramePr>
              <a:graphicFrameLocks noChangeAspect="1"/>
            </wp:cNvGraphicFramePr>
            <a:graphic>
              <a:graphicData uri="http://schemas.openxmlformats.org/drawingml/2006/picture">
                <pic:pic>
                  <pic:nvPicPr>
                    <pic:cNvPr id="0" name="slide_08.jpg"/>
                    <pic:cNvPicPr/>
                  </pic:nvPicPr>
                  <pic:blipFill>
                    <a:blip r:embed="rId14"/>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3. Ringkasan peran yang harus dijalankan FPK (slide 8).</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3.3 Kemajemukan Kota Malang dan Risiko Disintegrasi</w:t>
      </w:r>
    </w:p>
    <w:p>
      <w:pPr>
        <w:spacing w:before="0" w:after="140" w:line="283" w:lineRule="auto"/>
        <w:ind w:firstLine="454"/>
        <w:jc w:val="both"/>
      </w:pPr>
      <w:r>
        <w:rPr>
          <w:rFonts w:ascii="Inter" w:hAnsi="Inter" w:eastAsia="Inter"/>
          <w:b w:val="0"/>
          <w:i w:val="0"/>
          <w:color w:val="252525"/>
          <w:sz w:val="21"/>
        </w:rPr>
        <w:t>Materi presentasi menyebutkan terdapat 41 suku yang terdata di Kota Malang. Angka tersebut digunakan untuk menegaskan bahwa pembauran kebangsaan merupakan kebutuhan nyata di tingkat lokal, bukan sekadar konsep abstrak. Semakin beragam komposisi masyarakat, semakin penting mekanisme komunikasi, dialog, dan kerja sama yang terpelihara.</w:t>
      </w:r>
    </w:p>
    <w:p>
      <w:pPr>
        <w:spacing w:before="0" w:after="140" w:line="283" w:lineRule="auto"/>
        <w:ind w:firstLine="454"/>
        <w:jc w:val="both"/>
      </w:pPr>
      <w:r>
        <w:rPr>
          <w:rFonts w:ascii="Inter" w:hAnsi="Inter" w:eastAsia="Inter"/>
          <w:b w:val="0"/>
          <w:i w:val="0"/>
          <w:color w:val="252525"/>
          <w:sz w:val="21"/>
        </w:rPr>
        <w:t>Presentasi juga menggunakan contoh disintegrasi Yugoslavia dan Cekoslowakia sebagai pengingat bahwa persatuan tidak dapat dianggap sebagai kondisi yang otomatis bertahan. Pesan utamanya adalah bahwa keutuhan negara perlu dijaga melalui pengelolaan perbedaan secara adil, damai, dan berkelanjutan.</w:t>
      </w:r>
    </w:p>
    <w:p>
      <w:pPr>
        <w:spacing w:before="80" w:after="80"/>
        <w:jc w:val="center"/>
      </w:pPr>
      <w:r>
        <w:drawing>
          <wp:inline xmlns:a="http://schemas.openxmlformats.org/drawingml/2006/main" xmlns:pic="http://schemas.openxmlformats.org/drawingml/2006/picture">
            <wp:extent cx="5760000" cy="3240960"/>
            <wp:docPr id="5" name="Picture 5"/>
            <wp:cNvGraphicFramePr>
              <a:graphicFrameLocks noChangeAspect="1"/>
            </wp:cNvGraphicFramePr>
            <a:graphic>
              <a:graphicData uri="http://schemas.openxmlformats.org/drawingml/2006/picture">
                <pic:pic>
                  <pic:nvPicPr>
                    <pic:cNvPr id="0" name="slide_09.jpg"/>
                    <pic:cNvPicPr/>
                  </pic:nvPicPr>
                  <pic:blipFill>
                    <a:blip r:embed="rId15"/>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4. Data 41 suku yang terdata di Kota Malang menurut materi presentasi (slide 9).</w:t>
      </w:r>
    </w:p>
    <w:p>
      <w:pPr>
        <w:spacing w:before="0" w:after="100" w:line="240" w:lineRule="auto"/>
        <w:jc w:val="center"/>
      </w:pPr>
      <w:r>
        <w:rPr>
          <w:rFonts w:ascii="Inter" w:hAnsi="Inter" w:eastAsia="Inter"/>
          <w:b w:val="0"/>
          <w:i/>
          <w:color w:val="666666"/>
          <w:sz w:val="16"/>
        </w:rPr>
        <w:t>Sumber: Materi presentasi FPK Kota Malang, 2026.</w:t>
      </w:r>
    </w:p>
    <w:p>
      <w:pPr>
        <w:spacing w:before="80" w:after="80"/>
        <w:jc w:val="center"/>
      </w:pPr>
      <w:r>
        <w:drawing>
          <wp:inline xmlns:a="http://schemas.openxmlformats.org/drawingml/2006/main" xmlns:pic="http://schemas.openxmlformats.org/drawingml/2006/picture">
            <wp:extent cx="5760000" cy="3240960"/>
            <wp:docPr id="6" name="Picture 6"/>
            <wp:cNvGraphicFramePr>
              <a:graphicFrameLocks noChangeAspect="1"/>
            </wp:cNvGraphicFramePr>
            <a:graphic>
              <a:graphicData uri="http://schemas.openxmlformats.org/drawingml/2006/picture">
                <pic:pic>
                  <pic:nvPicPr>
                    <pic:cNvPr id="0" name="slide_10.jpg"/>
                    <pic:cNvPicPr/>
                  </pic:nvPicPr>
                  <pic:blipFill>
                    <a:blip r:embed="rId16"/>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5. Ilustrasi pelajaran disintegrasi negara dalam materi sosialisasi (slide 10).</w:t>
      </w:r>
    </w:p>
    <w:p>
      <w:pPr>
        <w:spacing w:before="0" w:after="100" w:line="240" w:lineRule="auto"/>
        <w:jc w:val="center"/>
      </w:pPr>
      <w:r>
        <w:rPr>
          <w:rFonts w:ascii="Inter" w:hAnsi="Inter" w:eastAsia="Inter"/>
          <w:b w:val="0"/>
          <w:i/>
          <w:color w:val="666666"/>
          <w:sz w:val="16"/>
        </w:rPr>
        <w:t>Sumber: Materi presentasi FPK Kota Malang, 2026.</w:t>
      </w: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4. Tugas Pokok Forum Pembauran Kebangsaan</w:t>
      </w:r>
    </w:p>
    <w:p>
      <w:pPr>
        <w:spacing w:before="0" w:after="140" w:line="283" w:lineRule="auto"/>
        <w:ind w:firstLine="454"/>
        <w:jc w:val="both"/>
      </w:pPr>
      <w:r>
        <w:rPr>
          <w:rFonts w:ascii="Inter" w:hAnsi="Inter" w:eastAsia="Inter"/>
          <w:b w:val="0"/>
          <w:i w:val="0"/>
          <w:color w:val="252525"/>
          <w:sz w:val="21"/>
        </w:rPr>
        <w:t>Materi presentasi merumuskan empat tugas pokok FPK Kota Malang. Keempat tugas tersebut membentuk alur kerja dari penyerapan aspirasi sampai penyampaian rekomendasi kebijakan kepada pemerintah daerah.</w:t>
      </w:r>
    </w:p>
    <w:p>
      <w:pPr>
        <w:spacing w:before="0" w:after="100" w:line="274" w:lineRule="auto"/>
        <w:ind w:left="510" w:hanging="312"/>
      </w:pPr>
      <w:r>
        <w:rPr>
          <w:rFonts w:ascii="Inter" w:hAnsi="Inter" w:eastAsia="Inter"/>
          <w:b/>
          <w:i w:val="0"/>
          <w:color w:val="70101A"/>
          <w:sz w:val="21"/>
        </w:rPr>
        <w:t xml:space="preserve">1. </w:t>
      </w:r>
      <w:r>
        <w:rPr>
          <w:rFonts w:ascii="Inter" w:hAnsi="Inter" w:eastAsia="Inter"/>
          <w:b w:val="0"/>
          <w:i w:val="0"/>
          <w:color w:val="252525"/>
          <w:sz w:val="21"/>
        </w:rPr>
        <w:t>Menjaring aspirasi masyarakat di bidang pembauran kebangsaan.</w:t>
      </w:r>
    </w:p>
    <w:p>
      <w:pPr>
        <w:spacing w:before="0" w:after="100" w:line="274" w:lineRule="auto"/>
        <w:ind w:left="510" w:hanging="312"/>
      </w:pPr>
      <w:r>
        <w:rPr>
          <w:rFonts w:ascii="Inter" w:hAnsi="Inter" w:eastAsia="Inter"/>
          <w:b/>
          <w:i w:val="0"/>
          <w:color w:val="70101A"/>
          <w:sz w:val="21"/>
        </w:rPr>
        <w:t xml:space="preserve">2. </w:t>
      </w:r>
      <w:r>
        <w:rPr>
          <w:rFonts w:ascii="Inter" w:hAnsi="Inter" w:eastAsia="Inter"/>
          <w:b w:val="0"/>
          <w:i w:val="0"/>
          <w:color w:val="252525"/>
          <w:sz w:val="21"/>
        </w:rPr>
        <w:t>Menyelenggarakan forum dialog dengan pimpinan organisasi pembauran kebangsaan, pemuka adat, unsur suku, dan masyarakat.</w:t>
      </w:r>
    </w:p>
    <w:p>
      <w:pPr>
        <w:spacing w:before="0" w:after="100" w:line="274" w:lineRule="auto"/>
        <w:ind w:left="510" w:hanging="312"/>
      </w:pPr>
      <w:r>
        <w:rPr>
          <w:rFonts w:ascii="Inter" w:hAnsi="Inter" w:eastAsia="Inter"/>
          <w:b/>
          <w:i w:val="0"/>
          <w:color w:val="70101A"/>
          <w:sz w:val="21"/>
        </w:rPr>
        <w:t xml:space="preserve">3. </w:t>
      </w:r>
      <w:r>
        <w:rPr>
          <w:rFonts w:ascii="Inter" w:hAnsi="Inter" w:eastAsia="Inter"/>
          <w:b w:val="0"/>
          <w:i w:val="0"/>
          <w:color w:val="252525"/>
          <w:sz w:val="21"/>
        </w:rPr>
        <w:t>Menyelenggarakan sosialisasi kebijakan yang berkaitan dengan pembauran kebangsaan.</w:t>
      </w:r>
    </w:p>
    <w:p>
      <w:pPr>
        <w:spacing w:before="0" w:after="100" w:line="274" w:lineRule="auto"/>
        <w:ind w:left="510" w:hanging="312"/>
      </w:pPr>
      <w:r>
        <w:rPr>
          <w:rFonts w:ascii="Inter" w:hAnsi="Inter" w:eastAsia="Inter"/>
          <w:b/>
          <w:i w:val="0"/>
          <w:color w:val="70101A"/>
          <w:sz w:val="21"/>
        </w:rPr>
        <w:t xml:space="preserve">4. </w:t>
      </w:r>
      <w:r>
        <w:rPr>
          <w:rFonts w:ascii="Inter" w:hAnsi="Inter" w:eastAsia="Inter"/>
          <w:b w:val="0"/>
          <w:i w:val="0"/>
          <w:color w:val="252525"/>
          <w:sz w:val="21"/>
        </w:rPr>
        <w:t>Merumuskan rekomendasi kepada Wali Kota sebagai bahan pertimbangan dalam penyusunan kebijakan pembauran.</w:t>
      </w:r>
    </w:p>
    <w:p>
      <w:pPr>
        <w:pStyle w:val="Heading2"/>
        <w:keepNext/>
        <w:spacing w:before="160" w:after="100"/>
      </w:pPr>
      <w:r>
        <w:rPr>
          <w:rFonts w:ascii="Noto Serif" w:hAnsi="Noto Serif" w:eastAsia="Noto Serif"/>
          <w:b/>
          <w:i w:val="0"/>
          <w:color w:val="861622"/>
          <w:sz w:val="28"/>
        </w:rPr>
        <w:t>4.1 Pola Pelaksanaan Tugas</w:t>
      </w:r>
    </w:p>
    <w:p>
      <w:pPr>
        <w:spacing w:before="0" w:after="140" w:line="283" w:lineRule="auto"/>
        <w:ind w:firstLine="454"/>
        <w:jc w:val="both"/>
      </w:pPr>
      <w:r>
        <w:rPr>
          <w:rFonts w:ascii="Inter" w:hAnsi="Inter" w:eastAsia="Inter"/>
          <w:b w:val="0"/>
          <w:i w:val="0"/>
          <w:color w:val="252525"/>
          <w:sz w:val="21"/>
        </w:rPr>
        <w:t>Secara operasional, tugas tersebut dapat dipahami sebagai siklus kerja. Aspirasi masyarakat dihimpun terlebih dahulu, kemudian dibahas melalui dialog. Hasil dialog menjadi bahan sosialisasi, koordinasi, dan kajian. Selanjutnya, temuan dan kebutuhan yang relevan dirumuskan menjadi rekomendasi bagi pemerintah daerah.</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957"/>
      </w:tblGrid>
      <w:tr>
        <w:tc>
          <w:tcPr>
            <w:tcW w:type="dxa" w:w="9298"/>
            <w:shd w:fill="F5EBDD"/>
            <w:tcMar>
              <w:top w:w="180" w:type="dxa"/>
              <w:start w:w="220" w:type="dxa"/>
              <w:bottom w:w="180" w:type="dxa"/>
              <w:end w:w="220" w:type="dxa"/>
            </w:tcMar>
          </w:tcPr>
          <w:p>
            <w:pPr>
              <w:spacing w:before="0" w:after="60" w:line="269" w:lineRule="auto"/>
            </w:pPr>
            <w:r>
              <w:rPr>
                <w:rFonts w:ascii="Inter" w:hAnsi="Inter" w:eastAsia="Inter"/>
                <w:b/>
                <w:i w:val="0"/>
                <w:color w:val="70101A"/>
                <w:sz w:val="19"/>
              </w:rPr>
              <w:t>INTI FUNGSI</w:t>
            </w:r>
          </w:p>
          <w:p>
            <w:pPr>
              <w:spacing w:before="0" w:after="0" w:line="269" w:lineRule="auto"/>
              <w:jc w:val="both"/>
            </w:pPr>
            <w:r>
              <w:rPr>
                <w:rFonts w:ascii="Inter" w:hAnsi="Inter" w:eastAsia="Inter"/>
                <w:b w:val="0"/>
                <w:i w:val="0"/>
                <w:color w:val="252525"/>
                <w:sz w:val="19"/>
              </w:rPr>
              <w:t>FPK menghubungkan pengalaman masyarakat dengan proses kebijakan pemerintah daerah melalui mekanisme aspirasi, dialog, edukasi, kajian, dan rekomendasi.</w:t>
            </w:r>
          </w:p>
        </w:tc>
      </w:tr>
    </w:tbl>
    <w:p>
      <w:pPr>
        <w:spacing w:after="0"/>
      </w:pP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5. Struktur Organisasi FPK Kota Malang</w:t>
      </w:r>
    </w:p>
    <w:p>
      <w:pPr>
        <w:spacing w:before="0" w:after="140" w:line="283" w:lineRule="auto"/>
        <w:ind w:firstLine="454"/>
        <w:jc w:val="both"/>
      </w:pPr>
      <w:r>
        <w:rPr>
          <w:rFonts w:ascii="Inter" w:hAnsi="Inter" w:eastAsia="Inter"/>
          <w:b w:val="0"/>
          <w:i w:val="0"/>
          <w:color w:val="252525"/>
          <w:sz w:val="21"/>
        </w:rPr>
        <w:t>Struktur organisasi yang ditampilkan dalam materi terdiri atas unsur pimpinan, empat bidang kerja, dan tiga biro pendukung. Susunan ini menunjukkan pembagian fungsi antara kepemimpinan, komunikasi masyarakat, dialog dan advokasi, sosialisasi dan edukasi, kajian kebijakan, serta dukungan administrasi dan publikasi.</w:t>
      </w:r>
    </w:p>
    <w:p>
      <w:pPr>
        <w:pStyle w:val="Heading2"/>
        <w:keepNext/>
        <w:spacing w:before="160" w:after="100"/>
      </w:pPr>
      <w:r>
        <w:rPr>
          <w:rFonts w:ascii="Noto Serif" w:hAnsi="Noto Serif" w:eastAsia="Noto Serif"/>
          <w:b/>
          <w:i w:val="0"/>
          <w:color w:val="861622"/>
          <w:sz w:val="28"/>
        </w:rPr>
        <w:t>5.1 Unsur Pimpinan</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438"/>
        <w:gridCol w:w="3572"/>
        <w:gridCol w:w="2835"/>
      </w:tblGrid>
      <w:tr>
        <w:trPr>
          <w:tblHeader w:val="true"/>
        </w:trPr>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Jabatan</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Nama</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Keterangan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Ketua</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Ahmad Fuad Rahman, S.E., M.M.</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Memimpin dan mengarahkan pelaksanaan program FPK.</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Wakil Ketua</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Drs. Hedher Taukia, M.PdI.</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Mendukung ketua dan mengoordinasikan pelaksanaan tugas organisasi.</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Sekretaris</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Dra. Atfiah El Zam Zami, M.M.</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Mengelola administrasi dan koordinasi kesekretariatan.</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Wakil Sekretaris</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Sahran, S.PdI., M.PdI.</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Mendukung pelaksanaan administrasi dan dokumentasi organisasi.</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7" name="Picture 7"/>
            <wp:cNvGraphicFramePr>
              <a:graphicFrameLocks noChangeAspect="1"/>
            </wp:cNvGraphicFramePr>
            <a:graphic>
              <a:graphicData uri="http://schemas.openxmlformats.org/drawingml/2006/picture">
                <pic:pic>
                  <pic:nvPicPr>
                    <pic:cNvPr id="0" name="slide_12.jpg"/>
                    <pic:cNvPicPr/>
                  </pic:nvPicPr>
                  <pic:blipFill>
                    <a:blip r:embed="rId17"/>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6. Susunan unsur pimpinan FPK Kota Malang (slide 12).</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5.2 Bidang Komunikasi dan Jaringan Masyarakat</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438"/>
        <w:gridCol w:w="3572"/>
        <w:gridCol w:w="2835"/>
      </w:tblGrid>
      <w:tr>
        <w:trPr>
          <w:tblHeader w:val="true"/>
        </w:trPr>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Jabatan</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Nama</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Keterangan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Koordinator</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Sani Sinarsana Kisid, S.T., M.T.</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Koordinasi komunikasi dan pengembangan jaringan masyarakat.</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Wakil Koordinator</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Tetty Veronika Sormin</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Mendukung pelaksanaan program bidang.</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Ani Rusidah</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Drs. Muarib, M.Si.</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8" name="Picture 8"/>
            <wp:cNvGraphicFramePr>
              <a:graphicFrameLocks noChangeAspect="1"/>
            </wp:cNvGraphicFramePr>
            <a:graphic>
              <a:graphicData uri="http://schemas.openxmlformats.org/drawingml/2006/picture">
                <pic:pic>
                  <pic:nvPicPr>
                    <pic:cNvPr id="0" name="slide_13.jpg"/>
                    <pic:cNvPicPr/>
                  </pic:nvPicPr>
                  <pic:blipFill>
                    <a:blip r:embed="rId18"/>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7. Susunan Bidang Komunikasi dan Jaringan Masyarakat (slide 13).</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5.3 Bidang Dialog dan Advokasi</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438"/>
        <w:gridCol w:w="3572"/>
        <w:gridCol w:w="2835"/>
      </w:tblGrid>
      <w:tr>
        <w:trPr>
          <w:tblHeader w:val="true"/>
        </w:trPr>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Jabatan</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Nama</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Keterangan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Koordinator</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Dudung Kusnadi, S.Kp., M.Pol.</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Koordinasi dialog dan advokasi pembauran kebangsaan.</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Wakil Koordinator</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Dra. Selviana Pellokila, M.M.</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Mendukung pelaksanaan program bidang.</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Surya Azita</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Matthew Makuke</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9" name="Picture 9"/>
            <wp:cNvGraphicFramePr>
              <a:graphicFrameLocks noChangeAspect="1"/>
            </wp:cNvGraphicFramePr>
            <a:graphic>
              <a:graphicData uri="http://schemas.openxmlformats.org/drawingml/2006/picture">
                <pic:pic>
                  <pic:nvPicPr>
                    <pic:cNvPr id="0" name="slide_14.jpg"/>
                    <pic:cNvPicPr/>
                  </pic:nvPicPr>
                  <pic:blipFill>
                    <a:blip r:embed="rId19"/>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8. Susunan Bidang Dialog dan Advokasi (slide 14).</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5.4 Bidang Sosialisasi dan Edukasi</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438"/>
        <w:gridCol w:w="3572"/>
        <w:gridCol w:w="2835"/>
      </w:tblGrid>
      <w:tr>
        <w:trPr>
          <w:tblHeader w:val="true"/>
        </w:trPr>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Jabatan</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Nama</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Keterangan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Koordinator</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Meiman Solala Halawa, S.E., M.M.</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Koordinasi program sosialisasi dan edukasi.</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Wakil Koordinator</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Tru Nur Santy</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Mendukung pelaksanaan program bidang.</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Ja'far Shodiq</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Bambang Sukoco, S.E.</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10" name="Picture 10"/>
            <wp:cNvGraphicFramePr>
              <a:graphicFrameLocks noChangeAspect="1"/>
            </wp:cNvGraphicFramePr>
            <a:graphic>
              <a:graphicData uri="http://schemas.openxmlformats.org/drawingml/2006/picture">
                <pic:pic>
                  <pic:nvPicPr>
                    <pic:cNvPr id="0" name="slide_15.jpg"/>
                    <pic:cNvPicPr/>
                  </pic:nvPicPr>
                  <pic:blipFill>
                    <a:blip r:embed="rId20"/>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9. Susunan Bidang Sosialisasi dan Edukasi (slide 15).</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5.5 Bidang Kajian dan Perumusan Kebijakan</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438"/>
        <w:gridCol w:w="3572"/>
        <w:gridCol w:w="2835"/>
      </w:tblGrid>
      <w:tr>
        <w:trPr>
          <w:tblHeader w:val="true"/>
        </w:trPr>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Jabatan</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Nama</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Keterangan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Koordinator</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I Nyoman Sedana, S.H.</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Koordinasi kajian dan perumusan kebijakan.</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Wakil Koordinator</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Dra. Amalia Marzuki</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Mendukung pelaksanaan program bidang.</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Ir. Yohandri Roza</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Anggota</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Risky Noor Hamidinah</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 kegiatan bidang.</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11" name="Picture 11"/>
            <wp:cNvGraphicFramePr>
              <a:graphicFrameLocks noChangeAspect="1"/>
            </wp:cNvGraphicFramePr>
            <a:graphic>
              <a:graphicData uri="http://schemas.openxmlformats.org/drawingml/2006/picture">
                <pic:pic>
                  <pic:nvPicPr>
                    <pic:cNvPr id="0" name="slide_16.jpg"/>
                    <pic:cNvPicPr/>
                  </pic:nvPicPr>
                  <pic:blipFill>
                    <a:blip r:embed="rId21"/>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10. Susunan Bidang Kajian dan Perumusan Kebijakan (slide 16).</w:t>
      </w:r>
    </w:p>
    <w:p>
      <w:pPr>
        <w:spacing w:before="0" w:after="100" w:line="240" w:lineRule="auto"/>
        <w:jc w:val="center"/>
      </w:pPr>
      <w:r>
        <w:rPr>
          <w:rFonts w:ascii="Inter" w:hAnsi="Inter" w:eastAsia="Inter"/>
          <w:b w:val="0"/>
          <w:i/>
          <w:color w:val="666666"/>
          <w:sz w:val="16"/>
        </w:rPr>
        <w:t>Sumber: Materi presentasi FPK Kota Malang, 2026.</w:t>
      </w: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6. Biro Pendukung dan Tata Kerja</w:t>
      </w:r>
    </w:p>
    <w:p>
      <w:pPr>
        <w:spacing w:before="0" w:after="140" w:line="283" w:lineRule="auto"/>
        <w:ind w:firstLine="454"/>
        <w:jc w:val="both"/>
      </w:pPr>
      <w:r>
        <w:rPr>
          <w:rFonts w:ascii="Inter" w:hAnsi="Inter" w:eastAsia="Inter"/>
          <w:b w:val="0"/>
          <w:i w:val="0"/>
          <w:color w:val="252525"/>
          <w:sz w:val="21"/>
        </w:rPr>
        <w:t>Materi presentasi menampilkan tiga cabang biro yang mendukung operasional FPK, yaitu Biro Kesekretariatan, Biro Event, dan Biro Media. Ketiganya dapat dipahami sebagai fungsi pendukung agar program bidang dapat direncanakan, dilaksanakan, didokumentasikan, dan dikomunikasikan secara tertib.</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2438"/>
        <w:gridCol w:w="3572"/>
        <w:gridCol w:w="2835"/>
      </w:tblGrid>
      <w:tr>
        <w:trPr>
          <w:tblHeader w:val="true"/>
        </w:trPr>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Jabatan</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Nama</w:t>
            </w:r>
          </w:p>
        </w:tc>
        <w:tc>
          <w:tcPr>
            <w:tcW w:type="dxa" w:w="3099"/>
            <w:shd w:fill="70101A"/>
            <w:tcMar>
              <w:top w:w="110" w:type="dxa"/>
              <w:start w:w="120" w:type="dxa"/>
              <w:bottom w:w="110" w:type="dxa"/>
              <w:end w:w="120" w:type="dxa"/>
            </w:tcMar>
          </w:tcPr>
          <w:p>
            <w:pPr>
              <w:jc w:val="center"/>
            </w:pPr>
            <w:r>
              <w:rPr>
                <w:rFonts w:ascii="Inter" w:hAnsi="Inter" w:eastAsia="Inter"/>
                <w:b/>
                <w:i w:val="0"/>
                <w:color w:val="FFFFFF"/>
                <w:sz w:val="18"/>
              </w:rPr>
              <w:t>Keterangan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Biro Kesekretariatan</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Administrasi organisasi</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Surat-menyurat, agenda, arsip, dokumentasi administratif, dan dukungan rapat.</w:t>
            </w:r>
          </w:p>
        </w:tc>
      </w:tr>
      <w:tr>
        <w:tc>
          <w:tcPr>
            <w:tcW w:type="dxa" w:w="2438"/>
            <w:shd w:fill="FAF7F1"/>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Biro Event</w:t>
            </w:r>
          </w:p>
        </w:tc>
        <w:tc>
          <w:tcPr>
            <w:tcW w:type="dxa" w:w="3572"/>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Pelaksanaan kegiatan</w:t>
            </w:r>
          </w:p>
        </w:tc>
        <w:tc>
          <w:tcPr>
            <w:tcW w:type="dxa" w:w="2835"/>
            <w:shd w:fill="FAF7F1"/>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Perencanaan teknis, koordinasi acara, kebutuhan tempat, peserta, dan kelengkapan kegiatan.</w:t>
            </w:r>
          </w:p>
        </w:tc>
      </w:tr>
      <w:tr>
        <w:tc>
          <w:tcPr>
            <w:tcW w:type="dxa" w:w="2438"/>
            <w:tcMar>
              <w:top w:w="100" w:type="dxa"/>
              <w:start w:w="110" w:type="dxa"/>
              <w:bottom w:w="100" w:type="dxa"/>
              <w:end w:w="110" w:type="dxa"/>
            </w:tcMar>
          </w:tcPr>
          <w:p>
            <w:pPr>
              <w:spacing w:before="0" w:after="0" w:line="252" w:lineRule="auto"/>
              <w:jc w:val="left"/>
            </w:pPr>
            <w:r>
              <w:rPr>
                <w:rFonts w:ascii="Inter" w:hAnsi="Inter" w:eastAsia="Inter"/>
                <w:b/>
                <w:i w:val="0"/>
                <w:color w:val="70101A"/>
                <w:sz w:val="17"/>
              </w:rPr>
              <w:t>Biro Media</w:t>
            </w:r>
          </w:p>
        </w:tc>
        <w:tc>
          <w:tcPr>
            <w:tcW w:type="dxa" w:w="3572"/>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Publikasi dan dokumentasi</w:t>
            </w:r>
          </w:p>
        </w:tc>
        <w:tc>
          <w:tcPr>
            <w:tcW w:type="dxa" w:w="2835"/>
            <w:tcMar>
              <w:top w:w="100" w:type="dxa"/>
              <w:start w:w="110" w:type="dxa"/>
              <w:bottom w:w="100" w:type="dxa"/>
              <w:end w:w="110" w:type="dxa"/>
            </w:tcMar>
          </w:tcPr>
          <w:p>
            <w:pPr>
              <w:spacing w:before="0" w:after="0" w:line="252" w:lineRule="auto"/>
              <w:jc w:val="left"/>
            </w:pPr>
            <w:r>
              <w:rPr>
                <w:rFonts w:ascii="Inter" w:hAnsi="Inter" w:eastAsia="Inter"/>
                <w:b w:val="0"/>
                <w:i w:val="0"/>
                <w:color w:val="252525"/>
                <w:sz w:val="17"/>
              </w:rPr>
              <w:t>Pengelolaan dokumentasi, informasi publik, media sosial, dan materi komunikasi organisasi.</w:t>
            </w:r>
          </w:p>
        </w:tc>
      </w:tr>
    </w:tbl>
    <w:p>
      <w:pPr>
        <w:spacing w:after="0"/>
      </w:pPr>
    </w:p>
    <w:p>
      <w:pPr>
        <w:spacing w:before="80" w:after="80"/>
        <w:jc w:val="center"/>
      </w:pPr>
      <w:r>
        <w:drawing>
          <wp:inline xmlns:a="http://schemas.openxmlformats.org/drawingml/2006/main" xmlns:pic="http://schemas.openxmlformats.org/drawingml/2006/picture">
            <wp:extent cx="5760000" cy="3240960"/>
            <wp:docPr id="12" name="Picture 12"/>
            <wp:cNvGraphicFramePr>
              <a:graphicFrameLocks noChangeAspect="1"/>
            </wp:cNvGraphicFramePr>
            <a:graphic>
              <a:graphicData uri="http://schemas.openxmlformats.org/drawingml/2006/picture">
                <pic:pic>
                  <pic:nvPicPr>
                    <pic:cNvPr id="0" name="slide_17.jpg"/>
                    <pic:cNvPicPr/>
                  </pic:nvPicPr>
                  <pic:blipFill>
                    <a:blip r:embed="rId22"/>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11. Pembagian biro pendukung FPK (slide 17).</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6.1 Hubungan Bidang dan Biro</w:t>
      </w:r>
    </w:p>
    <w:p>
      <w:pPr>
        <w:spacing w:before="0" w:after="140" w:line="283" w:lineRule="auto"/>
        <w:ind w:firstLine="454"/>
        <w:jc w:val="both"/>
      </w:pPr>
      <w:r>
        <w:rPr>
          <w:rFonts w:ascii="Inter" w:hAnsi="Inter" w:eastAsia="Inter"/>
          <w:b w:val="0"/>
          <w:i w:val="0"/>
          <w:color w:val="252525"/>
          <w:sz w:val="21"/>
        </w:rPr>
        <w:t>Bidang kerja berfokus pada substansi program, sedangkan biro mendukung aspek administratif dan teknis. Sebagai contoh, kegiatan dialog dapat disiapkan oleh Bidang Dialog dan Advokasi, didukung administrasinya oleh Biro Kesekretariatan, pelaksanaannya oleh Biro Event, serta dokumentasi dan publikasinya oleh Biro Media.</w:t>
      </w:r>
    </w:p>
    <w:p>
      <w:pPr>
        <w:pStyle w:val="Heading1"/>
        <w:keepNext/>
        <w:spacing w:before="60" w:after="160"/>
        <w:jc w:val="left"/>
        <w:pBdr>
          <w:bottom w:val="single" w:sz="10" w:space="1" w:color="C89D4C"/>
        </w:pBdr>
      </w:pPr>
      <w:r>
        <w:rPr>
          <w:rFonts w:ascii="Noto Serif" w:hAnsi="Noto Serif" w:eastAsia="Noto Serif"/>
          <w:b/>
          <w:i w:val="0"/>
          <w:color w:val="70101A"/>
          <w:sz w:val="38"/>
        </w:rPr>
        <w:t>7. Program dan Dokumentasi Kegiatan</w:t>
      </w:r>
    </w:p>
    <w:p>
      <w:pPr>
        <w:spacing w:before="0" w:after="140" w:line="283" w:lineRule="auto"/>
        <w:ind w:firstLine="454"/>
        <w:jc w:val="both"/>
      </w:pPr>
      <w:r>
        <w:rPr>
          <w:rFonts w:ascii="Inter" w:hAnsi="Inter" w:eastAsia="Inter"/>
          <w:b w:val="0"/>
          <w:i w:val="0"/>
          <w:color w:val="252525"/>
          <w:sz w:val="21"/>
        </w:rPr>
        <w:t>Dokumentasi dalam materi sosialisasi menunjukkan bahwa kegiatan FPK tidak terbatas pada forum formal. Program diselenggarakan dalam berbagai bentuk untuk menjangkau aspek pengetahuan, komunikasi, kebudayaan, kebersamaan, dan interaksi sosial.</w:t>
      </w:r>
    </w:p>
    <w:tbl>
      <w:tblPr>
        <w:tblW w:type="auto" w:w="0"/>
        <w:jc w:val="center"/>
        <w:tblLayout w:type="fixed"/>
        <w:tblLook w:firstColumn="1" w:firstRow="1" w:lastColumn="0" w:lastRow="0" w:noHBand="0" w:noVBand="1" w:val="04A0"/>
        <w:tblBorders>
          <w:top w:val="single" w:sz="5" w:space="0" w:color="D5C9B5"/>
          <w:start w:val="single" w:sz="5" w:space="0" w:color="D5C9B5"/>
          <w:bottom w:val="single" w:sz="5" w:space="0" w:color="D5C9B5"/>
          <w:end w:val="single" w:sz="5" w:space="0" w:color="D5C9B5"/>
          <w:insideH w:val="single" w:sz="5" w:space="0" w:color="D5C9B5"/>
          <w:insideV w:val="single" w:sz="5" w:space="0" w:color="D5C9B5"/>
        </w:tblBorders>
      </w:tblPr>
      <w:tblGrid>
        <w:gridCol w:w="4422"/>
        <w:gridCol w:w="4422"/>
      </w:tblGrid>
      <w:tr>
        <w:tc>
          <w:tcPr>
            <w:tcW w:type="dxa" w:w="4422"/>
            <w:tcMar>
              <w:top w:w="140" w:type="dxa"/>
              <w:start w:w="140" w:type="dxa"/>
              <w:bottom w:w="140" w:type="dxa"/>
              <w:end w:w="140" w:type="dxa"/>
            </w:tcMar>
            <w:shd w:fill="F5EBDD"/>
          </w:tcPr>
          <w:p>
            <w:pPr>
              <w:jc w:val="center"/>
            </w:pPr>
            <w:r>
              <w:rPr>
                <w:rFonts w:ascii="Inter" w:hAnsi="Inter" w:eastAsia="Inter"/>
                <w:b/>
                <w:i w:val="0"/>
                <w:color w:val="70101A"/>
                <w:sz w:val="18"/>
              </w:rPr>
              <w:t>Sosialisasi</w:t>
            </w:r>
          </w:p>
        </w:tc>
        <w:tc>
          <w:tcPr>
            <w:tcW w:type="dxa" w:w="4422"/>
            <w:tcMar>
              <w:top w:w="140" w:type="dxa"/>
              <w:start w:w="140" w:type="dxa"/>
              <w:bottom w:w="140" w:type="dxa"/>
              <w:end w:w="140" w:type="dxa"/>
            </w:tcMar>
            <w:shd w:fill="FBF8F2"/>
          </w:tcPr>
          <w:p>
            <w:pPr>
              <w:jc w:val="center"/>
            </w:pPr>
            <w:r>
              <w:rPr>
                <w:rFonts w:ascii="Inter" w:hAnsi="Inter" w:eastAsia="Inter"/>
                <w:b/>
                <w:i w:val="0"/>
                <w:color w:val="70101A"/>
                <w:sz w:val="18"/>
              </w:rPr>
              <w:t>Workshop</w:t>
            </w:r>
          </w:p>
        </w:tc>
      </w:tr>
      <w:tr>
        <w:tc>
          <w:tcPr>
            <w:tcW w:type="dxa" w:w="4422"/>
            <w:tcMar>
              <w:top w:w="140" w:type="dxa"/>
              <w:start w:w="140" w:type="dxa"/>
              <w:bottom w:w="140" w:type="dxa"/>
              <w:end w:w="140" w:type="dxa"/>
            </w:tcMar>
            <w:shd w:fill="FBF8F2"/>
          </w:tcPr>
          <w:p>
            <w:pPr>
              <w:jc w:val="center"/>
            </w:pPr>
            <w:r>
              <w:rPr>
                <w:rFonts w:ascii="Inter" w:hAnsi="Inter" w:eastAsia="Inter"/>
                <w:b/>
                <w:i w:val="0"/>
                <w:color w:val="70101A"/>
                <w:sz w:val="18"/>
              </w:rPr>
              <w:t>Dialog Antarsuku</w:t>
            </w:r>
          </w:p>
        </w:tc>
        <w:tc>
          <w:tcPr>
            <w:tcW w:type="dxa" w:w="4422"/>
            <w:tcMar>
              <w:top w:w="140" w:type="dxa"/>
              <w:start w:w="140" w:type="dxa"/>
              <w:bottom w:w="140" w:type="dxa"/>
              <w:end w:w="140" w:type="dxa"/>
            </w:tcMar>
            <w:shd w:fill="F5EBDD"/>
          </w:tcPr>
          <w:p>
            <w:pPr>
              <w:jc w:val="center"/>
            </w:pPr>
            <w:r>
              <w:rPr>
                <w:rFonts w:ascii="Inter" w:hAnsi="Inter" w:eastAsia="Inter"/>
                <w:b/>
                <w:i w:val="0"/>
                <w:color w:val="70101A"/>
                <w:sz w:val="18"/>
              </w:rPr>
              <w:t>Outbound Indoor</w:t>
            </w:r>
          </w:p>
        </w:tc>
      </w:tr>
      <w:tr>
        <w:tc>
          <w:tcPr>
            <w:tcW w:type="dxa" w:w="4422"/>
            <w:tcMar>
              <w:top w:w="140" w:type="dxa"/>
              <w:start w:w="140" w:type="dxa"/>
              <w:bottom w:w="140" w:type="dxa"/>
              <w:end w:w="140" w:type="dxa"/>
            </w:tcMar>
            <w:shd w:fill="F5EBDD"/>
          </w:tcPr>
          <w:p>
            <w:pPr>
              <w:jc w:val="center"/>
            </w:pPr>
            <w:r>
              <w:rPr>
                <w:rFonts w:ascii="Inter" w:hAnsi="Inter" w:eastAsia="Inter"/>
                <w:b/>
                <w:i w:val="0"/>
                <w:color w:val="70101A"/>
                <w:sz w:val="18"/>
              </w:rPr>
              <w:t>Outbound Outdoor</w:t>
            </w:r>
          </w:p>
        </w:tc>
        <w:tc>
          <w:tcPr>
            <w:tcW w:type="dxa" w:w="4422"/>
            <w:tcMar>
              <w:top w:w="140" w:type="dxa"/>
              <w:start w:w="140" w:type="dxa"/>
              <w:bottom w:w="140" w:type="dxa"/>
              <w:end w:w="140" w:type="dxa"/>
            </w:tcMar>
            <w:shd w:fill="FBF8F2"/>
          </w:tcPr>
          <w:p>
            <w:pPr>
              <w:jc w:val="center"/>
            </w:pPr>
            <w:r>
              <w:rPr>
                <w:rFonts w:ascii="Inter" w:hAnsi="Inter" w:eastAsia="Inter"/>
                <w:b/>
                <w:i w:val="0"/>
                <w:color w:val="70101A"/>
                <w:sz w:val="18"/>
              </w:rPr>
              <w:t>Seminar Wawasan Kebangsaan</w:t>
            </w:r>
          </w:p>
        </w:tc>
      </w:tr>
      <w:tr>
        <w:tc>
          <w:tcPr>
            <w:tcW w:type="dxa" w:w="4422"/>
            <w:tcMar>
              <w:top w:w="140" w:type="dxa"/>
              <w:start w:w="140" w:type="dxa"/>
              <w:bottom w:w="140" w:type="dxa"/>
              <w:end w:w="140" w:type="dxa"/>
            </w:tcMar>
            <w:shd w:fill="FBF8F2"/>
          </w:tcPr>
          <w:p>
            <w:pPr>
              <w:jc w:val="center"/>
            </w:pPr>
            <w:r>
              <w:rPr>
                <w:rFonts w:ascii="Inter" w:hAnsi="Inter" w:eastAsia="Inter"/>
                <w:b/>
                <w:i w:val="0"/>
                <w:color w:val="70101A"/>
                <w:sz w:val="18"/>
              </w:rPr>
              <w:t>Peringatan Sumpah Pemuda</w:t>
            </w:r>
          </w:p>
        </w:tc>
        <w:tc>
          <w:tcPr>
            <w:tcW w:type="dxa" w:w="4422"/>
            <w:tcMar>
              <w:top w:w="140" w:type="dxa"/>
              <w:start w:w="140" w:type="dxa"/>
              <w:bottom w:w="140" w:type="dxa"/>
              <w:end w:w="140" w:type="dxa"/>
            </w:tcMar>
            <w:shd w:fill="F5EBDD"/>
          </w:tcPr>
          <w:p>
            <w:pPr>
              <w:jc w:val="center"/>
            </w:pPr>
            <w:r>
              <w:rPr>
                <w:rFonts w:ascii="Inter" w:hAnsi="Inter" w:eastAsia="Inter"/>
                <w:b/>
                <w:i w:val="0"/>
                <w:color w:val="70101A"/>
                <w:sz w:val="18"/>
              </w:rPr>
              <w:t>Festival Kebudayaan</w:t>
            </w:r>
          </w:p>
        </w:tc>
      </w:tr>
      <w:tr>
        <w:tc>
          <w:tcPr>
            <w:tcW w:type="dxa" w:w="4422"/>
            <w:tcMar>
              <w:top w:w="140" w:type="dxa"/>
              <w:start w:w="140" w:type="dxa"/>
              <w:bottom w:w="140" w:type="dxa"/>
              <w:end w:w="140" w:type="dxa"/>
            </w:tcMar>
            <w:shd w:fill="F5EBDD"/>
          </w:tcPr>
          <w:p>
            <w:pPr>
              <w:jc w:val="center"/>
            </w:pPr>
            <w:r>
              <w:rPr>
                <w:rFonts w:ascii="Inter" w:hAnsi="Inter" w:eastAsia="Inter"/>
                <w:b/>
                <w:i w:val="0"/>
                <w:color w:val="70101A"/>
                <w:sz w:val="18"/>
              </w:rPr>
              <w:t>Olahraga Antarsuku</w:t>
            </w:r>
          </w:p>
        </w:tc>
        <w:tc>
          <w:tcPr>
            <w:tcW w:type="dxa" w:w="4422"/>
            <w:tcMar>
              <w:top w:w="140" w:type="dxa"/>
              <w:start w:w="140" w:type="dxa"/>
              <w:bottom w:w="140" w:type="dxa"/>
              <w:end w:w="140" w:type="dxa"/>
            </w:tcMar>
            <w:shd w:fill="FBF8F2"/>
          </w:tcPr>
          <w:p>
            <w:pPr>
              <w:jc w:val="center"/>
            </w:pPr>
            <w:r>
              <w:rPr>
                <w:rFonts w:ascii="Inter" w:hAnsi="Inter" w:eastAsia="Inter"/>
                <w:b/>
                <w:i w:val="0"/>
                <w:color w:val="70101A"/>
                <w:sz w:val="18"/>
              </w:rPr>
              <w:t>Gebyar Pembauran Kebangsaan</w:t>
            </w:r>
          </w:p>
        </w:tc>
      </w:tr>
      <w:tr>
        <w:tc>
          <w:tcPr>
            <w:tcW w:type="dxa" w:w="4422"/>
            <w:tcMar>
              <w:top w:w="140" w:type="dxa"/>
              <w:start w:w="140" w:type="dxa"/>
              <w:bottom w:w="140" w:type="dxa"/>
              <w:end w:w="140" w:type="dxa"/>
            </w:tcMar>
            <w:shd w:fill="FBF8F2"/>
          </w:tcPr>
          <w:p>
            <w:pPr>
              <w:jc w:val="center"/>
            </w:pPr>
            <w:r>
              <w:rPr>
                <w:rFonts w:ascii="Inter" w:hAnsi="Inter" w:eastAsia="Inter"/>
                <w:b/>
                <w:i w:val="0"/>
                <w:color w:val="70101A"/>
                <w:sz w:val="18"/>
              </w:rPr>
              <w:t>Outbound Pembauran Kebangsaan</w:t>
            </w:r>
          </w:p>
        </w:tc>
        <w:tc>
          <w:tcPr>
            <w:tcW w:type="dxa" w:w="4422"/>
            <w:tcMar>
              <w:top w:w="140" w:type="dxa"/>
              <w:start w:w="140" w:type="dxa"/>
              <w:bottom w:w="140" w:type="dxa"/>
              <w:end w:w="140" w:type="dxa"/>
            </w:tcMar>
            <w:shd w:fill="F5EBDD"/>
          </w:tcPr>
          <w:p>
            <w:pPr>
              <w:jc w:val="center"/>
            </w:pPr>
            <w:r>
              <w:rPr>
                <w:rFonts w:ascii="Inter" w:hAnsi="Inter" w:eastAsia="Inter"/>
                <w:b/>
                <w:i w:val="0"/>
                <w:color w:val="70101A"/>
                <w:sz w:val="18"/>
              </w:rPr>
              <w:t>Dialog Pembauran Kebangsaan</w:t>
            </w:r>
          </w:p>
        </w:tc>
      </w:tr>
    </w:tbl>
    <w:p>
      <w:pPr>
        <w:pStyle w:val="Heading2"/>
        <w:keepNext/>
        <w:spacing w:before="160" w:after="100"/>
      </w:pPr>
      <w:r>
        <w:rPr>
          <w:rFonts w:ascii="Noto Serif" w:hAnsi="Noto Serif" w:eastAsia="Noto Serif"/>
          <w:b/>
          <w:i w:val="0"/>
          <w:color w:val="861622"/>
          <w:sz w:val="28"/>
        </w:rPr>
        <w:t>7.1 Sosialisasi dan Workshop</w:t>
      </w:r>
    </w:p>
    <w:p>
      <w:pPr>
        <w:spacing w:before="0" w:after="140" w:line="283" w:lineRule="auto"/>
        <w:ind w:firstLine="454"/>
        <w:jc w:val="both"/>
      </w:pPr>
      <w:r>
        <w:rPr>
          <w:rFonts w:ascii="Inter" w:hAnsi="Inter" w:eastAsia="Inter"/>
          <w:b w:val="0"/>
          <w:i w:val="0"/>
          <w:color w:val="252525"/>
          <w:sz w:val="21"/>
        </w:rPr>
        <w:t>Sosialisasi dan workshop menjadi sarana penyampaian pemahaman mengenai pembauran kebangsaan sekaligus ruang pembelajaran bersama. Format kegiatan ini memungkinkan peserta menerima materi, mendiskusikan persoalan, dan menyusun langkah tindak lanjut.</w:t>
      </w:r>
    </w:p>
    <w:p>
      <w:pPr>
        <w:spacing w:before="80" w:after="80"/>
        <w:jc w:val="center"/>
      </w:pPr>
      <w:r>
        <w:drawing>
          <wp:inline xmlns:a="http://schemas.openxmlformats.org/drawingml/2006/main" xmlns:pic="http://schemas.openxmlformats.org/drawingml/2006/picture">
            <wp:extent cx="5760000" cy="3240960"/>
            <wp:docPr id="13" name="Picture 13"/>
            <wp:cNvGraphicFramePr>
              <a:graphicFrameLocks noChangeAspect="1"/>
            </wp:cNvGraphicFramePr>
            <a:graphic>
              <a:graphicData uri="http://schemas.openxmlformats.org/drawingml/2006/picture">
                <pic:pic>
                  <pic:nvPicPr>
                    <pic:cNvPr id="0" name="slide_20.jpg"/>
                    <pic:cNvPicPr/>
                  </pic:nvPicPr>
                  <pic:blipFill>
                    <a:blip r:embed="rId23"/>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12. Dokumentasi kegiatan sosialisasi dan workshop (slide 20).</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7.2 Dialog Antarsuku dan Outbound Indoor</w:t>
      </w:r>
    </w:p>
    <w:p>
      <w:pPr>
        <w:spacing w:before="0" w:after="140" w:line="283" w:lineRule="auto"/>
        <w:ind w:firstLine="454"/>
        <w:jc w:val="both"/>
      </w:pPr>
      <w:r>
        <w:rPr>
          <w:rFonts w:ascii="Inter" w:hAnsi="Inter" w:eastAsia="Inter"/>
          <w:b w:val="0"/>
          <w:i w:val="0"/>
          <w:color w:val="252525"/>
          <w:sz w:val="21"/>
        </w:rPr>
        <w:t>Dialog antarsuku memberikan ruang perjumpaan langsung bagi perwakilan komunitas untuk bertukar pengalaman dan membangun saling pengertian. Outbound indoor melengkapi proses tersebut melalui aktivitas kelompok yang menekankan komunikasi, kerja sama, dan kepercayaan.</w:t>
      </w:r>
    </w:p>
    <w:p>
      <w:pPr>
        <w:spacing w:before="80" w:after="80"/>
        <w:jc w:val="center"/>
      </w:pPr>
      <w:r>
        <w:drawing>
          <wp:inline xmlns:a="http://schemas.openxmlformats.org/drawingml/2006/main" xmlns:pic="http://schemas.openxmlformats.org/drawingml/2006/picture">
            <wp:extent cx="5760000" cy="3240960"/>
            <wp:docPr id="14" name="Picture 14"/>
            <wp:cNvGraphicFramePr>
              <a:graphicFrameLocks noChangeAspect="1"/>
            </wp:cNvGraphicFramePr>
            <a:graphic>
              <a:graphicData uri="http://schemas.openxmlformats.org/drawingml/2006/picture">
                <pic:pic>
                  <pic:nvPicPr>
                    <pic:cNvPr id="0" name="slide_21.jpg"/>
                    <pic:cNvPicPr/>
                  </pic:nvPicPr>
                  <pic:blipFill>
                    <a:blip r:embed="rId24"/>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13. Dokumentasi dialog antarsuku dan outbound indoor (slide 21).</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7.3 Outbound Outdoor dan Seminar Wawasan Kebangsaan</w:t>
      </w:r>
    </w:p>
    <w:p>
      <w:pPr>
        <w:spacing w:before="0" w:after="140" w:line="283" w:lineRule="auto"/>
        <w:ind w:firstLine="454"/>
        <w:jc w:val="both"/>
      </w:pPr>
      <w:r>
        <w:rPr>
          <w:rFonts w:ascii="Inter" w:hAnsi="Inter" w:eastAsia="Inter"/>
          <w:b w:val="0"/>
          <w:i w:val="0"/>
          <w:color w:val="252525"/>
          <w:sz w:val="21"/>
        </w:rPr>
        <w:t>Outbound outdoor memperkuat kebersamaan melalui aktivitas kelompok di ruang terbuka. Seminar wawasan kebangsaan berfungsi memperluas pengetahuan peserta mengenai persatuan, kebhinekaan, dan tanggung jawab warga negara dalam menjaga kehidupan bersama.</w:t>
      </w:r>
    </w:p>
    <w:p>
      <w:pPr>
        <w:spacing w:before="80" w:after="80"/>
        <w:jc w:val="center"/>
      </w:pPr>
      <w:r>
        <w:drawing>
          <wp:inline xmlns:a="http://schemas.openxmlformats.org/drawingml/2006/main" xmlns:pic="http://schemas.openxmlformats.org/drawingml/2006/picture">
            <wp:extent cx="5760000" cy="3240960"/>
            <wp:docPr id="15" name="Picture 15"/>
            <wp:cNvGraphicFramePr>
              <a:graphicFrameLocks noChangeAspect="1"/>
            </wp:cNvGraphicFramePr>
            <a:graphic>
              <a:graphicData uri="http://schemas.openxmlformats.org/drawingml/2006/picture">
                <pic:pic>
                  <pic:nvPicPr>
                    <pic:cNvPr id="0" name="slide_22.jpg"/>
                    <pic:cNvPicPr/>
                  </pic:nvPicPr>
                  <pic:blipFill>
                    <a:blip r:embed="rId25"/>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14. Dokumentasi outbound outdoor dan seminar wawasan kebangsaan (slide 22).</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7.4 Peringatan Sumpah Pemuda dan Festival Kebudayaan</w:t>
      </w:r>
    </w:p>
    <w:p>
      <w:pPr>
        <w:spacing w:before="0" w:after="140" w:line="283" w:lineRule="auto"/>
        <w:ind w:firstLine="454"/>
        <w:jc w:val="both"/>
      </w:pPr>
      <w:r>
        <w:rPr>
          <w:rFonts w:ascii="Inter" w:hAnsi="Inter" w:eastAsia="Inter"/>
          <w:b w:val="0"/>
          <w:i w:val="0"/>
          <w:color w:val="252525"/>
          <w:sz w:val="21"/>
        </w:rPr>
        <w:t>Peringatan Sumpah Pemuda menegaskan kembali komitmen satu tanah air, satu bangsa, dan satu bahasa. Festival kebudayaan menghadirkan ekspresi seni dan tradisi sebagai medium yang mempertemukan identitas berbeda dalam suasana apresiatif.</w:t>
      </w:r>
    </w:p>
    <w:p>
      <w:pPr>
        <w:spacing w:before="80" w:after="80"/>
        <w:jc w:val="center"/>
      </w:pPr>
      <w:r>
        <w:drawing>
          <wp:inline xmlns:a="http://schemas.openxmlformats.org/drawingml/2006/main" xmlns:pic="http://schemas.openxmlformats.org/drawingml/2006/picture">
            <wp:extent cx="5760000" cy="3240960"/>
            <wp:docPr id="16" name="Picture 16"/>
            <wp:cNvGraphicFramePr>
              <a:graphicFrameLocks noChangeAspect="1"/>
            </wp:cNvGraphicFramePr>
            <a:graphic>
              <a:graphicData uri="http://schemas.openxmlformats.org/drawingml/2006/picture">
                <pic:pic>
                  <pic:nvPicPr>
                    <pic:cNvPr id="0" name="slide_23.jpg"/>
                    <pic:cNvPicPr/>
                  </pic:nvPicPr>
                  <pic:blipFill>
                    <a:blip r:embed="rId26"/>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15. Dokumentasi peringatan Sumpah Pemuda dan festival kebudayaan (slide 23).</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7.5 Olahraga Antarsuku</w:t>
      </w:r>
    </w:p>
    <w:p>
      <w:pPr>
        <w:spacing w:before="0" w:after="140" w:line="283" w:lineRule="auto"/>
        <w:ind w:firstLine="454"/>
        <w:jc w:val="both"/>
      </w:pPr>
      <w:r>
        <w:rPr>
          <w:rFonts w:ascii="Inter" w:hAnsi="Inter" w:eastAsia="Inter"/>
          <w:b w:val="0"/>
          <w:i w:val="0"/>
          <w:color w:val="252525"/>
          <w:sz w:val="21"/>
        </w:rPr>
        <w:t>Kegiatan olahraga antarsuku menjadi sarana interaksi yang lebih informal. Kompetisi dan permainan bersama dapat membangun kedekatan, sportivitas, dan kerja sama tanpa menghilangkan identitas masing-masing kelompok.</w:t>
      </w:r>
    </w:p>
    <w:p>
      <w:pPr>
        <w:spacing w:before="80" w:after="80"/>
        <w:jc w:val="center"/>
      </w:pPr>
      <w:r>
        <w:drawing>
          <wp:inline xmlns:a="http://schemas.openxmlformats.org/drawingml/2006/main" xmlns:pic="http://schemas.openxmlformats.org/drawingml/2006/picture">
            <wp:extent cx="5760000" cy="3240960"/>
            <wp:docPr id="17" name="Picture 17"/>
            <wp:cNvGraphicFramePr>
              <a:graphicFrameLocks noChangeAspect="1"/>
            </wp:cNvGraphicFramePr>
            <a:graphic>
              <a:graphicData uri="http://schemas.openxmlformats.org/drawingml/2006/picture">
                <pic:pic>
                  <pic:nvPicPr>
                    <pic:cNvPr id="0" name="slide_24.jpg"/>
                    <pic:cNvPicPr/>
                  </pic:nvPicPr>
                  <pic:blipFill>
                    <a:blip r:embed="rId27"/>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16. Dokumentasi kegiatan olahraga antarsuku (slide 24).</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7.6 Gebyar Pembauran Kebangsaan</w:t>
      </w:r>
    </w:p>
    <w:p>
      <w:pPr>
        <w:spacing w:before="0" w:after="140" w:line="283" w:lineRule="auto"/>
        <w:ind w:firstLine="454"/>
        <w:jc w:val="both"/>
      </w:pPr>
      <w:r>
        <w:rPr>
          <w:rFonts w:ascii="Inter" w:hAnsi="Inter" w:eastAsia="Inter"/>
          <w:b w:val="0"/>
          <w:i w:val="0"/>
          <w:color w:val="252525"/>
          <w:sz w:val="21"/>
        </w:rPr>
        <w:t>Gebyar Pembauran Kebangsaan menampilkan pembauran melalui kegiatan berskala publik. Kegiatan semacam ini dapat menggabungkan pertunjukan budaya, pesan kebangsaan, partisipasi komunitas, dan edukasi kepada masyarakat luas.</w:t>
      </w:r>
    </w:p>
    <w:p>
      <w:pPr>
        <w:spacing w:before="80" w:after="80"/>
        <w:jc w:val="center"/>
      </w:pPr>
      <w:r>
        <w:drawing>
          <wp:inline xmlns:a="http://schemas.openxmlformats.org/drawingml/2006/main" xmlns:pic="http://schemas.openxmlformats.org/drawingml/2006/picture">
            <wp:extent cx="5760000" cy="3240960"/>
            <wp:docPr id="18" name="Picture 18"/>
            <wp:cNvGraphicFramePr>
              <a:graphicFrameLocks noChangeAspect="1"/>
            </wp:cNvGraphicFramePr>
            <a:graphic>
              <a:graphicData uri="http://schemas.openxmlformats.org/drawingml/2006/picture">
                <pic:pic>
                  <pic:nvPicPr>
                    <pic:cNvPr id="0" name="slide_25.jpg"/>
                    <pic:cNvPicPr/>
                  </pic:nvPicPr>
                  <pic:blipFill>
                    <a:blip r:embed="rId28"/>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17. Dokumentasi Gebyar Pembauran Kebangsaan (slide 25).</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7.7 Outbound Pembauran Kebangsaan</w:t>
      </w:r>
    </w:p>
    <w:p>
      <w:pPr>
        <w:spacing w:before="0" w:after="140" w:line="283" w:lineRule="auto"/>
        <w:ind w:firstLine="454"/>
        <w:jc w:val="both"/>
      </w:pPr>
      <w:r>
        <w:rPr>
          <w:rFonts w:ascii="Inter" w:hAnsi="Inter" w:eastAsia="Inter"/>
          <w:b w:val="0"/>
          <w:i w:val="0"/>
          <w:color w:val="252525"/>
          <w:sz w:val="21"/>
        </w:rPr>
        <w:t>Outbound pembauran kebangsaan menggabungkan pembelajaran nilai dengan aktivitas kelompok. Tujuannya adalah membangun kekompakan dan mengurangi jarak sosial melalui pengalaman bersama yang terarah.</w:t>
      </w:r>
    </w:p>
    <w:p>
      <w:pPr>
        <w:spacing w:before="80" w:after="80"/>
        <w:jc w:val="center"/>
      </w:pPr>
      <w:r>
        <w:drawing>
          <wp:inline xmlns:a="http://schemas.openxmlformats.org/drawingml/2006/main" xmlns:pic="http://schemas.openxmlformats.org/drawingml/2006/picture">
            <wp:extent cx="5760000" cy="3240960"/>
            <wp:docPr id="19" name="Picture 19"/>
            <wp:cNvGraphicFramePr>
              <a:graphicFrameLocks noChangeAspect="1"/>
            </wp:cNvGraphicFramePr>
            <a:graphic>
              <a:graphicData uri="http://schemas.openxmlformats.org/drawingml/2006/picture">
                <pic:pic>
                  <pic:nvPicPr>
                    <pic:cNvPr id="0" name="slide_26.jpg"/>
                    <pic:cNvPicPr/>
                  </pic:nvPicPr>
                  <pic:blipFill>
                    <a:blip r:embed="rId29"/>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18. Dokumentasi outbound pembauran kebangsaan (slide 26).</w:t>
      </w:r>
    </w:p>
    <w:p>
      <w:pPr>
        <w:spacing w:before="0" w:after="100" w:line="240" w:lineRule="auto"/>
        <w:jc w:val="center"/>
      </w:pPr>
      <w:r>
        <w:rPr>
          <w:rFonts w:ascii="Inter" w:hAnsi="Inter" w:eastAsia="Inter"/>
          <w:b w:val="0"/>
          <w:i/>
          <w:color w:val="666666"/>
          <w:sz w:val="16"/>
        </w:rPr>
        <w:t>Sumber: Materi presentasi FPK Kota Malang, 2026.</w:t>
      </w:r>
    </w:p>
    <w:p>
      <w:pPr>
        <w:pStyle w:val="Heading2"/>
        <w:keepNext/>
        <w:spacing w:before="160" w:after="100"/>
      </w:pPr>
      <w:r>
        <w:rPr>
          <w:rFonts w:ascii="Noto Serif" w:hAnsi="Noto Serif" w:eastAsia="Noto Serif"/>
          <w:b/>
          <w:i w:val="0"/>
          <w:color w:val="861622"/>
          <w:sz w:val="28"/>
        </w:rPr>
        <w:t>7.8 Dialog Pembauran Kebangsaan</w:t>
      </w:r>
    </w:p>
    <w:p>
      <w:pPr>
        <w:spacing w:before="0" w:after="140" w:line="283" w:lineRule="auto"/>
        <w:ind w:firstLine="454"/>
        <w:jc w:val="both"/>
      </w:pPr>
      <w:r>
        <w:rPr>
          <w:rFonts w:ascii="Inter" w:hAnsi="Inter" w:eastAsia="Inter"/>
          <w:b w:val="0"/>
          <w:i w:val="0"/>
          <w:color w:val="252525"/>
          <w:sz w:val="21"/>
        </w:rPr>
        <w:t>Dialog pembauran kebangsaan merupakan forum untuk membahas isu, pengalaman, dan kebutuhan masyarakat secara terbuka. Hasil dialog dapat menjadi masukan bagi program FPK maupun bahan pertimbangan dalam perumusan rekomendasi kepada pemerintah daerah.</w:t>
      </w:r>
    </w:p>
    <w:p>
      <w:pPr>
        <w:spacing w:before="80" w:after="80"/>
        <w:jc w:val="center"/>
      </w:pPr>
      <w:r>
        <w:drawing>
          <wp:inline xmlns:a="http://schemas.openxmlformats.org/drawingml/2006/main" xmlns:pic="http://schemas.openxmlformats.org/drawingml/2006/picture">
            <wp:extent cx="5760000" cy="3240960"/>
            <wp:docPr id="20" name="Picture 20"/>
            <wp:cNvGraphicFramePr>
              <a:graphicFrameLocks noChangeAspect="1"/>
            </wp:cNvGraphicFramePr>
            <a:graphic>
              <a:graphicData uri="http://schemas.openxmlformats.org/drawingml/2006/picture">
                <pic:pic>
                  <pic:nvPicPr>
                    <pic:cNvPr id="0" name="slide_27.jpg"/>
                    <pic:cNvPicPr/>
                  </pic:nvPicPr>
                  <pic:blipFill>
                    <a:blip r:embed="rId30"/>
                    <a:stretch>
                      <a:fillRect/>
                    </a:stretch>
                  </pic:blipFill>
                  <pic:spPr>
                    <a:xfrm>
                      <a:off x="0" y="0"/>
                      <a:ext cx="5760000" cy="3240960"/>
                    </a:xfrm>
                    <a:prstGeom prst="rect"/>
                  </pic:spPr>
                </pic:pic>
              </a:graphicData>
            </a:graphic>
          </wp:inline>
        </w:drawing>
      </w:r>
    </w:p>
    <w:p>
      <w:pPr>
        <w:spacing w:before="0" w:after="40" w:line="240" w:lineRule="auto"/>
        <w:jc w:val="center"/>
      </w:pPr>
      <w:r>
        <w:rPr>
          <w:rFonts w:ascii="Inter" w:hAnsi="Inter" w:eastAsia="Inter"/>
          <w:b/>
          <w:i w:val="0"/>
          <w:color w:val="70101A"/>
          <w:sz w:val="17"/>
        </w:rPr>
        <w:t>Gambar 19. Dokumentasi dialog pembauran kebangsaan (slide 27).</w:t>
      </w:r>
    </w:p>
    <w:p>
      <w:pPr>
        <w:spacing w:before="0" w:after="100" w:line="240" w:lineRule="auto"/>
        <w:jc w:val="center"/>
      </w:pPr>
      <w:r>
        <w:rPr>
          <w:rFonts w:ascii="Inter" w:hAnsi="Inter" w:eastAsia="Inter"/>
          <w:b w:val="0"/>
          <w:i/>
          <w:color w:val="666666"/>
          <w:sz w:val="16"/>
        </w:rPr>
        <w:t>Sumber: Materi presentasi FPK Kota Malang, 2026.</w:t>
      </w:r>
    </w:p>
    <w:p>
      <w:r>
        <w:br w:type="page"/>
      </w:r>
    </w:p>
    <w:p>
      <w:pPr>
        <w:pStyle w:val="Heading1"/>
        <w:keepNext/>
        <w:spacing w:before="60" w:after="160"/>
        <w:jc w:val="left"/>
        <w:pBdr>
          <w:bottom w:val="single" w:sz="10" w:space="1" w:color="C89D4C"/>
        </w:pBdr>
      </w:pPr>
      <w:r>
        <w:rPr>
          <w:rFonts w:ascii="Noto Serif" w:hAnsi="Noto Serif" w:eastAsia="Noto Serif"/>
          <w:b/>
          <w:i w:val="0"/>
          <w:color w:val="70101A"/>
          <w:sz w:val="38"/>
        </w:rPr>
        <w:t>8. Penutup</w:t>
      </w:r>
    </w:p>
    <w:p>
      <w:pPr>
        <w:pStyle w:val="Heading2"/>
        <w:keepNext/>
        <w:spacing w:before="160" w:after="100"/>
      </w:pPr>
      <w:r>
        <w:rPr>
          <w:rFonts w:ascii="Noto Serif" w:hAnsi="Noto Serif" w:eastAsia="Noto Serif"/>
          <w:b/>
          <w:i w:val="0"/>
          <w:color w:val="861622"/>
          <w:sz w:val="28"/>
        </w:rPr>
        <w:t>8.1 Kesimpulan</w:t>
      </w:r>
    </w:p>
    <w:p>
      <w:pPr>
        <w:spacing w:before="0" w:after="140" w:line="283" w:lineRule="auto"/>
        <w:ind w:firstLine="454"/>
        <w:jc w:val="both"/>
      </w:pPr>
      <w:r>
        <w:rPr>
          <w:rFonts w:ascii="Inter" w:hAnsi="Inter" w:eastAsia="Inter"/>
          <w:b w:val="0"/>
          <w:i w:val="0"/>
          <w:color w:val="252525"/>
          <w:sz w:val="21"/>
        </w:rPr>
        <w:t>Forum Pembauran Kebangsaan Kota Malang merupakan wadah strategis untuk mengelola kemajemukan melalui komunikasi, konsultasi, dialog, edukasi, kajian, dan kerja sama. Keberadaan FPK didasarkan pada kebutuhan untuk menjaga toleransi, meningkatkan integrasi, mencegah konflik sosial, dan memperkuat solidaritas masyarakat.</w:t>
      </w:r>
    </w:p>
    <w:p>
      <w:pPr>
        <w:spacing w:before="0" w:after="140" w:line="283" w:lineRule="auto"/>
        <w:ind w:firstLine="454"/>
        <w:jc w:val="both"/>
      </w:pPr>
      <w:r>
        <w:rPr>
          <w:rFonts w:ascii="Inter" w:hAnsi="Inter" w:eastAsia="Inter"/>
          <w:b w:val="0"/>
          <w:i w:val="0"/>
          <w:color w:val="252525"/>
          <w:sz w:val="21"/>
        </w:rPr>
        <w:t>Struktur organisasi FPK membagi fungsi ke dalam unsur pimpinan, bidang-bidang substantif, dan biro pendukung. Pembagian tersebut memberikan kerangka kerja untuk menjaring aspirasi masyarakat, menyelenggarakan dialog dan sosialisasi, mengkaji isu pembauran, serta menyusun rekomendasi kebijakan.</w:t>
      </w:r>
    </w:p>
    <w:p>
      <w:pPr>
        <w:spacing w:before="0" w:after="140" w:line="283" w:lineRule="auto"/>
        <w:ind w:firstLine="454"/>
        <w:jc w:val="both"/>
      </w:pPr>
      <w:r>
        <w:rPr>
          <w:rFonts w:ascii="Inter" w:hAnsi="Inter" w:eastAsia="Inter"/>
          <w:b w:val="0"/>
          <w:i w:val="0"/>
          <w:color w:val="252525"/>
          <w:sz w:val="21"/>
        </w:rPr>
        <w:t>Dokumentasi kegiatan memperlihatkan pendekatan yang beragam, mulai dari seminar dan workshop sampai festival budaya, olahraga, outbound, serta dialog. Variasi kegiatan tersebut penting karena pembauran kebangsaan memerlukan proses yang berlangsung melalui pengetahuan, pengalaman bersama, dan hubungan sosial yang berkelanjutan.</w:t>
      </w:r>
    </w:p>
    <w:p>
      <w:pPr>
        <w:pStyle w:val="Heading2"/>
        <w:keepNext/>
        <w:spacing w:before="160" w:after="100"/>
      </w:pPr>
      <w:r>
        <w:rPr>
          <w:rFonts w:ascii="Noto Serif" w:hAnsi="Noto Serif" w:eastAsia="Noto Serif"/>
          <w:b/>
          <w:i w:val="0"/>
          <w:color w:val="861622"/>
          <w:sz w:val="28"/>
        </w:rPr>
        <w:t>8.2 Catatan Penggunaan</w:t>
      </w:r>
    </w:p>
    <w:p>
      <w:pPr>
        <w:spacing w:before="0" w:after="140" w:line="283" w:lineRule="auto"/>
        <w:ind w:firstLine="454"/>
        <w:jc w:val="both"/>
      </w:pPr>
      <w:r>
        <w:rPr>
          <w:rFonts w:ascii="Inter" w:hAnsi="Inter" w:eastAsia="Inter"/>
          <w:b w:val="0"/>
          <w:i w:val="0"/>
          <w:color w:val="252525"/>
          <w:sz w:val="21"/>
        </w:rPr>
        <w:t>Laporan ini dapat digunakan sebagai bahan profil organisasi, dokumentasi internal, materi pengantar sosialisasi, atau dasar penyusunan konten website FPK Kota Malang. Untuk penggunaan resmi, data pengurus, gelar, dasar hukum, masa bakti, dan dokumentasi kegiatan harus diverifikasi terhadap arsip organisasi dan dokumen pemerintah yang berlaku.</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8957"/>
      </w:tblGrid>
      <w:tr>
        <w:tc>
          <w:tcPr>
            <w:tcW w:type="dxa" w:w="9298"/>
            <w:shd w:fill="F5EBDD"/>
            <w:tcMar>
              <w:top w:w="180" w:type="dxa"/>
              <w:start w:w="220" w:type="dxa"/>
              <w:bottom w:w="180" w:type="dxa"/>
              <w:end w:w="220" w:type="dxa"/>
            </w:tcMar>
          </w:tcPr>
          <w:p>
            <w:pPr>
              <w:spacing w:before="0" w:after="60" w:line="269" w:lineRule="auto"/>
            </w:pPr>
            <w:r>
              <w:rPr>
                <w:rFonts w:ascii="Inter" w:hAnsi="Inter" w:eastAsia="Inter"/>
                <w:b/>
                <w:i w:val="0"/>
                <w:color w:val="70101A"/>
                <w:sz w:val="19"/>
              </w:rPr>
              <w:t>SUMBER UTAMA</w:t>
            </w:r>
          </w:p>
          <w:p>
            <w:pPr>
              <w:spacing w:before="0" w:after="0" w:line="269" w:lineRule="auto"/>
              <w:jc w:val="both"/>
            </w:pPr>
            <w:r>
              <w:rPr>
                <w:rFonts w:ascii="Inter" w:hAnsi="Inter" w:eastAsia="Inter"/>
                <w:b w:val="0"/>
                <w:i w:val="0"/>
                <w:color w:val="252525"/>
                <w:sz w:val="19"/>
              </w:rPr>
              <w:t>Presentasi “Profil Forum Pembauran Kota Malang - Profil Sosialisasi”, 29 halaman, tahun 2026.</w:t>
            </w:r>
          </w:p>
        </w:tc>
      </w:tr>
    </w:tbl>
    <w:p>
      <w:pPr>
        <w:spacing w:after="0"/>
      </w:pPr>
    </w:p>
    <w:p>
      <w:pPr>
        <w:jc w:val="center"/>
      </w:pPr>
      <w:r>
        <w:drawing>
          <wp:inline xmlns:a="http://schemas.openxmlformats.org/drawingml/2006/main" xmlns:pic="http://schemas.openxmlformats.org/drawingml/2006/picture">
            <wp:extent cx="936000" cy="938697"/>
            <wp:docPr id="21" name="Picture 21"/>
            <wp:cNvGraphicFramePr>
              <a:graphicFrameLocks noChangeAspect="1"/>
            </wp:cNvGraphicFramePr>
            <a:graphic>
              <a:graphicData uri="http://schemas.openxmlformats.org/drawingml/2006/picture">
                <pic:pic>
                  <pic:nvPicPr>
                    <pic:cNvPr id="0" name="fpk_logo.png"/>
                    <pic:cNvPicPr/>
                  </pic:nvPicPr>
                  <pic:blipFill>
                    <a:blip r:embed="rId31"/>
                    <a:stretch>
                      <a:fillRect/>
                    </a:stretch>
                  </pic:blipFill>
                  <pic:spPr>
                    <a:xfrm>
                      <a:off x="0" y="0"/>
                      <a:ext cx="936000" cy="938697"/>
                    </a:xfrm>
                    <a:prstGeom prst="rect"/>
                  </pic:spPr>
                </pic:pic>
              </a:graphicData>
            </a:graphic>
          </wp:inline>
        </w:drawing>
      </w:r>
    </w:p>
    <w:p>
      <w:pPr>
        <w:jc w:val="center"/>
      </w:pPr>
      <w:r>
        <w:rPr>
          <w:rFonts w:ascii="Inter" w:hAnsi="Inter" w:eastAsia="Inter"/>
          <w:b/>
          <w:i w:val="0"/>
          <w:color w:val="70101A"/>
          <w:sz w:val="20"/>
        </w:rPr>
        <w:t>FORUM PEMBAURAN KEBANGSAAN KOTA MALANG</w:t>
      </w:r>
    </w:p>
    <w:sectPr w:rsidR="00FC693F" w:rsidRPr="0006063C" w:rsidSect="00034616">
      <w:pgSz w:w="11906" w:h="16838"/>
      <w:pgMar w:top="1134" w:right="1247" w:bottom="1020" w:left="1361"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b w:val="0"/>
        <w:i w:val="0"/>
        <w:color w:val="666666"/>
        <w:sz w:val="17"/>
      </w:rPr>
      <w:t xml:space="preserve">Halaman </w:t>
    </w:r>
    <w:r>
      <w:rPr>
        <w:rFonts w:ascii="Inter" w:hAnsi="Inter" w:eastAsia="Inter"/>
        <w:b w:val="0"/>
        <w:i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134"/>
      <w:gridCol w:w="8164"/>
    </w:tblGrid>
    <w:tr>
      <w:tc>
        <w:tcPr>
          <w:tcW w:type="dxa" w:w="4649"/>
          <w:vAlign w:val="center"/>
        </w:tcPr>
        <w:p>
          <w:pPr>
            <w:jc w:val="left"/>
          </w:pPr>
          <w:r>
            <w:drawing>
              <wp:inline xmlns:a="http://schemas.openxmlformats.org/drawingml/2006/main" xmlns:pic="http://schemas.openxmlformats.org/drawingml/2006/picture">
                <wp:extent cx="378000" cy="379089"/>
                <wp:docPr id="1" name="Picture 1"/>
                <wp:cNvGraphicFramePr>
                  <a:graphicFrameLocks noChangeAspect="1"/>
                </wp:cNvGraphicFramePr>
                <a:graphic>
                  <a:graphicData uri="http://schemas.openxmlformats.org/drawingml/2006/picture">
                    <pic:pic>
                      <pic:nvPicPr>
                        <pic:cNvPr id="0" name="fpk_logo.png"/>
                        <pic:cNvPicPr/>
                      </pic:nvPicPr>
                      <pic:blipFill>
                        <a:blip r:embed="rId1"/>
                        <a:stretch>
                          <a:fillRect/>
                        </a:stretch>
                      </pic:blipFill>
                      <pic:spPr>
                        <a:xfrm>
                          <a:off x="0" y="0"/>
                          <a:ext cx="378000" cy="379089"/>
                        </a:xfrm>
                        <a:prstGeom prst="rect"/>
                      </pic:spPr>
                    </pic:pic>
                  </a:graphicData>
                </a:graphic>
              </wp:inline>
            </w:drawing>
          </w:r>
        </w:p>
      </w:tc>
      <w:tc>
        <w:tcPr>
          <w:tcW w:type="dxa" w:w="4649"/>
          <w:vAlign w:val="center"/>
        </w:tcPr>
        <w:p>
          <w:pPr>
            <w:jc w:val="right"/>
            <w:pBdr>
              <w:bottom w:val="single" w:sz="8" w:space="1" w:color="C89D4C"/>
            </w:pBdr>
          </w:pPr>
          <w:r>
            <w:rPr>
              <w:rFonts w:ascii="Inter" w:hAnsi="Inter" w:eastAsia="Inter"/>
              <w:b/>
              <w:i w:val="0"/>
              <w:color w:val="70101A"/>
              <w:sz w:val="17"/>
            </w:rPr>
            <w:t>LAPORAN PROFIL FPK KOTA MALANG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Profil Forum Pembauran Kebangsaan Kota Malang 2026</dc:title>
  <dc:subject>Penyajian ulang naratif dari materi Profil Sosialisasi FPK Kota Malang</dc:subject>
  <dc:creator>Forum Pembauran Kebangsaan Kota Malang</dc:creator>
  <cp:keywords>FPK, Kota Malang, pembauran kebangsaan, profil, sosialisasi</cp:keywords>
  <dc:description>generated by python-docx</dc:description>
  <cp:lastModifiedBy/>
  <cp:revision>1</cp:revision>
  <dcterms:created xsi:type="dcterms:W3CDTF">2013-12-23T23:15:00Z</dcterms:created>
  <dcterms:modified xsi:type="dcterms:W3CDTF">2013-12-23T23:15:00Z</dcterms:modified>
  <cp:category/>
</cp:coreProperties>
</file>