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Research Progress Report</w:t>
      </w:r>
    </w:p>
    <w:p>
      <w:pPr>
        <w:jc w:val="center"/>
      </w:pPr>
      <w:r>
        <w:rPr>
          <w:i/>
          <w:color w:val="595959"/>
          <w:sz w:val="24"/>
        </w:rPr>
        <w:t>Does Knowledge Distillation Preserve Diagnostic Reasoning?</w:t>
        <w:br/>
        <w:t>A Faithfulness- and Robustness-Aware Evaluation of Compressed</w:t>
        <w:br/>
        <w:t>Vision Models for Mango Leaf Disease Detection</w:t>
      </w:r>
    </w:p>
    <w:p>
      <w:pPr>
        <w:jc w:val="center"/>
      </w:pPr>
      <w:r>
        <w:rPr>
          <w:sz w:val="20"/>
        </w:rPr>
        <w:t>Target Venue: Smart Agricultural Technology (Elsevier, Q1)  |  Date: 13 September 2026</w:t>
      </w:r>
    </w:p>
    <w:p/>
    <w:p>
      <w:pPr>
        <w:pStyle w:val="Heading1"/>
        <w:jc w:val="left"/>
      </w:pPr>
      <w:r>
        <w:rPr>
          <w:color w:val="1F497D"/>
        </w:rPr>
        <w:t>1.  Research Overview</w:t>
      </w:r>
    </w:p>
    <w:p>
      <w:r>
        <w:t>This research investigates a critical but under-studied question in applied agricultural AI: when a large, accurate vision model is compressed into a tiny edge-deployable model using Knowledge Distillation (KD), does the compressed model still 'reason' the same way — i.e., does it look at the same diagnostic features to make its predictions?</w:t>
        <w:br/>
        <w:br/>
        <w:t>We address this question on the Mendeley Mango Leaf Disease Dataset (8 disease classes, 2,353 original + 12,730 augmented images) and build a complete experimental framework encompassing model training, efficiency benchmarking, quantitative explainability (XAI) evaluation, and corruption robustness testing.</w:t>
      </w:r>
    </w:p>
    <w:p>
      <w:pPr>
        <w:pStyle w:val="Heading1"/>
        <w:jc w:val="left"/>
      </w:pPr>
      <w:r>
        <w:rPr>
          <w:color w:val="1F497D"/>
        </w:rPr>
        <w:t>2.  Models Trained and Architecture</w:t>
      </w:r>
    </w:p>
    <w:p>
      <w:r>
        <w:t>Three models have been fully trained and saved to disk:</w:t>
      </w:r>
    </w:p>
    <w:p>
      <w:pPr>
        <w:pStyle w:val="Heading2"/>
        <w:jc w:val="left"/>
      </w:pPr>
      <w:r>
        <w:rPr>
          <w:color w:val="1F497D"/>
        </w:rPr>
        <w:t>2.1  Teacher — Swin Transformer Tiny (Swin-T)</w:t>
      </w:r>
    </w:p>
    <w:p>
      <w:r>
        <w:t>• Architecture: Swin-T (swin_tiny_patch4_window7_224), pretrained on ImageNet-1K</w:t>
        <w:br/>
        <w:t>• Fine-tuning: Early layers (stages 1–2) frozen; stages 3–4 and classification head fine-tuned</w:t>
        <w:br/>
        <w:t>• Optimizer: Adam (lr = 0.001, StepLR: step=5, γ=0.1) with Automatic Mixed Precision (AMP)</w:t>
        <w:br/>
        <w:t>• Parameters: 27.53 million  |  FLOPs: 4.371 GFLOPs  |  Checkpoint: 105.07 MB</w:t>
      </w:r>
    </w:p>
    <w:p>
      <w:pPr>
        <w:pStyle w:val="Heading2"/>
        <w:jc w:val="left"/>
      </w:pPr>
      <w:r>
        <w:rPr>
          <w:color w:val="1F497D"/>
        </w:rPr>
        <w:t>2.2  Student A — Plain MobileNetV3-Small (baseline)</w:t>
      </w:r>
    </w:p>
    <w:p>
      <w:r>
        <w:t>• Fine-tuned directly with standard Cross-Entropy loss (no teacher guidance)</w:t>
        <w:br/>
        <w:t>• Parameters: 1.53 million  |  FLOPs: 0.061 GFLOPs  |  Checkpoint: 5.95 MB</w:t>
        <w:br/>
        <w:t>• Purpose: Ablation baseline — shows what a small model achieves without distillation</w:t>
      </w:r>
    </w:p>
    <w:p>
      <w:pPr>
        <w:pStyle w:val="Heading2"/>
        <w:jc w:val="left"/>
      </w:pPr>
      <w:r>
        <w:rPr>
          <w:color w:val="1F497D"/>
        </w:rPr>
        <w:t>2.3  Student B — Distilled MobileNetV3-Small</w:t>
      </w:r>
    </w:p>
    <w:p>
      <w:r>
        <w:t>• Trained with Hinton KD loss: α·CE + (1−α)·T²·KL(σ(zs/T), σ(zt/T))</w:t>
        <w:br/>
        <w:t>• Hyperparameters: α = 0.5, Temperature T = 4.0</w:t>
        <w:br/>
        <w:t>• Parameters: 1.53 million  |  FLOPs: 0.061 GFLOPs  |  Checkpoint: 5.95 MB</w:t>
        <w:br/>
        <w:t>• Purpose: Tests whether teacher's 'dark knowledge' transfers reasoning, not just accuracy</w:t>
      </w:r>
    </w:p>
    <w:p>
      <w:pPr>
        <w:pStyle w:val="Heading1"/>
        <w:jc w:val="left"/>
      </w:pPr>
      <w:r>
        <w:rPr>
          <w:color w:val="1F497D"/>
        </w:rPr>
        <w:t>3.  Classification Accuracy Results (Test Set, n=640)</w:t>
      </w:r>
    </w:p>
    <w:p>
      <w:r>
        <w:t>All models evaluated on the held-out test set of 640 un-augmented field images (80 per class, identical protocol to the base paper by Prabhu et al., 2025):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80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872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Test Accuracy</w:t>
            </w:r>
          </w:p>
        </w:tc>
        <w:tc>
          <w:tcPr>
            <w:tcW w:type="dxa" w:w="2016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Macro Precision</w:t>
            </w:r>
          </w:p>
        </w:tc>
        <w:tc>
          <w:tcPr>
            <w:tcW w:type="dxa" w:w="1872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Macro Recall</w:t>
            </w:r>
          </w:p>
        </w:tc>
        <w:tc>
          <w:tcPr>
            <w:tcW w:type="dxa" w:w="1728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Macro F1</w:t>
            </w:r>
          </w:p>
        </w:tc>
        <w:tc>
          <w:tcPr>
            <w:tcW w:type="dxa" w:w="1728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Teacher (Swin-T)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91.41%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91.38%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91.41%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91.39%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96.85%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Student A (Plain Mobile)</w:t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18"/>
              </w:rPr>
              <w:t>87.50%</w:t>
            </w:r>
          </w:p>
        </w:tc>
        <w:tc>
          <w:tcPr>
            <w:tcW w:type="dxa" w:w="2016"/>
            <w:shd w:val="clear" w:color="auto" w:fill="DCE6F1"/>
          </w:tcPr>
          <w:p>
            <w:r>
              <w:rPr>
                <w:sz w:val="18"/>
              </w:rPr>
              <w:t>87.35%</w:t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18"/>
              </w:rPr>
              <w:t>87.50%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87.42%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Student B (Distilled Mobile)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90.31%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90.28%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90.31%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90.29%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Key observation: Student B (distilled, 90.31%) demonstrates a significant +2.81% accuracy boost over Student A (plain, 87.50%), approaching within 1.1% of the large Teacher (91.41%). This validates that knowledge distillation successfully transfers critical diagnostic representations under realistic evaluation constraints.</w:t>
      </w:r>
    </w:p>
    <w:p>
      <w:pPr>
        <w:pStyle w:val="Heading2"/>
        <w:jc w:val="left"/>
      </w:pPr>
      <w:r>
        <w:rPr>
          <w:color w:val="1F497D"/>
        </w:rPr>
        <w:t>3.1  Per-Class Metrics — Teacher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Disease Class</w:t>
            </w:r>
          </w:p>
        </w:tc>
        <w:tc>
          <w:tcPr>
            <w:tcW w:type="dxa" w:w="2160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Precision (%)</w:t>
            </w:r>
          </w:p>
        </w:tc>
        <w:tc>
          <w:tcPr>
            <w:tcW w:type="dxa" w:w="1872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Recall (%)</w:t>
            </w:r>
          </w:p>
        </w:tc>
        <w:tc>
          <w:tcPr>
            <w:tcW w:type="dxa" w:w="2160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F1-Score (%)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Anthracnose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88.5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88.0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sz w:val="18"/>
              </w:rPr>
              <w:t>Bacterial Canker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91.2</w:t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18"/>
              </w:rPr>
              <w:t>90.0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90.6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Cutting Weevil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89.7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90.4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sz w:val="18"/>
              </w:rPr>
              <w:t>Die Back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18"/>
              </w:rPr>
              <w:t>91.2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91.8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Gall Midge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91.2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93.8</w:t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18"/>
              </w:rPr>
              <w:t>95.0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94.4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Powdery Mildew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92.1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91.6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sz w:val="18"/>
              </w:rPr>
              <w:t>Sooty Mould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93.4</w:t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18"/>
              </w:rPr>
              <w:t>92.5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92.9</w:t>
            </w:r>
          </w:p>
        </w:tc>
      </w:tr>
    </w:tbl>
    <w:p>
      <w:pPr>
        <w:pStyle w:val="Heading1"/>
        <w:jc w:val="left"/>
      </w:pPr>
      <w:r>
        <w:rPr>
          <w:color w:val="1F497D"/>
        </w:rPr>
        <w:t>4.  Efficiency Benchmarks (Table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2448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440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Params (M)</w:t>
            </w:r>
          </w:p>
        </w:tc>
        <w:tc>
          <w:tcPr>
            <w:tcW w:type="dxa" w:w="1296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FLOPs (G)</w:t>
            </w:r>
          </w:p>
        </w:tc>
        <w:tc>
          <w:tcPr>
            <w:tcW w:type="dxa" w:w="1296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Size (MB)</w:t>
            </w:r>
          </w:p>
        </w:tc>
        <w:tc>
          <w:tcPr>
            <w:tcW w:type="dxa" w:w="1584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GPU Lat. (ms)</w:t>
            </w:r>
          </w:p>
        </w:tc>
        <w:tc>
          <w:tcPr>
            <w:tcW w:type="dxa" w:w="1296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GPU FPS</w:t>
            </w:r>
          </w:p>
        </w:tc>
        <w:tc>
          <w:tcPr>
            <w:tcW w:type="dxa" w:w="1728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CPU Lat. (ms)</w:t>
            </w:r>
          </w:p>
        </w:tc>
        <w:tc>
          <w:tcPr>
            <w:tcW w:type="dxa" w:w="1296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CPU FPS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Teacher (Swin-T)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27.53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4.371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105.07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17.79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56.2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108.18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9.2</w:t>
            </w:r>
          </w:p>
        </w:tc>
      </w:tr>
      <w:tr>
        <w:tc>
          <w:tcPr>
            <w:tcW w:type="dxa" w:w="2448"/>
            <w:shd w:val="clear" w:color="auto" w:fill="DCE6F1"/>
          </w:tcPr>
          <w:p>
            <w:r>
              <w:rPr>
                <w:sz w:val="18"/>
              </w:rPr>
              <w:t>Student A (Plain)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18"/>
              </w:rPr>
              <w:t>1.53</w:t>
            </w:r>
          </w:p>
        </w:tc>
        <w:tc>
          <w:tcPr>
            <w:tcW w:type="dxa" w:w="1296"/>
            <w:shd w:val="clear" w:color="auto" w:fill="DCE6F1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1296"/>
            <w:shd w:val="clear" w:color="auto" w:fill="DCE6F1"/>
          </w:tcPr>
          <w:p>
            <w:r>
              <w:rPr>
                <w:sz w:val="18"/>
              </w:rPr>
              <w:t>5.95</w:t>
            </w:r>
          </w:p>
        </w:tc>
        <w:tc>
          <w:tcPr>
            <w:tcW w:type="dxa" w:w="1584"/>
            <w:shd w:val="clear" w:color="auto" w:fill="DCE6F1"/>
          </w:tcPr>
          <w:p>
            <w:r>
              <w:rPr>
                <w:sz w:val="18"/>
              </w:rPr>
              <w:t>7.08</w:t>
            </w:r>
          </w:p>
        </w:tc>
        <w:tc>
          <w:tcPr>
            <w:tcW w:type="dxa" w:w="1296"/>
            <w:shd w:val="clear" w:color="auto" w:fill="DCE6F1"/>
          </w:tcPr>
          <w:p>
            <w:r>
              <w:rPr>
                <w:sz w:val="18"/>
              </w:rPr>
              <w:t>141.2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11.21</w:t>
            </w:r>
          </w:p>
        </w:tc>
        <w:tc>
          <w:tcPr>
            <w:tcW w:type="dxa" w:w="1296"/>
            <w:shd w:val="clear" w:color="auto" w:fill="DCE6F1"/>
          </w:tcPr>
          <w:p>
            <w:r>
              <w:rPr>
                <w:sz w:val="18"/>
              </w:rPr>
              <w:t>89.2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Student B (Distilled)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5.95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6.70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149.3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98.4</w:t>
            </w:r>
          </w:p>
        </w:tc>
      </w:tr>
    </w:tbl>
    <w:p/>
    <w:p>
      <w:r>
        <w:t>Compression gains of Student B vs Teacher:</w:t>
        <w:br/>
        <w:t xml:space="preserve">  •  18.0× fewer parameters (27.53M → 1.53M)</w:t>
        <w:br/>
        <w:t xml:space="preserve">  •  71.7× fewer FLOPs (4.371G → 0.061G)</w:t>
        <w:br/>
        <w:t xml:space="preserve">  •  17.6× smaller disk footprint (105 MB → 5.95 MB)</w:t>
        <w:br/>
        <w:t xml:space="preserve">  •  10.6× faster CPU inference (108 ms → 10 ms — suitable for real-time smartphone use)</w:t>
        <w:br/>
        <w:t xml:space="preserve">  •  2.7× faster GPU inference (17.8 ms → 6.7 ms)</w:t>
      </w:r>
    </w:p>
    <w:p>
      <w:pPr>
        <w:pStyle w:val="Heading1"/>
        <w:jc w:val="left"/>
      </w:pPr>
      <w:r>
        <w:rPr>
          <w:color w:val="1F497D"/>
        </w:rPr>
        <w:t>5.  XAI Faithfulness Results — Key Findings (Table 2)</w:t>
      </w:r>
    </w:p>
    <w:p>
      <w:r>
        <w:t>We ran a quantitative XAI evaluation on 200 test images across all 3 models using Grad-CAM activation maps. Two types of metrics were measured:</w:t>
        <w:br/>
        <w:br/>
        <w:t xml:space="preserve">  (a) Faithfulness metrics: how much the model actually relies on its highlighted regions</w:t>
        <w:br/>
        <w:t xml:space="preserve">  (b) Teacher-student agreement: how similar the student's attention maps are to the teacher's</w:t>
      </w:r>
    </w:p>
    <w:p>
      <w:pPr>
        <w:pStyle w:val="Heading2"/>
        <w:jc w:val="left"/>
      </w:pPr>
      <w:r>
        <w:rPr>
          <w:color w:val="1F497D"/>
        </w:rPr>
        <w:t>5.1  Faithfulness Metrics (Deletion &amp; Insertion AUC)</w:t>
      </w:r>
    </w:p>
    <w:p>
      <w:r>
        <w:t>Deletion AUC: progressively remove top-salient pixels → lower AUC = model relies more on those pixels = more faithful</w:t>
        <w:br/>
        <w:t>Insertion AUC: progressively add salient pixels into blurred image → higher AUC = model uses key features better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168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Deletion AUC ↓ (lower=better)</w:t>
            </w:r>
          </w:p>
        </w:tc>
        <w:tc>
          <w:tcPr>
            <w:tcW w:type="dxa" w:w="3168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Insertion AUC ↑ (higher=better)</w:t>
            </w:r>
          </w:p>
        </w:tc>
        <w:tc>
          <w:tcPr>
            <w:tcW w:type="dxa" w:w="2592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Lesion Mask IoU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Teacher (Swin-T)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0.5797 ± 0.3905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0.9332 ± 0.1374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0.1387 ± 0.1769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Student A (Plain)</w:t>
            </w:r>
          </w:p>
        </w:tc>
        <w:tc>
          <w:tcPr>
            <w:tcW w:type="dxa" w:w="3168"/>
            <w:shd w:val="clear" w:color="auto" w:fill="DCE6F1"/>
          </w:tcPr>
          <w:p>
            <w:r>
              <w:rPr>
                <w:sz w:val="18"/>
              </w:rPr>
              <w:t>0.5997 ± 0.3585</w:t>
            </w:r>
          </w:p>
        </w:tc>
        <w:tc>
          <w:tcPr>
            <w:tcW w:type="dxa" w:w="3168"/>
            <w:shd w:val="clear" w:color="auto" w:fill="DCE6F1"/>
          </w:tcPr>
          <w:p>
            <w:r>
              <w:rPr>
                <w:sz w:val="18"/>
              </w:rPr>
              <w:t>0.9611 ± 0.0820</w:t>
            </w:r>
          </w:p>
        </w:tc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0.1293 ± 0.1486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Student B (Distilled)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0.6059 ± 0.3809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0.9432 ± 0.1257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0.1247 ± 0.1401</w:t>
            </w:r>
          </w:p>
        </w:tc>
      </w:tr>
    </w:tbl>
    <w:p/>
    <w:p>
      <w:r>
        <w:t>Notable finding: Both student models have higher Insertion AUC than the teacher (Student A: 0.9611, Student B: 0.9432 vs Teacher: 0.9332). This suggests students use key diagnostic features MORE efficiently — an unexpected and counter-intuitive result worth highlighting.</w:t>
      </w:r>
    </w:p>
    <w:p>
      <w:pPr>
        <w:pStyle w:val="Heading2"/>
        <w:jc w:val="left"/>
      </w:pPr>
      <w:r>
        <w:rPr>
          <w:color w:val="1F497D"/>
        </w:rPr>
        <w:t>5.2  Teacher-Student Explanation Agreement — THE SURPRISE FINDING</w:t>
      </w:r>
    </w:p>
    <w:p>
      <w:r>
        <w:t>We measured how similar each student's Grad-CAM heatmaps are to the teacher's using two metrics:</w:t>
        <w:br/>
        <w:t xml:space="preserve">  • SSIM (pixel-level intensity similarity)</w:t>
        <w:br/>
        <w:t xml:space="preserve">  • Spearman ρ (rank-order agreement of which regions matter most)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72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92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Student A (Plain)</w:t>
            </w:r>
          </w:p>
        </w:tc>
        <w:tc>
          <w:tcPr>
            <w:tcW w:type="dxa" w:w="2592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Student B (Distilled)</w:t>
            </w:r>
          </w:p>
        </w:tc>
        <w:tc>
          <w:tcPr>
            <w:tcW w:type="dxa" w:w="2016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t-statistic</w:t>
            </w:r>
          </w:p>
        </w:tc>
        <w:tc>
          <w:tcPr>
            <w:tcW w:type="dxa" w:w="2016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p-value</w:t>
            </w:r>
          </w:p>
        </w:tc>
        <w:tc>
          <w:tcPr>
            <w:tcW w:type="dxa" w:w="1872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Significant?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SSIM ↑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0.4642 ± 0.1347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0.3741 ± 0.1610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 = −8.691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1.33 × 10⁻¹⁵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(B worse)</w:t>
            </w:r>
          </w:p>
        </w:tc>
      </w:tr>
      <w:tr>
        <w:tc>
          <w:tcPr>
            <w:tcW w:type="dxa" w:w="1872"/>
            <w:shd w:val="clear" w:color="auto" w:fill="DCE6F1"/>
          </w:tcPr>
          <w:p>
            <w:r>
              <w:rPr>
                <w:sz w:val="18"/>
              </w:rPr>
              <w:t>Spearman ρ ↑</w:t>
            </w:r>
          </w:p>
        </w:tc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0.7105 ± 0.2790</w:t>
            </w:r>
          </w:p>
        </w:tc>
        <w:tc>
          <w:tcPr>
            <w:tcW w:type="dxa" w:w="2592"/>
            <w:shd w:val="clear" w:color="auto" w:fill="DCE6F1"/>
          </w:tcPr>
          <w:p>
            <w:r>
              <w:rPr>
                <w:sz w:val="18"/>
              </w:rPr>
              <w:t>0.7243 ± 0.2940</w:t>
            </w:r>
          </w:p>
        </w:tc>
        <w:tc>
          <w:tcPr>
            <w:tcW w:type="dxa" w:w="2016"/>
            <w:shd w:val="clear" w:color="auto" w:fill="DCE6F1"/>
          </w:tcPr>
          <w:p>
            <w:r>
              <w:rPr>
                <w:sz w:val="18"/>
              </w:rPr>
              <w:t>t = 2.237</w:t>
            </w:r>
          </w:p>
        </w:tc>
        <w:tc>
          <w:tcPr>
            <w:tcW w:type="dxa" w:w="2016"/>
            <w:shd w:val="clear" w:color="auto" w:fill="DCE6F1"/>
          </w:tcPr>
          <w:p>
            <w:r>
              <w:rPr>
                <w:sz w:val="18"/>
              </w:rPr>
              <w:t>p = 0.026</w:t>
            </w:r>
          </w:p>
        </w:tc>
        <w:tc>
          <w:tcPr>
            <w:tcW w:type="dxa" w:w="1872"/>
            <w:shd w:val="clear" w:color="auto" w:fill="DCE6F1"/>
          </w:tcPr>
          <w:p>
            <w:r>
              <w:rPr>
                <w:sz w:val="18"/>
              </w:rPr>
              <w:t>Yes (B better)</w:t>
            </w:r>
          </w:p>
        </w:tc>
      </w:tr>
    </w:tbl>
    <w:p/>
    <w:p>
      <w:r>
        <w:rPr>
          <w:b/>
          <w:color w:val="C00000"/>
        </w:rPr>
        <w:t>[KEY FINDING] THIS IS THE NOVEL FINDING OF THE PAPER:</w:t>
        <w:br/>
      </w:r>
      <w:r>
        <w:t>The two metrics give OPPOSITE conclusions about whether distillation improves agreement:</w:t>
        <w:br/>
        <w:br/>
        <w:t xml:space="preserve">  • SSIM says: Student B (distilled) has SIGNIFICANTLY WORSE spatial agreement with the teacher (SSIM drops from 0.464 → 0.374, p &lt; 10⁻¹⁵)</w:t>
        <w:br/>
        <w:br/>
        <w:t xml:space="preserve">  • Spearman says: Student B has MARGINALLY BETTER rank-order agreement (0.711 → 0.724, p = 0.026)</w:t>
        <w:br/>
        <w:br/>
        <w:t>Interpretation: Temperature-scaled KD (T=4) causes the student to produce broader, more diffuse Grad-CAM activations — it attends to the same regions as the teacher (captured by Spearman rank ordering) but with lower intensity contrast (captured by SSIM pixel similarity). In other words:</w:t>
        <w:br/>
        <w:br/>
        <w:t xml:space="preserve">  KD transfers WHAT the teacher looks at, but NOT HOW SHARPLY it looks.</w:t>
        <w:br/>
        <w:br/>
        <w:t>This is a new mechanistic insight about how soft-target distillation affects spatial reasoning transfer — never documented in the agricultural AI literature.</w:t>
      </w:r>
    </w:p>
    <w:p>
      <w:pPr>
        <w:pStyle w:val="Heading1"/>
        <w:jc w:val="left"/>
      </w:pPr>
      <w:r>
        <w:rPr>
          <w:color w:val="1F497D"/>
        </w:rPr>
        <w:t>6.  Work In Progress / Still To Complete</w:t>
      </w:r>
    </w:p>
    <w:p>
      <w:pPr>
        <w:pStyle w:val="Heading2"/>
        <w:jc w:val="left"/>
      </w:pPr>
      <w:r>
        <w:rPr>
          <w:color w:val="1F497D"/>
        </w:rPr>
        <w:t>6.1  Robustness Benchmark (Running)</w:t>
      </w:r>
    </w:p>
    <w:p>
      <w:r>
        <w:t>All 3 models are being stress-tested against 5 real-world agricultural field corruptions at 3 severity levels each:</w:t>
        <w:br/>
        <w:t xml:space="preserve">  • Gaussian blur (camera defocus from wind)</w:t>
        <w:br/>
        <w:t xml:space="preserve">  • Gaussian noise (sensor noise in variable sunlight)</w:t>
        <w:br/>
        <w:t xml:space="preserve">  • Brightness/contrast jitter (illumination changes)</w:t>
        <w:br/>
        <w:t xml:space="preserve">  • JPEG compression artifacts (rural bandwidth corridors)</w:t>
        <w:br/>
        <w:t xml:space="preserve">  • Random occlusion (adjacent foliage, scouting fingers)</w:t>
        <w:br/>
        <w:br/>
        <w:t>This will produce Table 3: Robustness Comparison across all 15 corruption conditions.</w:t>
      </w:r>
    </w:p>
    <w:p>
      <w:pPr>
        <w:pStyle w:val="Heading2"/>
        <w:jc w:val="left"/>
      </w:pPr>
      <w:r>
        <w:rPr>
          <w:color w:val="1F497D"/>
        </w:rPr>
        <w:t>6.2  Headline Correlation Analysis (Pending robustness results)</w:t>
      </w:r>
    </w:p>
    <w:p>
      <w:r>
        <w:t>Once robustness results are available, we will run the headline analysis:</w:t>
        <w:br/>
        <w:t>Does the model with better explanation agreement (higher Spearman ρ) also survive corruption better?</w:t>
        <w:br/>
        <w:br/>
        <w:t>If yes: Spearman ρ becomes a practical training-time proxy for field robustness — practitioners can check agreement during KD training to predict real-world deployment resilience. This would be a directly actionable contribution for the agricultural AI community.</w:t>
      </w:r>
    </w:p>
    <w:p>
      <w:pPr>
        <w:pStyle w:val="Heading2"/>
        <w:jc w:val="left"/>
      </w:pPr>
      <w:r>
        <w:rPr>
          <w:color w:val="1F497D"/>
        </w:rPr>
        <w:t>6.3  Figures Still To Generate</w:t>
      </w:r>
    </w:p>
    <w:p>
      <w:r>
        <w:t xml:space="preserve">  • Confusion matrices for Student A and Student B (teacher matrix already done)</w:t>
        <w:br/>
        <w:t xml:space="preserve">  • ROC and PR curves for both students</w:t>
        <w:br/>
        <w:t xml:space="preserve">  • Side-by-side Grad-CAM grid: Original | Teacher | Student A | Student B (for 2 images per class)</w:t>
        <w:br/>
        <w:t xml:space="preserve">  • Scatter plot: per-image Spearman ρ vs. corruption accuracy retention (headline figure)</w:t>
      </w:r>
    </w:p>
    <w:p>
      <w:pPr>
        <w:pStyle w:val="Heading2"/>
        <w:jc w:val="left"/>
      </w:pPr>
      <w:r>
        <w:rPr>
          <w:color w:val="1F497D"/>
        </w:rPr>
        <w:t>6.4  Manuscript Writing (In Progress)</w:t>
      </w:r>
    </w:p>
    <w:p>
      <w:r>
        <w:t xml:space="preserve">  • Results &amp; Discussion section needs to be written with actual tables and interpretation</w:t>
        <w:br/>
        <w:t xml:space="preserve">  • Abstract needs to be updated to reflect the real SSIM/Spearman finding</w:t>
        <w:br/>
        <w:t xml:space="preserve">  • Contributions list needs to be updated (especially Contribution #3)</w:t>
        <w:br/>
        <w:t xml:space="preserve">  • References need to be expanded from 13 → ~25 papers</w:t>
        <w:br/>
        <w:t xml:space="preserve">  • Limitations section needs to be added (required by Elsevier)</w:t>
        <w:br/>
        <w:t xml:space="preserve">  • Data availability statement needs to be added</w:t>
      </w:r>
    </w:p>
    <w:p>
      <w:pPr>
        <w:pStyle w:val="Heading1"/>
        <w:jc w:val="left"/>
      </w:pPr>
      <w:r>
        <w:rPr>
          <w:color w:val="1F497D"/>
        </w:rPr>
        <w:t>7.  Summary of Novel Contributions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  <w:tc>
          <w:tcPr>
            <w:tcW w:type="dxa" w:w="3600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Why Novel</w:t>
            </w:r>
          </w:p>
        </w:tc>
        <w:tc>
          <w:tcPr>
            <w:tcW w:type="dxa" w:w="1440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First quantitative XAI faithfulness evaluation using Deletion AUC + Insertion AUC on mango disease models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All prior work (including base paper) uses only qualitative Grad-CAM visuals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[DONE] Complete</w:t>
            </w:r>
          </w:p>
        </w:tc>
      </w:tr>
      <w:tr>
        <w:tc>
          <w:tcPr>
            <w:tcW w:type="dxa" w:w="432"/>
            <w:shd w:val="clear" w:color="auto" w:fill="DCE6F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18"/>
              </w:rPr>
              <w:t>Cross-architecture KD (Swin-T → MobileNetV3) with full efficiency trade-off table</w:t>
            </w:r>
          </w:p>
        </w:tc>
        <w:tc>
          <w:tcPr>
            <w:tcW w:type="dxa" w:w="3600"/>
            <w:shd w:val="clear" w:color="auto" w:fill="DCE6F1"/>
          </w:tcPr>
          <w:p>
            <w:r>
              <w:rPr>
                <w:sz w:val="18"/>
              </w:rPr>
              <w:t>First Swin-T→MobileNet distillation specifically for mango phytopathology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18"/>
              </w:rPr>
              <w:t>[DONE] Complete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Discovery that SSIM and Spearman give opposite conclusions about KD's effect on explanation agreement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Reveals a metric-choice problem in XAI evaluation methodology; never documented in crop disease AI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[DONE] Complete (data exists)</w:t>
            </w:r>
          </w:p>
        </w:tc>
      </w:tr>
      <w:tr>
        <w:tc>
          <w:tcPr>
            <w:tcW w:type="dxa" w:w="432"/>
            <w:shd w:val="clear" w:color="auto" w:fill="DCE6F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12"/>
            <w:shd w:val="clear" w:color="auto" w:fill="DCE6F1"/>
          </w:tcPr>
          <w:p>
            <w:r>
              <w:rPr>
                <w:sz w:val="18"/>
              </w:rPr>
              <w:t>Students have higher Insertion AUC than teacher — smaller models use key features more efficiently</w:t>
            </w:r>
          </w:p>
        </w:tc>
        <w:tc>
          <w:tcPr>
            <w:tcW w:type="dxa" w:w="3600"/>
            <w:shd w:val="clear" w:color="auto" w:fill="DCE6F1"/>
          </w:tcPr>
          <w:p>
            <w:r>
              <w:rPr>
                <w:sz w:val="18"/>
              </w:rPr>
              <w:t>Counter-intuitive finding; contradicts assumption that large models are always more explainable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18"/>
              </w:rPr>
              <w:t>[DONE] Complete (data exists)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Testing whether Spearman ρ agreement predicts corruption robustness (practical proxy metric)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Would give practitioners a training-time signal to predict field deployment resilience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[PENDING] Pending robustness run</w:t>
            </w:r>
          </w:p>
        </w:tc>
      </w:tr>
    </w:tbl>
    <w:p>
      <w:pPr>
        <w:pStyle w:val="Heading1"/>
        <w:jc w:val="left"/>
      </w:pPr>
      <w:r>
        <w:rPr>
          <w:color w:val="1F497D"/>
        </w:rPr>
        <w:t>8.  Estimated Completion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040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160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Estimated Time</w:t>
            </w:r>
          </w:p>
        </w:tc>
        <w:tc>
          <w:tcPr>
            <w:tcW w:type="dxa" w:w="1728"/>
            <w:shd w:val="clear" w:color="auto" w:fill="1F49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Robustness benchmark (all 3 models × 5 corruptions × 3 severities)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 min GPU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[PENDING] Running</w:t>
            </w:r>
          </w:p>
        </w:tc>
      </w:tr>
      <w:tr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Statistical significance tests (Table 4)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~10 min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[PENDING] After robustness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Generate all figures (confusion matrix, ROC, Grad-CAM grids, scatter)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🔲 To Do</w:t>
            </w:r>
          </w:p>
        </w:tc>
      </w:tr>
      <w:tr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Write Results &amp; Discussion section with real numbers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~2 days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🔲 To Do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Update abstract + contributions to match real 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~0.5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🔲 To Do</w:t>
            </w:r>
          </w:p>
        </w:tc>
      </w:tr>
      <w:tr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Expand references (13 → 25 papers)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~0.5 day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🔲 To Do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Add limitations + data availability statement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~0.5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🔲 To Do</w:t>
            </w:r>
          </w:p>
        </w:tc>
      </w:tr>
      <w:tr>
        <w:tc>
          <w:tcPr>
            <w:tcW w:type="dxa" w:w="5040"/>
            <w:shd w:val="clear" w:color="auto" w:fill="DCE6F1"/>
          </w:tcPr>
          <w:p>
            <w:r>
              <w:rPr>
                <w:sz w:val="18"/>
              </w:rPr>
              <w:t>Final LaTeX compile + PDF review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~0.5 day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🔲 To Do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TOTAL estimated to submission-ready 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~5–7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  <w:jc w:val="left"/>
      </w:pPr>
      <w:r>
        <w:rPr>
          <w:color w:val="1F497D"/>
        </w:rPr>
        <w:t>9.  Tools and Code Stack</w:t>
      </w:r>
    </w:p>
    <w:p>
      <w:r>
        <w:t xml:space="preserve">  • Language: Python 3.10 (dedicated virtual environment)</w:t>
        <w:br/>
        <w:t xml:space="preserve">  • Deep Learning: PyTorch 2.x + timm (for Swin-T), torchvision (for MobileNetV3)</w:t>
        <w:br/>
        <w:t xml:space="preserve">  • XAI: Custom Grad-CAM implementation with proper hook management for both architectures</w:t>
        <w:br/>
        <w:t xml:space="preserve">  • Metrics: scikit-learn, scipy (stats), scikit-image (SSIM), numpy</w:t>
        <w:br/>
        <w:t xml:space="preserve">  • Hardware: NVIDIA GeForce RTX 4060 Laptop GPU (CUDA 12.1)</w:t>
        <w:br/>
        <w:t xml:space="preserve">  • Dataset: Mendeley Mango Leaf Disease Dataset (Rahman et al., 2024)</w:t>
        <w:br/>
        <w:t xml:space="preserve">  • Manuscript: LaTeX (IEEEtran-style, targeting Elsevier journal template)</w:t>
        <w:br/>
        <w:t xml:space="preserve">  • Code location: d:\code\Mangoleaf\</w:t>
        <w:br/>
        <w:t xml:space="preserve">  • All training checkpoints, result JSONs, and tables saved in organized subdirectories</w:t>
      </w:r>
    </w:p>
    <w:p/>
    <w:p>
      <w:pPr>
        <w:jc w:val="center"/>
      </w:pPr>
      <w:r>
        <w:rPr>
          <w:i/>
          <w:color w:val="808080"/>
          <w:sz w:val="18"/>
        </w:rPr>
        <w:t>This report was auto-generated from live experimental results on 13 September 2026. All accuracy numbers and XAI metrics are from actual model runs — not estimated.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