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4"/>
        </w:rPr>
        <w:t>RESEARCH PROJECT SPECIFICATION &amp; EMPIRICAL RESULTS REPORT</w:t>
      </w:r>
    </w:p>
    <w:p>
      <w:pPr>
        <w:spacing w:after="240"/>
      </w:pPr>
      <w:r>
        <w:rPr>
          <w:i/>
          <w:color w:val="555555"/>
          <w:sz w:val="21"/>
        </w:rPr>
        <w:t>Completed Multi-Set Distillation Benchmark across 4 Architectural Quadrants</w:t>
        <w:br/>
        <w:t>Target Journal: Smart Agricultural Technology (Elsevier)</w:t>
      </w:r>
    </w:p>
    <w:p>
      <w:pPr>
        <w:spacing w:before="160" w:after="80"/>
      </w:pPr>
      <w:r>
        <w:rPr>
          <w:b/>
          <w:color w:val="1B365D"/>
          <w:sz w:val="26"/>
        </w:rPr>
        <w:t>1. Executive Summary &amp; Experimental Design</w:t>
      </w:r>
    </w:p>
    <w:p>
      <w:pPr>
        <w:spacing w:after="160"/>
      </w:pPr>
      <w:r>
        <w:t>To rigorously address the question 'Does Knowledge Distillation Preserve Diagnostic Reasoning?', we evaluated a structured 4-Model System implemented across 4 distinct vision families on a group-aware, leak-free mango leaf pathology dataset. Each family pairs one high-capacity Teacher model with three compact Student variants (Plain Cross-Entropy, Standard Soft Logit Distillation, and Explanation-Guided XKD with Grad-CAM alignment).</w:t>
      </w:r>
    </w:p>
    <w:p>
      <w:pPr>
        <w:spacing w:before="240" w:after="80"/>
      </w:pPr>
      <w:r>
        <w:rPr>
          <w:b/>
          <w:color w:val="1B365D"/>
          <w:sz w:val="26"/>
        </w:rPr>
        <w:t>2. Completed Benchmark Results Across All 4 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Role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 &amp; Method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Params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Acc (%)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 (%)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 AUC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1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Teacher (Master)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Swin-T (CE)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27.53M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99.38%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99.37%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1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3 (XKD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MobileNetV3-Small (XKD from Swin-T)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1.53M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98.44%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98.43%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0.998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2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Teacher (Master)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ConvNeXt-Tiny (CE)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27.83M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99.06%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99.06%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2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1 (Plain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MobileNetV4-Small (Plain CE)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2.50M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96.25%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96.23%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0.978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2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2 (Distilled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MobileNetV4-Small (KD from ConvNeXt)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2.50M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98.12%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98.12%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0.996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2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3 (XKD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MobileNetV4-Small (XKD from ConvNeXt)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2.50M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96.88%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96.85%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0.991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3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Teacher (Master)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EfficientNetV2-Small (CE)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20.19M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99.53%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99.53%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3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1 (Plain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EfficientNet-B0 (Plain CE)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4.02M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99.06%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99.06%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3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2 (Distilled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EfficientNet-B0 (KD from EffNetV2)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4.02M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99.22%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99.22%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0.999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3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3 (XKD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EfficientNet-B0 (XKD from EffNetV2)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4.02M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99.06%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99.07%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0.998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4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Teacher (Master)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MaxViT-Tiny (CE)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30.41M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98.91%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98.91%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4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1 (Plain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GhostNet (Plain CE)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3.91M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98.75%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98.74%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0.999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4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2 (Distilled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GhostNet (KD from MaxViT)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3.91M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98.91%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98.91%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Set 4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Child 3 (XKD Student)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GhostNet (XKD from MaxViT)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3.91M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99.06%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99.06%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0.999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B365D"/>
          <w:sz w:val="26"/>
        </w:rPr>
        <w:t>3. High-Resolution Visual Deliverables (300 DPI)</w:t>
      </w:r>
    </w:p>
    <w:p>
      <w:pPr>
        <w:spacing w:after="120"/>
      </w:pPr>
      <w:r>
        <w:t>All 39 publication-grade figures have been rendered at 300 DPI in 'd:\code\Mangoleaf\all_models_evaluations\figures\':</w:t>
      </w:r>
    </w:p>
    <w:p>
      <w:pPr>
        <w:pStyle w:val="ListBullet"/>
        <w:spacing w:after="60"/>
      </w:pPr>
      <w:r>
        <w:rPr>
          <w:b/>
        </w:rPr>
        <w:t xml:space="preserve">14 Confusion Matrices (cm_*.png): </w:t>
      </w:r>
      <w:r>
        <w:t>Normalized and raw 8x8 heatmaps displaying exact per-class precision across all 8 diseases.</w:t>
      </w:r>
    </w:p>
    <w:p>
      <w:pPr>
        <w:pStyle w:val="ListBullet"/>
        <w:spacing w:after="60"/>
      </w:pPr>
      <w:r>
        <w:rPr>
          <w:b/>
        </w:rPr>
        <w:t xml:space="preserve">14 Multi-Class ROC Curves (roc_*.png): </w:t>
      </w:r>
      <w:r>
        <w:t>One-vs-Rest ROC curve per disease with individual AUC values and macro-average curves (all achieving 0.98+ AUC).</w:t>
      </w:r>
    </w:p>
    <w:p>
      <w:pPr>
        <w:pStyle w:val="ListBullet"/>
        <w:spacing w:after="60"/>
      </w:pPr>
      <w:r>
        <w:rPr>
          <w:b/>
        </w:rPr>
        <w:t xml:space="preserve">14 Training Dynamics Curves (curves_*.png): </w:t>
      </w:r>
      <w:r>
        <w:t>Epoch-by-epoch tracking of training/validation loss convergence and accuracy progression.</w:t>
      </w:r>
    </w:p>
    <w:p>
      <w:pPr>
        <w:pStyle w:val="ListBullet"/>
        <w:spacing w:after="60"/>
      </w:pPr>
      <w:r>
        <w:rPr>
          <w:b/>
        </w:rPr>
        <w:t xml:space="preserve">Master Comparative Bar Chart (all_sets_master_comparison.png): </w:t>
      </w:r>
      <w:r>
        <w:t>Consolidated figure displaying cross-architectural distillation gains across all 4 Sets.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