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320"/>
      </w:pPr>
      <w:r>
        <w:rPr>
          <w:rFonts w:ascii="Noto Sans CJK SC" w:hAnsi="Noto Sans CJK SC" w:eastAsia="Noto Sans CJK SC"/>
          <w:b/>
          <w:color w:val="136C77"/>
          <w:sz w:val="20"/>
        </w:rPr>
        <w:t>PROJECT BRIEFING   /   INTERNAL</w:t>
      </w:r>
    </w:p>
    <w:p>
      <w:pPr>
        <w:spacing w:after="240"/>
      </w:pPr>
      <w:r>
        <w:rPr>
          <w:rFonts w:ascii="Noto Sans CJK SC" w:hAnsi="Noto Sans CJK SC" w:eastAsia="Noto Sans CJK SC"/>
          <w:b/>
          <w:color w:val="173348"/>
          <w:sz w:val="54"/>
        </w:rPr>
        <w:t>summary1</w:t>
      </w:r>
    </w:p>
    <w:p>
      <w:pPr>
        <w:spacing w:after="400"/>
      </w:pPr>
      <w:r>
        <w:rPr>
          <w:rFonts w:ascii="Noto Sans CJK SC" w:hAnsi="Noto Sans CJK SC" w:eastAsia="Noto Sans CJK SC"/>
          <w:b w:val="0"/>
          <w:color w:val="136C77"/>
          <w:sz w:val="26"/>
        </w:rPr>
        <w:t>总裁 AI 助手项目｜会话及材料综合纪要</w:t>
      </w:r>
    </w:p>
    <w:p>
      <w:pPr>
        <w:spacing w:after="560"/>
      </w:pPr>
      <w:r>
        <w:rPr>
          <w:rFonts w:ascii="Noto Sans CJK SC" w:hAnsi="Noto Sans CJK SC" w:eastAsia="Noto Sans CJK SC"/>
          <w:b w:val="0"/>
          <w:color w:val="213344"/>
          <w:sz w:val="21"/>
        </w:rPr>
        <w:t>对本次会话中讨论过的需求、竞品、研究方法、企业微信选型、Codex 开发工具以及公司最新 Notes 进行统一整理。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468"/>
            <w:shd w:fill="EFF5F6"/>
          </w:tcPr>
          <w:p>
            <w:pPr>
              <w:spacing w:before="160" w:after="100"/>
            </w:pPr>
            <w:r/>
            <w:r>
              <w:rPr>
                <w:rFonts w:ascii="Noto Sans CJK SC" w:hAnsi="Noto Sans CJK SC" w:eastAsia="Noto Sans CJK SC"/>
                <w:b/>
                <w:color w:val="136C77"/>
                <w:sz w:val="19"/>
              </w:rPr>
              <w:t>阅读前提</w:t>
            </w:r>
          </w:p>
          <w:p>
            <w:pPr>
              <w:pStyle w:val="BodyTight"/>
              <w:ind w:left="68"/>
            </w:pPr>
            <w:r>
              <w:rPr>
                <w:rFonts w:ascii="Noto Sans CJK SC" w:hAnsi="Noto Sans CJK SC" w:eastAsia="Noto Sans CJK SC"/>
                <w:b w:val="0"/>
                <w:color w:val="213344"/>
                <w:sz w:val="18"/>
              </w:rPr>
              <w:t>•  以 scope.docx 记录的“全过程工程管理系统”为初始范围，以 Notes.pages 明确的业务重点为最新补充。</w:t>
            </w:r>
          </w:p>
          <w:p>
            <w:pPr>
              <w:pStyle w:val="BodyTight"/>
              <w:ind w:left="68"/>
            </w:pPr>
            <w:r>
              <w:rPr>
                <w:rFonts w:ascii="Noto Sans CJK SC" w:hAnsi="Noto Sans CJK SC" w:eastAsia="Noto Sans CJK SC"/>
                <w:b w:val="0"/>
                <w:color w:val="213344"/>
                <w:sz w:val="18"/>
              </w:rPr>
              <w:t>•  区分【公司提供的信息】与【讨论中形成的建议】；未确认事项不可直接当作开发定案。</w:t>
            </w:r>
          </w:p>
          <w:p>
            <w:pPr>
              <w:pStyle w:val="BodyTight"/>
              <w:ind w:left="68"/>
            </w:pPr>
            <w:r>
              <w:rPr>
                <w:rFonts w:ascii="Noto Sans CJK SC" w:hAnsi="Noto Sans CJK SC" w:eastAsia="Noto Sans CJK SC"/>
                <w:b w:val="0"/>
                <w:color w:val="213344"/>
                <w:sz w:val="18"/>
              </w:rPr>
              <w:t>•  竞品功能和开源项目热度会变化；技术实施前应再核对相应官方文档、版本与企业权限。</w:t>
            </w:r>
          </w:p>
        </w:tc>
      </w:tr>
    </w:tbl>
    <w:p>
      <w:pPr>
        <w:spacing w:before="520"/>
      </w:pPr>
    </w:p>
    <w:p>
      <w:pPr>
        <w:spacing w:after="140"/>
      </w:pPr>
      <w:r>
        <w:rPr>
          <w:rFonts w:ascii="Noto Sans CJK SC" w:hAnsi="Noto Sans CJK SC" w:eastAsia="Noto Sans CJK SC"/>
          <w:b/>
          <w:color w:val="637684"/>
          <w:sz w:val="18"/>
        </w:rPr>
        <w:t xml:space="preserve">文档性质  </w:t>
      </w:r>
      <w:r>
        <w:rPr>
          <w:rFonts w:ascii="Noto Sans CJK SC" w:hAnsi="Noto Sans CJK SC" w:eastAsia="Noto Sans CJK SC"/>
          <w:b w:val="0"/>
          <w:color w:val="173348"/>
          <w:sz w:val="18"/>
        </w:rPr>
        <w:t>会话总结 / 研究与建议，不等同于公司已审批的需求</w:t>
      </w:r>
    </w:p>
    <w:p>
      <w:pPr>
        <w:spacing w:after="140"/>
      </w:pPr>
      <w:r>
        <w:rPr>
          <w:rFonts w:ascii="Noto Sans CJK SC" w:hAnsi="Noto Sans CJK SC" w:eastAsia="Noto Sans CJK SC"/>
          <w:b/>
          <w:color w:val="637684"/>
          <w:sz w:val="18"/>
        </w:rPr>
        <w:t xml:space="preserve">资料基线  </w:t>
      </w:r>
      <w:r>
        <w:rPr>
          <w:rFonts w:ascii="Noto Sans CJK SC" w:hAnsi="Noto Sans CJK SC" w:eastAsia="Noto Sans CJK SC"/>
          <w:b w:val="0"/>
          <w:color w:val="173348"/>
          <w:sz w:val="18"/>
        </w:rPr>
        <w:t>scope.docx；Notes.pages；本次对话中前两轮技术讨论</w:t>
      </w:r>
    </w:p>
    <w:p>
      <w:pPr>
        <w:spacing w:after="140"/>
      </w:pPr>
      <w:r>
        <w:rPr>
          <w:rFonts w:ascii="Noto Sans CJK SC" w:hAnsi="Noto Sans CJK SC" w:eastAsia="Noto Sans CJK SC"/>
          <w:b/>
          <w:color w:val="637684"/>
          <w:sz w:val="18"/>
        </w:rPr>
        <w:t xml:space="preserve">整理日期  </w:t>
      </w:r>
      <w:r>
        <w:rPr>
          <w:rFonts w:ascii="Noto Sans CJK SC" w:hAnsi="Noto Sans CJK SC" w:eastAsia="Noto Sans CJK SC"/>
          <w:b w:val="0"/>
          <w:color w:val="173348"/>
          <w:sz w:val="18"/>
        </w:rPr>
        <w:t>2026 年 10 月 8 日</w:t>
      </w:r>
    </w:p>
    <w:p>
      <w:r>
        <w:br w:type="page"/>
      </w:r>
    </w:p>
    <w:p>
      <w:pPr>
        <w:pStyle w:val="Heading1"/>
      </w:pPr>
      <w:r>
        <w:t>01  项目来龙去脉与核心结论</w:t>
      </w:r>
    </w:p>
    <w:p>
      <w:r>
        <w:t>最初诉求是为公司总裁建设一套可以在微信或企业微信中使用的 AI 助手，使其更便捷地了解工程项目、推动任务执行。阅读 scope 后，讨论将其定位为“垂直于工程管理的业务系统 + 对话式管理入口”，而非仅能聊天的总裁秘书。之后进一步讨论了现成案例、论文与工作流方法，以及采用企业微信自建应用、Codex 和开发 Harness 的可行路线。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68"/>
            <w:shd w:fill="EFF5F6"/>
          </w:tcPr>
          <w:p>
            <w:pPr>
              <w:spacing w:before="140" w:after="140"/>
            </w:pPr>
            <w:r>
              <w:rPr>
                <w:rFonts w:ascii="Noto Sans CJK SC" w:hAnsi="Noto Sans CJK SC" w:eastAsia="Noto Sans CJK SC"/>
                <w:b/>
                <w:color w:val="136C77"/>
                <w:sz w:val="18"/>
              </w:rPr>
              <w:t xml:space="preserve">会话形成的主线  </w:t>
            </w:r>
            <w:r>
              <w:rPr>
                <w:rFonts w:ascii="Noto Sans CJK SC" w:hAnsi="Noto Sans CJK SC" w:eastAsia="Noto Sans CJK SC"/>
                <w:b w:val="0"/>
                <w:color w:val="213344"/>
                <w:sz w:val="18"/>
              </w:rPr>
              <w:t>工程任务必须先结构化、留痕和形成规则化督办闭环；总裁 AI 助手在此基础上查询、总结与解释风险。AI 负责理解与表达，业务系统负责权限、状态和规则执行。</w:t>
            </w:r>
          </w:p>
        </w:tc>
      </w:tr>
    </w:tbl>
    <w:p>
      <w:pPr>
        <w:spacing w:after="0"/>
      </w:pPr>
    </w:p>
    <w:p>
      <w:pPr>
        <w:pStyle w:val="Heading2"/>
      </w:pPr>
      <w:r>
        <w:t>scope.docx 明确的初始定位（公司提供）</w:t>
      </w:r>
    </w:p>
    <w:p>
      <w:r>
        <w:t>建设 AI 驱动的全过程工程管理系统，区别于常规人事办公 OA，围绕“任务是否完成、为什么未完成、谁需要介入”建立闭环：任务明确分配 → 执行过程留痕 → AI 自动督办 → 异常逐级升级 → 数据客观分析。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143"/>
      </w:tblGrid>
      <w:tr>
        <w:trPr>
          <w:tblHeader w:val="true"/>
          <w:cantSplit/>
        </w:trPr>
        <w:tc>
          <w:tcPr>
            <w:tcW w:type="dxa" w:w="2324"/>
            <w:shd w:fill="173348"/>
            <w:vAlign w:val="center"/>
          </w:tcPr>
          <w:p>
            <w:pPr>
              <w:spacing w:before="80" w:after="8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7143"/>
            <w:shd w:fill="173348"/>
            <w:vAlign w:val="center"/>
          </w:tcPr>
          <w:p>
            <w:pPr>
              <w:spacing w:before="80" w:after="8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文件原始关注点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任务分发与追踪</w:t>
            </w:r>
          </w:p>
        </w:tc>
        <w:tc>
          <w:tcPr>
            <w:tcW w:type="dxa" w:w="7143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围绕工程节点分解任务；指定专业部门和具体责任人；记录设计出图、甲方反馈和施工跟进。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AI 智能督办</w:t>
            </w:r>
          </w:p>
        </w:tc>
        <w:tc>
          <w:tcPr>
            <w:tcW w:type="dxa" w:w="7143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到期或外部沟通任务自动提醒；降低项目经理人盯人的时间成本。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超时预警与逐级升级</w:t>
            </w:r>
          </w:p>
        </w:tc>
        <w:tc>
          <w:tcPr>
            <w:tcW w:type="dxa" w:w="7143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无响应、严重逾期或长期无反馈时，根据规则提升到更高级管理者。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交付物与流转留痕</w:t>
            </w:r>
          </w:p>
        </w:tc>
        <w:tc>
          <w:tcPr>
            <w:tcW w:type="dxa" w:w="7143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统一记录图纸、文件、验收报告、甲方修改意见及二次反馈时间。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数据看板</w:t>
            </w:r>
          </w:p>
        </w:tc>
        <w:tc>
          <w:tcPr>
            <w:tcW w:type="dxa" w:w="7143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记录响应时长、逾期次数、上报频率等执行数据，供管理层分析。</w:t>
            </w:r>
          </w:p>
        </w:tc>
      </w:tr>
    </w:tbl>
    <w:p>
      <w:pPr>
        <w:spacing w:after="0"/>
      </w:pPr>
    </w:p>
    <w:p>
      <w:r>
        <w:t>角色：员工接收任务并反馈；项目经理统筹、处理初级异常；总裁/高管接收跨项目摘要和严重异常。scope 的收益表述包括管理降本、执行提效与权责清晰。</w:t>
      </w:r>
    </w:p>
    <w:p>
      <w:pPr>
        <w:pStyle w:val="Heading2"/>
      </w:pPr>
      <w:r>
        <w:t>Notes.pages 新增的公司信息（重点）</w:t>
      </w:r>
    </w:p>
    <w:p>
      <w:r>
        <w:t>最新备注给出两条业务描述，原文顺序如下。注意：其前两项“项目名称、服务内容”可能更接近项目字段，而不一定是流程状态；是否严格顺序推进仍须与业务人员核对。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483"/>
      </w:tblGrid>
      <w:tr>
        <w:trPr>
          <w:tblHeader w:val="true"/>
          <w:cantSplit/>
        </w:trPr>
        <w:tc>
          <w:tcPr>
            <w:tcW w:type="dxa" w:w="1984"/>
            <w:shd w:fill="173348"/>
            <w:vAlign w:val="center"/>
          </w:tcPr>
          <w:p>
            <w:pPr>
              <w:spacing w:before="80" w:after="8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业务类型</w:t>
            </w:r>
          </w:p>
        </w:tc>
        <w:tc>
          <w:tcPr>
            <w:tcW w:type="dxa" w:w="7483"/>
            <w:shd w:fill="173348"/>
            <w:vAlign w:val="center"/>
          </w:tcPr>
          <w:p>
            <w:pPr>
              <w:spacing w:before="80" w:after="8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Notes 中的描述顺序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全过程咨询服务</w:t>
            </w:r>
          </w:p>
        </w:tc>
        <w:tc>
          <w:tcPr>
            <w:tcW w:type="dxa" w:w="7483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项目名称 → 服务内容 → 项目情况 → 项目进度 → 竣工验收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建筑设计</w:t>
            </w:r>
          </w:p>
        </w:tc>
        <w:tc>
          <w:tcPr>
            <w:tcW w:type="dxa" w:w="7483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项目名称 → 服务内容 → 方案设计 → 施工图设计 → 审图完成 → 设计变更 → 竣工验收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68"/>
            <w:shd w:fill="EFF5F6"/>
          </w:tcPr>
          <w:p>
            <w:pPr>
              <w:spacing w:before="140" w:after="140"/>
            </w:pPr>
            <w:r>
              <w:rPr>
                <w:rFonts w:ascii="Noto Sans CJK SC" w:hAnsi="Noto Sans CJK SC" w:eastAsia="Noto Sans CJK SC"/>
                <w:b/>
                <w:color w:val="136C77"/>
                <w:sz w:val="18"/>
              </w:rPr>
              <w:t xml:space="preserve">最新工作重点  </w:t>
            </w:r>
            <w:r>
              <w:rPr>
                <w:rFonts w:ascii="Noto Sans CJK SC" w:hAnsi="Noto Sans CJK SC" w:eastAsia="Noto Sans CJK SC"/>
                <w:b w:val="0"/>
                <w:color w:val="213344"/>
                <w:sz w:val="18"/>
              </w:rPr>
              <w:t>优先从“公司项目统筹跟进”和“方案设计跟进”切入；公司“以项目管理为主、设计为辅”。这应覆盖或调整先前对 MVP 的泛化范围。</w:t>
            </w:r>
          </w:p>
        </w:tc>
      </w:tr>
    </w:tbl>
    <w:p>
      <w:pPr>
        <w:spacing w:after="0"/>
      </w:pPr>
    </w:p>
    <w:p>
      <w:r>
        <w:t>Notes 中还列出小红书“申江海建筑工作室”作为参考示例，备注认为其设计为主、管理为辅，而本公司相反。这是内部比较线索，尚未进行外部案例核验，不应当作竞品已验证能力。</w:t>
      </w:r>
    </w:p>
    <w:p>
      <w:pPr>
        <w:pStyle w:val="Heading1"/>
      </w:pPr>
      <w:r>
        <w:t>02  已讨论的产品案例与研究方法</w:t>
      </w:r>
    </w:p>
    <w:p>
      <w:r>
        <w:t>第一轮讨论重点并非寻找传统行政秘书产品，而是借鉴 AI PMO、工程风险管理、资料留痕与自动化工作流。以下为会话曾建议调研的对象；落地前应依据实际版本和客户权限复核功能。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4706"/>
        <w:gridCol w:w="2835"/>
      </w:tblGrid>
      <w:tr>
        <w:trPr>
          <w:tblHeader w:val="true"/>
          <w:cantSplit/>
        </w:trPr>
        <w:tc>
          <w:tcPr>
            <w:tcW w:type="dxa" w:w="1928"/>
            <w:shd w:fill="173348"/>
            <w:vAlign w:val="center"/>
          </w:tcPr>
          <w:p>
            <w:pPr>
              <w:spacing w:before="80" w:after="8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案例</w:t>
            </w:r>
          </w:p>
        </w:tc>
        <w:tc>
          <w:tcPr>
            <w:tcW w:type="dxa" w:w="4706"/>
            <w:shd w:fill="173348"/>
            <w:vAlign w:val="center"/>
          </w:tcPr>
          <w:p>
            <w:pPr>
              <w:spacing w:before="80" w:after="8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借鉴要点</w:t>
            </w:r>
          </w:p>
        </w:tc>
        <w:tc>
          <w:tcPr>
            <w:tcW w:type="dxa" w:w="2835"/>
            <w:shd w:fill="173348"/>
            <w:vAlign w:val="center"/>
          </w:tcPr>
          <w:p>
            <w:pPr>
              <w:spacing w:before="80" w:after="8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适用环节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飞书项目 AI</w:t>
            </w:r>
          </w:p>
        </w:tc>
        <w:tc>
          <w:tcPr>
            <w:tcW w:type="dxa" w:w="4706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自然语言项目查询、项目巡检、任务与工作流结合。</w:t>
            </w:r>
          </w:p>
        </w:tc>
        <w:tc>
          <w:tcPr>
            <w:tcW w:type="dxa" w:w="2835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总裁对话、PMO 视图与自动巡检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Autodesk Construction IQ</w:t>
            </w:r>
          </w:p>
        </w:tc>
        <w:tc>
          <w:tcPr>
            <w:tcW w:type="dxa" w:w="4706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从风险严重性和下游影响排序，不只看逾期时间。</w:t>
            </w:r>
          </w:p>
        </w:tc>
        <w:tc>
          <w:tcPr>
            <w:tcW w:type="dxa" w:w="2835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工程项目异常优先级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Procore AI</w:t>
            </w:r>
          </w:p>
        </w:tc>
        <w:tc>
          <w:tcPr>
            <w:tcW w:type="dxa" w:w="4706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关联图纸、RFI、报审资料、工地记录，提供证据链。</w:t>
            </w:r>
          </w:p>
        </w:tc>
        <w:tc>
          <w:tcPr>
            <w:tcW w:type="dxa" w:w="2835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甲方反馈与设计流转留痕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Asana AI Studio</w:t>
            </w:r>
          </w:p>
        </w:tc>
        <w:tc>
          <w:tcPr>
            <w:tcW w:type="dxa" w:w="4706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规则触发、工作流、审批和任务自动处理。</w:t>
            </w:r>
          </w:p>
        </w:tc>
        <w:tc>
          <w:tcPr>
            <w:tcW w:type="dxa" w:w="2835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催办、审批、逐级上报</w:t>
            </w:r>
          </w:p>
        </w:tc>
      </w:tr>
    </w:tbl>
    <w:p>
      <w:pPr>
        <w:spacing w:after="0"/>
      </w:pPr>
    </w:p>
    <w:p>
      <w:pPr>
        <w:pStyle w:val="Heading2"/>
      </w:pPr>
      <w:r>
        <w:t>方法与学术线索</w:t>
      </w:r>
    </w:p>
    <w:p>
      <w:pPr>
        <w:pStyle w:val="BodyTight"/>
        <w:ind w:left="255" w:hanging="181"/>
      </w:pPr>
      <w:r>
        <w:rPr>
          <w:rFonts w:ascii="Noto Sans CJK SC" w:hAnsi="Noto Sans CJK SC" w:eastAsia="Noto Sans CJK SC"/>
          <w:b/>
          <w:color w:val="136C77"/>
          <w:sz w:val="18"/>
        </w:rPr>
        <w:t xml:space="preserve">•  </w:t>
      </w:r>
      <w:r>
        <w:rPr>
          <w:rFonts w:ascii="Noto Sans CJK SC" w:hAnsi="Noto Sans CJK SC" w:eastAsia="Noto Sans CJK SC"/>
          <w:b w:val="0"/>
          <w:color w:val="213344"/>
          <w:sz w:val="18"/>
        </w:rPr>
        <w:t>BPMN 2.0：用可审核的状态与计时器建模任务分派、等待外部反馈、升级、重新提交与完结。适合第一阶段。</w:t>
      </w:r>
    </w:p>
    <w:p>
      <w:pPr>
        <w:pStyle w:val="BodyTight"/>
        <w:ind w:left="255" w:hanging="181"/>
      </w:pPr>
      <w:r>
        <w:rPr>
          <w:rFonts w:ascii="Noto Sans CJK SC" w:hAnsi="Noto Sans CJK SC" w:eastAsia="Noto Sans CJK SC"/>
          <w:b/>
          <w:color w:val="136C77"/>
          <w:sz w:val="18"/>
        </w:rPr>
        <w:t xml:space="preserve">•  </w:t>
      </w:r>
      <w:r>
        <w:rPr>
          <w:rFonts w:ascii="Noto Sans CJK SC" w:hAnsi="Noto Sans CJK SC" w:eastAsia="Noto Sans CJK SC"/>
          <w:b w:val="0"/>
          <w:color w:val="213344"/>
          <w:sz w:val="18"/>
        </w:rPr>
        <w:t>Predictive Process Monitoring：基于历史事件日志，预测结果或剩余处理时长；需要足够数据，适合后期。</w:t>
      </w:r>
    </w:p>
    <w:p>
      <w:pPr>
        <w:pStyle w:val="BodyTight"/>
        <w:ind w:left="255" w:hanging="181"/>
      </w:pPr>
      <w:r>
        <w:rPr>
          <w:rFonts w:ascii="Noto Sans CJK SC" w:hAnsi="Noto Sans CJK SC" w:eastAsia="Noto Sans CJK SC"/>
          <w:b/>
          <w:color w:val="136C77"/>
          <w:sz w:val="18"/>
        </w:rPr>
        <w:t xml:space="preserve">•  </w:t>
      </w:r>
      <w:r>
        <w:rPr>
          <w:rFonts w:ascii="Noto Sans CJK SC" w:hAnsi="Noto Sans CJK SC" w:eastAsia="Noto Sans CJK SC"/>
          <w:b w:val="0"/>
          <w:color w:val="213344"/>
          <w:sz w:val="18"/>
        </w:rPr>
        <w:t>Process Mining：从真实记录中识别多部门协作瓶颈，不能在无历史数据时保证效果。</w:t>
      </w:r>
    </w:p>
    <w:p>
      <w:pPr>
        <w:pStyle w:val="BodyTight"/>
        <w:ind w:left="255" w:hanging="181"/>
      </w:pPr>
      <w:r>
        <w:rPr>
          <w:rFonts w:ascii="Noto Sans CJK SC" w:hAnsi="Noto Sans CJK SC" w:eastAsia="Noto Sans CJK SC"/>
          <w:b/>
          <w:color w:val="136C77"/>
          <w:sz w:val="18"/>
        </w:rPr>
        <w:t xml:space="preserve">•  </w:t>
      </w:r>
      <w:r>
        <w:rPr>
          <w:rFonts w:ascii="Noto Sans CJK SC" w:hAnsi="Noto Sans CJK SC" w:eastAsia="Noto Sans CJK SC"/>
          <w:b w:val="0"/>
          <w:color w:val="213344"/>
          <w:sz w:val="18"/>
        </w:rPr>
        <w:t>RAG：让 AI 根据权限检索可追溯的工程文件、任务记录并生成带证据的答案；范围须受控。</w:t>
      </w:r>
    </w:p>
    <w:p>
      <w:pPr>
        <w:pStyle w:val="BodyTight"/>
        <w:ind w:left="255" w:hanging="181"/>
      </w:pPr>
      <w:r>
        <w:rPr>
          <w:rFonts w:ascii="Noto Sans CJK SC" w:hAnsi="Noto Sans CJK SC" w:eastAsia="Noto Sans CJK SC"/>
          <w:b/>
          <w:color w:val="136C77"/>
          <w:sz w:val="18"/>
        </w:rPr>
        <w:t xml:space="preserve">•  </w:t>
      </w:r>
      <w:r>
        <w:rPr>
          <w:rFonts w:ascii="Noto Sans CJK SC" w:hAnsi="Noto Sans CJK SC" w:eastAsia="Noto Sans CJK SC"/>
          <w:b w:val="0"/>
          <w:color w:val="213344"/>
          <w:sz w:val="18"/>
        </w:rPr>
        <w:t>此前会话还提出工程 RFI 数字化及工程 ML 综述等检索方向。正式论文综述需单独完成原文、方法及适用性核验，本纪要不把它们当作已实施方案。</w:t>
      </w:r>
    </w:p>
    <w:p>
      <w:pPr>
        <w:pStyle w:val="Heading1"/>
      </w:pPr>
      <w:r>
        <w:t>03  企业微信产品形态的讨论结果</w:t>
      </w:r>
    </w:p>
    <w:p>
      <w:r>
        <w:t>讨论后倾向“企业微信自建应用为主，独立工程项目后端为核心，智能机器人按需补充”。理由：项目需要不仅是总裁问答，还包含员工任务反馈、文件提交、项目看板、权限审核、确定性提醒和自动上报。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4195"/>
        <w:gridCol w:w="3685"/>
      </w:tblGrid>
      <w:tr>
        <w:trPr>
          <w:tblHeader w:val="true"/>
          <w:cantSplit/>
        </w:trPr>
        <w:tc>
          <w:tcPr>
            <w:tcW w:type="dxa" w:w="1587"/>
            <w:shd w:fill="173348"/>
            <w:vAlign w:val="center"/>
          </w:tcPr>
          <w:p>
            <w:pPr>
              <w:spacing w:before="80" w:after="8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4195"/>
            <w:shd w:fill="173348"/>
            <w:vAlign w:val="center"/>
          </w:tcPr>
          <w:p>
            <w:pPr>
              <w:spacing w:before="80" w:after="8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自建应用（优先）</w:t>
            </w:r>
          </w:p>
        </w:tc>
        <w:tc>
          <w:tcPr>
            <w:tcW w:type="dxa" w:w="3685"/>
            <w:shd w:fill="173348"/>
            <w:vAlign w:val="center"/>
          </w:tcPr>
          <w:p>
            <w:pPr>
              <w:spacing w:before="80" w:after="8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智能机器人（补充）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使用入口</w:t>
            </w:r>
          </w:p>
        </w:tc>
        <w:tc>
          <w:tcPr>
            <w:tcW w:type="dxa" w:w="4195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工作台、消息、H5 页面，便于完整流程</w:t>
            </w:r>
          </w:p>
        </w:tc>
        <w:tc>
          <w:tcPr>
            <w:tcW w:type="dxa" w:w="3685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聊天 / @ 机器人，适合轻量对话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主动通知</w:t>
            </w:r>
          </w:p>
        </w:tc>
        <w:tc>
          <w:tcPr>
            <w:tcW w:type="dxa" w:w="4195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经企业应用消息接口发送并审计</w:t>
            </w:r>
          </w:p>
        </w:tc>
        <w:tc>
          <w:tcPr>
            <w:tcW w:type="dxa" w:w="3685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依赖对应机器人 API 权限和能力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业务数据</w:t>
            </w:r>
          </w:p>
        </w:tc>
        <w:tc>
          <w:tcPr>
            <w:tcW w:type="dxa" w:w="4195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由独立后端持有项目、任务和审计</w:t>
            </w:r>
          </w:p>
        </w:tc>
        <w:tc>
          <w:tcPr>
            <w:tcW w:type="dxa" w:w="3685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应复用同一后端，不另建一套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适合阶段</w:t>
            </w:r>
          </w:p>
        </w:tc>
        <w:tc>
          <w:tcPr>
            <w:tcW w:type="dxa" w:w="4195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MVP 主入口</w:t>
            </w:r>
          </w:p>
        </w:tc>
        <w:tc>
          <w:tcPr>
            <w:tcW w:type="dxa" w:w="3685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后续自然语言协作增强</w:t>
            </w:r>
          </w:p>
        </w:tc>
      </w:tr>
    </w:tbl>
    <w:p>
      <w:pPr>
        <w:spacing w:after="0"/>
      </w:pPr>
    </w:p>
    <w:p>
      <w:r>
        <w:t>推荐结构：企业微信自建应用 → API/身份权限服务 → 项目任务数据库 + 文件/事件记录 → 定时工作流 → AI 的只读工具与问答摘要 → 总裁风险简报。定时提醒和逐级升级由业务规则触发，模型不自行决定惩罚或跳级。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68"/>
            <w:shd w:fill="FFF7E9"/>
          </w:tcPr>
          <w:p>
            <w:pPr>
              <w:spacing w:before="140" w:after="140"/>
            </w:pPr>
            <w:r>
              <w:rPr>
                <w:rFonts w:ascii="Noto Sans CJK SC" w:hAnsi="Noto Sans CJK SC" w:eastAsia="Noto Sans CJK SC"/>
                <w:b/>
                <w:color w:val="986B28"/>
                <w:sz w:val="18"/>
              </w:rPr>
              <w:t xml:space="preserve">接口与边界  </w:t>
            </w:r>
            <w:r>
              <w:rPr>
                <w:rFonts w:ascii="Noto Sans CJK SC" w:hAnsi="Noto Sans CJK SC" w:eastAsia="Noto Sans CJK SC"/>
                <w:b w:val="0"/>
                <w:color w:val="213344"/>
                <w:sz w:val="18"/>
              </w:rPr>
              <w:t>企业微信自建应用可以处理授权的应用消息与业务交互，但不得默认读取员工私人微信、所有普通群聊或未授权文档；账号权限、回调签名、消息去重和密钥保管是接入前置条件。</w:t>
            </w:r>
          </w:p>
        </w:tc>
      </w:tr>
    </w:tbl>
    <w:p>
      <w:pPr>
        <w:spacing w:after="0"/>
      </w:pPr>
    </w:p>
    <w:p>
      <w:pPr>
        <w:pStyle w:val="Heading1"/>
      </w:pPr>
      <w:r>
        <w:t>04  Codex、Skills、MCP 与 Harness 的讨论</w:t>
      </w:r>
    </w:p>
    <w:p>
      <w:r>
        <w:t>第二轮对话对开发环境进行了分层：Skills 是复用的操作规范；MCP 连接文档、浏览器或协作工具；Harness 管理“规格—计划—开发—测试—交付”的工作方式。它们是开发辅助工具，不会自动变成上线 AI 助手的业务能力。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005"/>
        <w:gridCol w:w="4422"/>
      </w:tblGrid>
      <w:tr>
        <w:trPr>
          <w:tblHeader w:val="true"/>
          <w:cantSplit/>
        </w:trPr>
        <w:tc>
          <w:tcPr>
            <w:tcW w:type="dxa" w:w="2041"/>
            <w:shd w:fill="173348"/>
            <w:vAlign w:val="center"/>
          </w:tcPr>
          <w:p>
            <w:pPr>
              <w:spacing w:before="80" w:after="8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3005"/>
            <w:shd w:fill="173348"/>
            <w:vAlign w:val="center"/>
          </w:tcPr>
          <w:p>
            <w:pPr>
              <w:spacing w:before="80" w:after="8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曾讨论的候选</w:t>
            </w:r>
          </w:p>
        </w:tc>
        <w:tc>
          <w:tcPr>
            <w:tcW w:type="dxa" w:w="4422"/>
            <w:shd w:fill="173348"/>
            <w:vAlign w:val="center"/>
          </w:tcPr>
          <w:p>
            <w:pPr>
              <w:spacing w:before="80" w:after="8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会话中的优先选择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开发主 Harness</w:t>
            </w:r>
          </w:p>
        </w:tc>
        <w:tc>
          <w:tcPr>
            <w:tcW w:type="dxa" w:w="3005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GitHub Spec Kit、OpenSpec、BMAD</w:t>
            </w:r>
          </w:p>
        </w:tc>
        <w:tc>
          <w:tcPr>
            <w:tcW w:type="dxa" w:w="4422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以 Spec Kit 为主；避免同时安装多个规划主流程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开发技能</w:t>
            </w:r>
          </w:p>
        </w:tc>
        <w:tc>
          <w:tcPr>
            <w:tcW w:type="dxa" w:w="3005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Superpowers</w:t>
            </w:r>
          </w:p>
        </w:tc>
        <w:tc>
          <w:tcPr>
            <w:tcW w:type="dxa" w:w="4422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用于 TDD、调试、代码审查；按需加入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文档 MCP</w:t>
            </w:r>
          </w:p>
        </w:tc>
        <w:tc>
          <w:tcPr>
            <w:tcW w:type="dxa" w:w="3005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Context7</w:t>
            </w:r>
          </w:p>
        </w:tc>
        <w:tc>
          <w:tcPr>
            <w:tcW w:type="dxa" w:w="4422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查询框架版本文档；企微文档仍要官方核对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浏览器 MCP</w:t>
            </w:r>
          </w:p>
        </w:tc>
        <w:tc>
          <w:tcPr>
            <w:tcW w:type="dxa" w:w="3005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Playwright MCP</w:t>
            </w:r>
          </w:p>
        </w:tc>
        <w:tc>
          <w:tcPr>
            <w:tcW w:type="dxa" w:w="4422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测试工作台、审批/任务界面和权限场景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代码协作 MCP</w:t>
            </w:r>
          </w:p>
        </w:tc>
        <w:tc>
          <w:tcPr>
            <w:tcW w:type="dxa" w:w="3005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GitHub MCP Server</w:t>
            </w:r>
          </w:p>
        </w:tc>
        <w:tc>
          <w:tcPr>
            <w:tcW w:type="dxa" w:w="4422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建好团队 GitHub 仓库后按需接入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项目规范</w:t>
            </w:r>
          </w:p>
        </w:tc>
        <w:tc>
          <w:tcPr>
            <w:tcW w:type="dxa" w:w="3005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AGENTS.md + 项目专用 SKILL.md</w:t>
            </w:r>
          </w:p>
        </w:tc>
        <w:tc>
          <w:tcPr>
            <w:tcW w:type="dxa" w:w="4422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统一业务限制、测试门槛和权限要求</w:t>
            </w:r>
          </w:p>
        </w:tc>
      </w:tr>
    </w:tbl>
    <w:p>
      <w:pPr>
        <w:spacing w:after="0"/>
      </w:pPr>
    </w:p>
    <w:p>
      <w:pPr>
        <w:pStyle w:val="Heading2"/>
      </w:pPr>
      <w:r>
        <w:t>本次会话出现的主要启动指令（需按最新版校验）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468"/>
            <w:shd w:fill="F6F8FA"/>
          </w:tcPr>
          <w:p>
            <w:pPr>
              <w:spacing w:before="120" w:after="120"/>
            </w:pPr>
            <w:r>
              <w:rPr>
                <w:rFonts w:ascii="Noto Sans Mono CJK SC" w:hAnsi="Noto Sans Mono CJK SC" w:eastAsia="Noto Sans Mono CJK SC"/>
                <w:b w:val="0"/>
                <w:color w:val="213344"/>
                <w:sz w:val="16"/>
              </w:rPr>
              <w:t>uv tool install specify-cli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13344"/>
                <w:sz w:val="16"/>
              </w:rPr>
              <w:t>specify init --here --integration codex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13344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13344"/>
                <w:sz w:val="16"/>
              </w:rPr>
              <w:t># Codex 安装 MCP 的示例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13344"/>
                <w:sz w:val="16"/>
              </w:rPr>
              <w:t>codex mcp add context7 -- npx -y @upstash/context7-mcp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13344"/>
                <w:sz w:val="16"/>
              </w:rPr>
              <w:t>codex mcp add playwright -- npx -y @playwright/mcp@latest</w:t>
            </w:r>
            <w:r>
              <w:br/>
            </w:r>
            <w:r>
              <w:rPr>
                <w:rFonts w:ascii="Noto Sans Mono CJK SC" w:hAnsi="Noto Sans Mono CJK SC" w:eastAsia="Noto Sans Mono CJK SC"/>
                <w:b w:val="0"/>
                <w:color w:val="213344"/>
                <w:sz w:val="16"/>
              </w:rPr>
              <w:t>codex mcp list</w:t>
            </w:r>
          </w:p>
        </w:tc>
      </w:tr>
    </w:tbl>
    <w:p>
      <w:pPr>
        <w:spacing w:after="0"/>
      </w:pPr>
    </w:p>
    <w:p>
      <w:r>
        <w:t>当前 Spec Kit 文档明确写明 Codex 的技能安装路径为 .agents/skills，并采用 $speckit-specify、$speckit-plan、$speckit-tasks 等调用形式。Superpowers 可以从 Codex 插件目录安装。GitHub Stars 属动态参考指标，前次聊天中的近似数字不应视作采购依据。</w:t>
      </w:r>
    </w:p>
    <w:p>
      <w:pPr>
        <w:pStyle w:val="Heading2"/>
      </w:pPr>
      <w:r>
        <w:t>建议的三个项目 Skill</w:t>
      </w:r>
    </w:p>
    <w:p>
      <w:pPr>
        <w:pStyle w:val="BodyTight"/>
        <w:ind w:left="255" w:hanging="181"/>
      </w:pPr>
      <w:r>
        <w:rPr>
          <w:rFonts w:ascii="Noto Sans CJK SC" w:hAnsi="Noto Sans CJK SC" w:eastAsia="Noto Sans CJK SC"/>
          <w:b/>
          <w:color w:val="136C77"/>
          <w:sz w:val="18"/>
        </w:rPr>
        <w:t xml:space="preserve">•  </w:t>
      </w:r>
      <w:r>
        <w:rPr>
          <w:rFonts w:ascii="Noto Sans CJK SC" w:hAnsi="Noto Sans CJK SC" w:eastAsia="Noto Sans CJK SC"/>
          <w:b w:val="0"/>
          <w:color w:val="213344"/>
          <w:sz w:val="18"/>
        </w:rPr>
        <w:t>wecom-integration：消息回调、身份映射、签名校验、Token 管理、出站消息幂等与重试。</w:t>
      </w:r>
    </w:p>
    <w:p>
      <w:pPr>
        <w:pStyle w:val="BodyTight"/>
        <w:ind w:left="255" w:hanging="181"/>
      </w:pPr>
      <w:r>
        <w:rPr>
          <w:rFonts w:ascii="Noto Sans CJK SC" w:hAnsi="Noto Sans CJK SC" w:eastAsia="Noto Sans CJK SC"/>
          <w:b/>
          <w:color w:val="136C77"/>
          <w:sz w:val="18"/>
        </w:rPr>
        <w:t xml:space="preserve">•  </w:t>
      </w:r>
      <w:r>
        <w:rPr>
          <w:rFonts w:ascii="Noto Sans CJK SC" w:hAnsi="Noto Sans CJK SC" w:eastAsia="Noto Sans CJK SC"/>
          <w:b w:val="0"/>
          <w:color w:val="213344"/>
          <w:sz w:val="18"/>
        </w:rPr>
        <w:t>engineering-workflow：项目与任务状态机、延期申请、外部等待、逐级升级及验收规则。</w:t>
      </w:r>
    </w:p>
    <w:p>
      <w:pPr>
        <w:pStyle w:val="BodyTight"/>
        <w:ind w:left="255" w:hanging="181"/>
      </w:pPr>
      <w:r>
        <w:rPr>
          <w:rFonts w:ascii="Noto Sans CJK SC" w:hAnsi="Noto Sans CJK SC" w:eastAsia="Noto Sans CJK SC"/>
          <w:b/>
          <w:color w:val="136C77"/>
          <w:sz w:val="18"/>
        </w:rPr>
        <w:t xml:space="preserve">•  </w:t>
      </w:r>
      <w:r>
        <w:rPr>
          <w:rFonts w:ascii="Noto Sans CJK SC" w:hAnsi="Noto Sans CJK SC" w:eastAsia="Noto Sans CJK SC"/>
          <w:b w:val="0"/>
          <w:color w:val="213344"/>
          <w:sz w:val="18"/>
        </w:rPr>
        <w:t>audit-and-access-control：RBAC、跨项目权限隔离、审计日志、敏感操作确认和安全测试。</w:t>
      </w:r>
    </w:p>
    <w:p>
      <w:pPr>
        <w:pStyle w:val="Heading1"/>
      </w:pPr>
      <w:r>
        <w:t>05  讨论过的初步系统技术和交付路径</w:t>
      </w:r>
    </w:p>
    <w:p>
      <w:r>
        <w:t>此前会话以 TypeScript/NestJS、PostgreSQL/Prisma、任务队列、React/Next.js 和 AI 模型 API 作为可讨论的实现组合，不是公司最终的技术栈决议。对于初版建议尽量采用模块化单体，不先上复杂的多智能体框架。</w:t>
      </w:r>
    </w:p>
    <w:p>
      <w:pPr>
        <w:pStyle w:val="Heading2"/>
      </w:pPr>
      <w:r>
        <w:t>三条主要 MVP 场景</w:t>
      </w:r>
    </w:p>
    <w:p>
      <w:pPr>
        <w:pStyle w:val="BodyTight"/>
        <w:ind w:left="255" w:hanging="187"/>
      </w:pPr>
      <w:r>
        <w:rPr>
          <w:rFonts w:ascii="Noto Sans CJK SC" w:hAnsi="Noto Sans CJK SC" w:eastAsia="Noto Sans CJK SC"/>
          <w:b/>
          <w:color w:val="136C77"/>
          <w:sz w:val="18"/>
        </w:rPr>
        <w:t xml:space="preserve">01  </w:t>
      </w:r>
      <w:r>
        <w:rPr>
          <w:rFonts w:ascii="Noto Sans CJK SC" w:hAnsi="Noto Sans CJK SC" w:eastAsia="Noto Sans CJK SC"/>
          <w:b w:val="0"/>
          <w:color w:val="213344"/>
          <w:sz w:val="18"/>
        </w:rPr>
        <w:t>员工通过企微收到到期提醒，在应用中选择“完成 / 进行中 / 阻塞”，并补充原因、时间及必要证据。</w:t>
      </w:r>
    </w:p>
    <w:p>
      <w:pPr>
        <w:pStyle w:val="BodyTight"/>
        <w:ind w:left="255" w:hanging="187"/>
      </w:pPr>
      <w:r>
        <w:rPr>
          <w:rFonts w:ascii="Noto Sans CJK SC" w:hAnsi="Noto Sans CJK SC" w:eastAsia="Noto Sans CJK SC"/>
          <w:b/>
          <w:color w:val="136C77"/>
          <w:sz w:val="18"/>
        </w:rPr>
        <w:t xml:space="preserve">02  </w:t>
      </w:r>
      <w:r>
        <w:rPr>
          <w:rFonts w:ascii="Noto Sans CJK SC" w:hAnsi="Noto Sans CJK SC" w:eastAsia="Noto Sans CJK SC"/>
          <w:b w:val="0"/>
          <w:color w:val="213344"/>
          <w:sz w:val="18"/>
        </w:rPr>
        <w:t>系统按配置检查逾期与无反馈，记录通知送达、回应与升级事件；管理层优先处理真正影响关键节点的问题。</w:t>
      </w:r>
    </w:p>
    <w:p>
      <w:pPr>
        <w:pStyle w:val="BodyTight"/>
        <w:ind w:left="255" w:hanging="187"/>
      </w:pPr>
      <w:r>
        <w:rPr>
          <w:rFonts w:ascii="Noto Sans CJK SC" w:hAnsi="Noto Sans CJK SC" w:eastAsia="Noto Sans CJK SC"/>
          <w:b/>
          <w:color w:val="136C77"/>
          <w:sz w:val="18"/>
        </w:rPr>
        <w:t xml:space="preserve">03  </w:t>
      </w:r>
      <w:r>
        <w:rPr>
          <w:rFonts w:ascii="Noto Sans CJK SC" w:hAnsi="Noto Sans CJK SC" w:eastAsia="Noto Sans CJK SC"/>
          <w:b w:val="0"/>
          <w:color w:val="213344"/>
          <w:sz w:val="18"/>
        </w:rPr>
        <w:t>总裁询问“哪些项目可能延期，需要我处理什么”，得到跨项目摘要、阻塞原因、建议动作与来源记录。</w:t>
      </w:r>
    </w:p>
    <w:p>
      <w:pPr>
        <w:pStyle w:val="Heading2"/>
      </w:pPr>
      <w:r>
        <w:t>此前提出的项目阶段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7710"/>
      </w:tblGrid>
      <w:tr>
        <w:trPr>
          <w:tblHeader w:val="true"/>
          <w:cantSplit/>
        </w:trPr>
        <w:tc>
          <w:tcPr>
            <w:tcW w:type="dxa" w:w="1757"/>
            <w:shd w:fill="173348"/>
            <w:vAlign w:val="center"/>
          </w:tcPr>
          <w:p>
            <w:pPr>
              <w:spacing w:before="80" w:after="8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7710"/>
            <w:shd w:fill="173348"/>
            <w:vAlign w:val="center"/>
          </w:tcPr>
          <w:p>
            <w:pPr>
              <w:spacing w:before="80" w:after="8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讨论中的建议（非承诺）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POC</w:t>
            </w:r>
          </w:p>
        </w:tc>
        <w:tc>
          <w:tcPr>
            <w:tcW w:type="dxa" w:w="7710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约 1–2 周：企微接口 + 模拟数据 + 一轮提醒和问答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MVP</w:t>
            </w:r>
          </w:p>
        </w:tc>
        <w:tc>
          <w:tcPr>
            <w:tcW w:type="dxa" w:w="7710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约 4–8 周：任务状态、催办、升级、简报等最小闭环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集成</w:t>
            </w:r>
          </w:p>
        </w:tc>
        <w:tc>
          <w:tcPr>
            <w:tcW w:type="dxa" w:w="7710"/>
            <w:vAlign w:val="center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连接现有项目系统、文件管理及权限体系，周期取决于现状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/>
                <w:color w:val="213344"/>
                <w:sz w:val="16"/>
              </w:rPr>
              <w:t>智能预测</w:t>
            </w:r>
          </w:p>
        </w:tc>
        <w:tc>
          <w:tcPr>
            <w:tcW w:type="dxa" w:w="7710"/>
            <w:vAlign w:val="center"/>
            <w:shd w:fill="F6F8FA"/>
            <w:tcBorders>
              <w:bottom w:val="single" w:sz="4" w:color="D7E0E6"/>
            </w:tcBorders>
          </w:tcPr>
          <w:p>
            <w:pPr>
              <w:spacing w:before="64" w:after="64"/>
            </w:pPr>
            <w:r/>
            <w:r>
              <w:rPr>
                <w:rFonts w:ascii="Noto Sans CJK SC" w:hAnsi="Noto Sans CJK SC" w:eastAsia="Noto Sans CJK SC"/>
                <w:b w:val="0"/>
                <w:color w:val="213344"/>
                <w:sz w:val="16"/>
              </w:rPr>
              <w:t>历史记录达到一定质量后，再引入流程挖掘与延期预测</w:t>
            </w:r>
          </w:p>
        </w:tc>
      </w:tr>
    </w:tbl>
    <w:p>
      <w:pPr>
        <w:spacing w:after="0"/>
      </w:pPr>
    </w:p>
    <w:p>
      <w:pPr>
        <w:pStyle w:val="Heading1"/>
      </w:pPr>
      <w:r>
        <w:t>06  当前尚未回答、不能擅自确定的问题</w:t>
      </w:r>
    </w:p>
    <w:p>
      <w:pPr>
        <w:pStyle w:val="BodyTight"/>
        <w:ind w:left="255" w:hanging="181"/>
      </w:pPr>
      <w:r>
        <w:rPr>
          <w:rFonts w:ascii="Noto Sans CJK SC" w:hAnsi="Noto Sans CJK SC" w:eastAsia="Noto Sans CJK SC"/>
          <w:b/>
          <w:color w:val="136C77"/>
          <w:sz w:val="18"/>
        </w:rPr>
        <w:t xml:space="preserve">•  </w:t>
      </w:r>
      <w:r>
        <w:rPr>
          <w:rFonts w:ascii="Noto Sans CJK SC" w:hAnsi="Noto Sans CJK SC" w:eastAsia="Noto Sans CJK SC"/>
          <w:b w:val="0"/>
          <w:color w:val="213344"/>
          <w:sz w:val="18"/>
        </w:rPr>
        <w:t>现有系统：目前公司项目是否在 OA、企微、Excel、ERP、项目管理软件或微信聊天中管理？能否取得结构化历史数据？</w:t>
      </w:r>
    </w:p>
    <w:p>
      <w:pPr>
        <w:pStyle w:val="BodyTight"/>
        <w:ind w:left="255" w:hanging="181"/>
      </w:pPr>
      <w:r>
        <w:rPr>
          <w:rFonts w:ascii="Noto Sans CJK SC" w:hAnsi="Noto Sans CJK SC" w:eastAsia="Noto Sans CJK SC"/>
          <w:b/>
          <w:color w:val="136C77"/>
          <w:sz w:val="18"/>
        </w:rPr>
        <w:t xml:space="preserve">•  </w:t>
      </w:r>
      <w:r>
        <w:rPr>
          <w:rFonts w:ascii="Noto Sans CJK SC" w:hAnsi="Noto Sans CJK SC" w:eastAsia="Noto Sans CJK SC"/>
          <w:b w:val="0"/>
          <w:color w:val="213344"/>
          <w:sz w:val="18"/>
        </w:rPr>
        <w:t>试点范围：具体选择几个全过程咨询项目和几个设计项目；选谁做项目经理、员工及业务验收人？</w:t>
      </w:r>
    </w:p>
    <w:p>
      <w:pPr>
        <w:pStyle w:val="BodyTight"/>
        <w:ind w:left="255" w:hanging="181"/>
      </w:pPr>
      <w:r>
        <w:rPr>
          <w:rFonts w:ascii="Noto Sans CJK SC" w:hAnsi="Noto Sans CJK SC" w:eastAsia="Noto Sans CJK SC"/>
          <w:b/>
          <w:color w:val="136C77"/>
          <w:sz w:val="18"/>
        </w:rPr>
        <w:t xml:space="preserve">•  </w:t>
      </w:r>
      <w:r>
        <w:rPr>
          <w:rFonts w:ascii="Noto Sans CJK SC" w:hAnsi="Noto Sans CJK SC" w:eastAsia="Noto Sans CJK SC"/>
          <w:b w:val="0"/>
          <w:color w:val="213344"/>
          <w:sz w:val="18"/>
        </w:rPr>
        <w:t>提醒 / 升级制度：按工作日还是自然日计算？延期多久触发、跳级条件是什么？</w:t>
      </w:r>
    </w:p>
    <w:p>
      <w:pPr>
        <w:pStyle w:val="BodyTight"/>
        <w:ind w:left="255" w:hanging="181"/>
      </w:pPr>
      <w:r>
        <w:rPr>
          <w:rFonts w:ascii="Noto Sans CJK SC" w:hAnsi="Noto Sans CJK SC" w:eastAsia="Noto Sans CJK SC"/>
          <w:b/>
          <w:color w:val="136C77"/>
          <w:sz w:val="18"/>
        </w:rPr>
        <w:t xml:space="preserve">•  </w:t>
      </w:r>
      <w:r>
        <w:rPr>
          <w:rFonts w:ascii="Noto Sans CJK SC" w:hAnsi="Noto Sans CJK SC" w:eastAsia="Noto Sans CJK SC"/>
          <w:b w:val="0"/>
          <w:color w:val="213344"/>
          <w:sz w:val="18"/>
        </w:rPr>
        <w:t>延期事实判定：如何区分甲方等待、内部资源不足与未反馈？设计变更是否可以反复发生？</w:t>
      </w:r>
    </w:p>
    <w:p>
      <w:pPr>
        <w:pStyle w:val="BodyTight"/>
        <w:ind w:left="255" w:hanging="181"/>
      </w:pPr>
      <w:r>
        <w:rPr>
          <w:rFonts w:ascii="Noto Sans CJK SC" w:hAnsi="Noto Sans CJK SC" w:eastAsia="Noto Sans CJK SC"/>
          <w:b/>
          <w:color w:val="136C77"/>
          <w:sz w:val="18"/>
        </w:rPr>
        <w:t xml:space="preserve">•  </w:t>
      </w:r>
      <w:r>
        <w:rPr>
          <w:rFonts w:ascii="Noto Sans CJK SC" w:hAnsi="Noto Sans CJK SC" w:eastAsia="Noto Sans CJK SC"/>
          <w:b w:val="0"/>
          <w:color w:val="213344"/>
          <w:sz w:val="18"/>
        </w:rPr>
        <w:t>交付物规则：哪些任务必须上传图纸或文件；由谁确认交付完成？</w:t>
      </w:r>
    </w:p>
    <w:p>
      <w:pPr>
        <w:pStyle w:val="BodyTight"/>
        <w:ind w:left="255" w:hanging="181"/>
      </w:pPr>
      <w:r>
        <w:rPr>
          <w:rFonts w:ascii="Noto Sans CJK SC" w:hAnsi="Noto Sans CJK SC" w:eastAsia="Noto Sans CJK SC"/>
          <w:b/>
          <w:color w:val="136C77"/>
          <w:sz w:val="18"/>
        </w:rPr>
        <w:t xml:space="preserve">•  </w:t>
      </w:r>
      <w:r>
        <w:rPr>
          <w:rFonts w:ascii="Noto Sans CJK SC" w:hAnsi="Noto Sans CJK SC" w:eastAsia="Noto Sans CJK SC"/>
          <w:b w:val="0"/>
          <w:color w:val="213344"/>
          <w:sz w:val="18"/>
        </w:rPr>
        <w:t>权限与安全：谁能看哪些项目，是否允许云模型处理图纸、合同、客户信息？数据需要在哪个地区存储？</w:t>
      </w:r>
    </w:p>
    <w:p>
      <w:pPr>
        <w:pStyle w:val="BodyTight"/>
        <w:ind w:left="255" w:hanging="181"/>
      </w:pPr>
      <w:r>
        <w:rPr>
          <w:rFonts w:ascii="Noto Sans CJK SC" w:hAnsi="Noto Sans CJK SC" w:eastAsia="Noto Sans CJK SC"/>
          <w:b/>
          <w:color w:val="136C77"/>
          <w:sz w:val="18"/>
        </w:rPr>
        <w:t xml:space="preserve">•  </w:t>
      </w:r>
      <w:r>
        <w:rPr>
          <w:rFonts w:ascii="Noto Sans CJK SC" w:hAnsi="Noto Sans CJK SC" w:eastAsia="Noto Sans CJK SC"/>
          <w:b w:val="0"/>
          <w:color w:val="213344"/>
          <w:sz w:val="18"/>
        </w:rPr>
        <w:t>技术资源：由个人主导还是有后端、运维、安全同事协同？企微管理员是否能授权创建自建应用？</w:t>
      </w:r>
    </w:p>
    <w:p>
      <w:pPr>
        <w:pStyle w:val="BodyTight"/>
        <w:ind w:left="255" w:hanging="181"/>
      </w:pPr>
      <w:r>
        <w:rPr>
          <w:rFonts w:ascii="Noto Sans CJK SC" w:hAnsi="Noto Sans CJK SC" w:eastAsia="Noto Sans CJK SC"/>
          <w:b/>
          <w:color w:val="136C77"/>
          <w:sz w:val="18"/>
        </w:rPr>
        <w:t xml:space="preserve">•  </w:t>
      </w:r>
      <w:r>
        <w:rPr>
          <w:rFonts w:ascii="Noto Sans CJK SC" w:hAnsi="Noto Sans CJK SC" w:eastAsia="Noto Sans CJK SC"/>
          <w:b w:val="0"/>
          <w:color w:val="213344"/>
          <w:sz w:val="18"/>
        </w:rPr>
        <w:t>项目目标：提升透明度或绩效考核是否要纳入首版？是否有能够量化的基线？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468"/>
            <w:shd w:fill="EFF5F6"/>
          </w:tcPr>
          <w:p>
            <w:pPr>
              <w:spacing w:before="140" w:after="140"/>
            </w:pPr>
            <w:r>
              <w:rPr>
                <w:rFonts w:ascii="Noto Sans CJK SC" w:hAnsi="Noto Sans CJK SC" w:eastAsia="Noto Sans CJK SC"/>
                <w:b/>
                <w:color w:val="136C77"/>
                <w:sz w:val="18"/>
              </w:rPr>
              <w:t xml:space="preserve">下一步建议  </w:t>
            </w:r>
            <w:r>
              <w:rPr>
                <w:rFonts w:ascii="Noto Sans CJK SC" w:hAnsi="Noto Sans CJK SC" w:eastAsia="Noto Sans CJK SC"/>
                <w:b w:val="0"/>
                <w:color w:val="213344"/>
                <w:sz w:val="18"/>
              </w:rPr>
              <w:t>先用最新 Notes 确定双业务主线，开一次业务流程与权限澄清会；完成场景清单、项目/任务数据字典和提醒升级规则的签字版，再开始大量 Codex 开发。</w:t>
            </w:r>
          </w:p>
        </w:tc>
      </w:tr>
    </w:tbl>
    <w:p>
      <w:pPr>
        <w:spacing w:after="0"/>
      </w:pPr>
    </w:p>
    <w:p>
      <w:pPr>
        <w:pStyle w:val="Heading1"/>
      </w:pPr>
      <w:r>
        <w:t>07  信息来源与复核资料</w:t>
      </w:r>
    </w:p>
    <w:p>
      <w:pPr>
        <w:pStyle w:val="SmallMeta"/>
        <w:spacing w:after="80"/>
      </w:pPr>
      <w:r>
        <w:rPr>
          <w:rFonts w:ascii="Noto Sans CJK SC" w:hAnsi="Noto Sans CJK SC" w:eastAsia="Noto Sans CJK SC"/>
          <w:b w:val="0"/>
          <w:color w:val="637684"/>
          <w:sz w:val="16"/>
        </w:rPr>
        <w:t>•  公司材料：scope.docx —《AI 驱动的全过程工程管理系统 - 初始范围》</w:t>
      </w:r>
    </w:p>
    <w:p>
      <w:pPr>
        <w:pStyle w:val="SmallMeta"/>
        <w:spacing w:after="80"/>
      </w:pPr>
      <w:r>
        <w:rPr>
          <w:rFonts w:ascii="Noto Sans CJK SC" w:hAnsi="Noto Sans CJK SC" w:eastAsia="Noto Sans CJK SC"/>
          <w:b w:val="0"/>
          <w:color w:val="637684"/>
          <w:sz w:val="16"/>
        </w:rPr>
        <w:t>•  公司补充：Notes.pages — 全过程咨询服务、建筑设计、优先范围与参考示例</w:t>
      </w:r>
    </w:p>
    <w:p>
      <w:pPr>
        <w:pStyle w:val="SmallMeta"/>
        <w:spacing w:after="80"/>
      </w:pPr>
      <w:r>
        <w:rPr>
          <w:rFonts w:ascii="Noto Sans CJK SC" w:hAnsi="Noto Sans CJK SC" w:eastAsia="Noto Sans CJK SC"/>
          <w:b w:val="0"/>
          <w:color w:val="637684"/>
          <w:sz w:val="16"/>
        </w:rPr>
        <w:t>•  本次对话：第一轮“案例/论文/方法”；第二轮“企微自建应用/Codex Skill 与 Harness”</w:t>
      </w:r>
    </w:p>
    <w:p>
      <w:pPr>
        <w:pStyle w:val="SmallMeta"/>
        <w:spacing w:after="80"/>
      </w:pPr>
      <w:r>
        <w:rPr>
          <w:rFonts w:ascii="Noto Sans CJK SC" w:hAnsi="Noto Sans CJK SC" w:eastAsia="Noto Sans CJK SC"/>
          <w:b w:val="0"/>
          <w:color w:val="637684"/>
          <w:sz w:val="16"/>
        </w:rPr>
        <w:t>•  GitHub Spec Kit（官方）</w:t>
      </w:r>
      <w:r>
        <w:rPr>
          <w:rFonts w:ascii="Noto Sans CJK SC" w:hAnsi="Noto Sans CJK SC" w:eastAsia="Noto Sans CJK SC"/>
          <w:b w:val="0"/>
          <w:color w:val="136C77"/>
          <w:sz w:val="15"/>
        </w:rPr>
        <w:t xml:space="preserve">  |  https://github.com/github/spec-kit</w:t>
      </w:r>
    </w:p>
    <w:p>
      <w:pPr>
        <w:pStyle w:val="SmallMeta"/>
        <w:spacing w:after="80"/>
      </w:pPr>
      <w:r>
        <w:rPr>
          <w:rFonts w:ascii="Noto Sans CJK SC" w:hAnsi="Noto Sans CJK SC" w:eastAsia="Noto Sans CJK SC"/>
          <w:b w:val="0"/>
          <w:color w:val="637684"/>
          <w:sz w:val="16"/>
        </w:rPr>
        <w:t>•  Spec Kit 的 Codex 集成指令（官方）</w:t>
      </w:r>
      <w:r>
        <w:rPr>
          <w:rFonts w:ascii="Noto Sans CJK SC" w:hAnsi="Noto Sans CJK SC" w:eastAsia="Noto Sans CJK SC"/>
          <w:b w:val="0"/>
          <w:color w:val="136C77"/>
          <w:sz w:val="15"/>
        </w:rPr>
        <w:t xml:space="preserve">  |  https://github.github.com/spec-kit/reference/integrations.html</w:t>
      </w:r>
    </w:p>
    <w:p>
      <w:pPr>
        <w:pStyle w:val="SmallMeta"/>
        <w:spacing w:after="80"/>
      </w:pPr>
      <w:r>
        <w:rPr>
          <w:rFonts w:ascii="Noto Sans CJK SC" w:hAnsi="Noto Sans CJK SC" w:eastAsia="Noto Sans CJK SC"/>
          <w:b w:val="0"/>
          <w:color w:val="637684"/>
          <w:sz w:val="16"/>
        </w:rPr>
        <w:t>•  Superpowers（官方仓库）</w:t>
      </w:r>
      <w:r>
        <w:rPr>
          <w:rFonts w:ascii="Noto Sans CJK SC" w:hAnsi="Noto Sans CJK SC" w:eastAsia="Noto Sans CJK SC"/>
          <w:b w:val="0"/>
          <w:color w:val="136C77"/>
          <w:sz w:val="15"/>
        </w:rPr>
        <w:t xml:space="preserve">  |  https://github.com/obra/superpowers</w:t>
      </w:r>
    </w:p>
    <w:p>
      <w:pPr>
        <w:pStyle w:val="SmallMeta"/>
        <w:spacing w:after="80"/>
      </w:pPr>
      <w:r>
        <w:rPr>
          <w:rFonts w:ascii="Noto Sans CJK SC" w:hAnsi="Noto Sans CJK SC" w:eastAsia="Noto Sans CJK SC"/>
          <w:b w:val="0"/>
          <w:color w:val="637684"/>
          <w:sz w:val="16"/>
        </w:rPr>
        <w:t>•  Codex 文档 MCP（OpenAI）</w:t>
      </w:r>
      <w:r>
        <w:rPr>
          <w:rFonts w:ascii="Noto Sans CJK SC" w:hAnsi="Noto Sans CJK SC" w:eastAsia="Noto Sans CJK SC"/>
          <w:b w:val="0"/>
          <w:color w:val="136C77"/>
          <w:sz w:val="15"/>
        </w:rPr>
        <w:t xml:space="preserve">  |  https://developers.openai.com/learn/docs-mcp</w:t>
      </w:r>
    </w:p>
    <w:p>
      <w:pPr>
        <w:pStyle w:val="SmallMeta"/>
        <w:spacing w:after="80"/>
      </w:pPr>
      <w:r>
        <w:rPr>
          <w:rFonts w:ascii="Noto Sans CJK SC" w:hAnsi="Noto Sans CJK SC" w:eastAsia="Noto Sans CJK SC"/>
          <w:b w:val="0"/>
          <w:color w:val="637684"/>
          <w:sz w:val="16"/>
        </w:rPr>
        <w:t>•  Autodesk Construction IQ（官方）</w:t>
      </w:r>
      <w:r>
        <w:rPr>
          <w:rFonts w:ascii="Noto Sans CJK SC" w:hAnsi="Noto Sans CJK SC" w:eastAsia="Noto Sans CJK SC"/>
          <w:b w:val="0"/>
          <w:color w:val="136C77"/>
          <w:sz w:val="15"/>
        </w:rPr>
        <w:t xml:space="preserve">  |  https://help.autodesk.com/cloudhelp/ENU/Docs-Insight/files/Insight_Construction_IQ.html</w:t>
      </w:r>
    </w:p>
    <w:p>
      <w:pPr>
        <w:pStyle w:val="SmallMeta"/>
        <w:spacing w:after="80"/>
      </w:pPr>
      <w:r>
        <w:rPr>
          <w:rFonts w:ascii="Noto Sans CJK SC" w:hAnsi="Noto Sans CJK SC" w:eastAsia="Noto Sans CJK SC"/>
          <w:b w:val="0"/>
          <w:color w:val="637684"/>
          <w:sz w:val="16"/>
        </w:rPr>
        <w:t>•  Procore AI Agents（官方）</w:t>
      </w:r>
      <w:r>
        <w:rPr>
          <w:rFonts w:ascii="Noto Sans CJK SC" w:hAnsi="Noto Sans CJK SC" w:eastAsia="Noto Sans CJK SC"/>
          <w:b w:val="0"/>
          <w:color w:val="136C77"/>
          <w:sz w:val="15"/>
        </w:rPr>
        <w:t xml:space="preserve">  |  https://www.procore.com/ai/agents</w:t>
      </w:r>
    </w:p>
    <w:p>
      <w:pPr>
        <w:pStyle w:val="SmallMeta"/>
      </w:pPr>
      <w:r>
        <w:t>注：本纪要记录讨论内容与方向，不代表这些产品已购入、框架已安装、接口权限已取得或公司已批准安全策略。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19" w:bottom="1162" w:left="1219" w:header="539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b w:val="0"/>
        <w:color w:val="637684"/>
        <w:sz w:val="15"/>
      </w:rPr>
      <w:t xml:space="preserve">内部讨论稿  ·  2026 年 10 月 8 日    |   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411" w:val="right"/>
      </w:tabs>
      <w:spacing w:after="60"/>
      <w:jc w:val="left"/>
      <w:pBdr>
        <w:bottom w:val="single" w:sz="6" w:color="D7E0E6"/>
      </w:pBdr>
    </w:pPr>
    <w:r>
      <w:rPr>
        <w:rFonts w:ascii="Noto Sans CJK SC" w:hAnsi="Noto Sans CJK SC" w:eastAsia="Noto Sans CJK SC"/>
        <w:b/>
        <w:color w:val="136C77"/>
        <w:sz w:val="16"/>
      </w:rPr>
      <w:t>EXECUTIVE AI  /  工程项目管理</w:t>
    </w:r>
    <w:r>
      <w:tab/>
    </w:r>
    <w:r>
      <w:rPr>
        <w:rFonts w:ascii="Noto Sans CJK SC" w:hAnsi="Noto Sans CJK SC" w:eastAsia="Noto Sans CJK SC"/>
        <w:b w:val="0"/>
        <w:color w:val="637684"/>
        <w:sz w:val="16"/>
      </w:rPr>
      <w:t>SUMMARY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2" w:lineRule="auto"/>
    </w:pPr>
    <w:rPr>
      <w:rFonts w:ascii="Noto Sans CJK SC" w:hAnsi="Noto Sans CJK SC" w:eastAsia="Noto Sans CJK SC"/>
      <w:color w:val="21334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348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36C7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36C7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Meta">
    <w:name w:val="SmallMeta"/>
    <w:pPr>
      <w:spacing w:after="80" w:line="293" w:lineRule="auto"/>
    </w:pPr>
    <w:rPr>
      <w:rFonts w:ascii="Noto Sans CJK SC" w:hAnsi="Noto Sans CJK SC" w:eastAsia="Noto Sans CJK SC"/>
      <w:color w:val="637684"/>
      <w:sz w:val="16"/>
    </w:rPr>
  </w:style>
  <w:style w:type="paragraph" w:customStyle="1" w:styleId="LabelText">
    <w:name w:val="LabelText"/>
    <w:pPr>
      <w:spacing w:after="80" w:line="293" w:lineRule="auto"/>
    </w:pPr>
    <w:rPr>
      <w:rFonts w:ascii="Noto Sans CJK SC" w:hAnsi="Noto Sans CJK SC" w:eastAsia="Noto Sans CJK SC"/>
      <w:color w:val="136C77"/>
      <w:sz w:val="16"/>
    </w:rPr>
  </w:style>
  <w:style w:type="paragraph" w:customStyle="1" w:styleId="CoverSub">
    <w:name w:val="CoverSub"/>
    <w:pPr>
      <w:spacing w:after="80" w:line="293" w:lineRule="auto"/>
    </w:pPr>
    <w:rPr>
      <w:rFonts w:ascii="Noto Sans CJK SC" w:hAnsi="Noto Sans CJK SC" w:eastAsia="Noto Sans CJK SC"/>
      <w:color w:val="637684"/>
      <w:sz w:val="24"/>
    </w:rPr>
  </w:style>
  <w:style w:type="paragraph" w:customStyle="1" w:styleId="BodyTight">
    <w:name w:val="BodyTight"/>
    <w:pPr>
      <w:spacing w:after="80" w:line="293" w:lineRule="auto"/>
    </w:pPr>
    <w:rPr>
      <w:rFonts w:ascii="Noto Sans CJK SC" w:hAnsi="Noto Sans CJK SC" w:eastAsia="Noto Sans CJK SC"/>
      <w:color w:val="213344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总裁 AI 助手与工程项目管理系统</dc:subject>
  <dc:creator>Project working document</dc:creator>
  <cp:keywords>企业微信,工程项目,AI,计划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