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Техническое задание</w:t>
      </w:r>
    </w:p>
    <w:p>
      <w:pPr>
        <w:pStyle w:val="Subtitle"/>
      </w:pPr>
      <w:r>
        <w:t>Мобильное веб приложение</w:t>
        <w:br/>
        <w:t>для акустического моделирования</w:t>
        <w:br/>
        <w:t>производственных помещений</w:t>
      </w:r>
    </w:p>
    <w:p>
      <w:pPr>
        <w:pStyle w:val="Heading2"/>
      </w:pPr>
      <w:r>
        <w:t>Полная целевая функциональность</w:t>
      </w:r>
    </w:p>
    <w:p>
      <w:pPr>
        <w:pStyle w:val="Small"/>
      </w:pPr>
      <w:r>
        <w:t>Версия 1.0   •   15 октября 2026 года</w:t>
      </w:r>
    </w:p>
    <w:p>
      <w:r>
        <w:t>Приложение должно позволять с телефона создать помещение, расставить оборудование и рабочие места, задать акустические свойства, выполнить серверный расчёт, исследовать результат в 3D и сравнить способы снижения шума.</w:t>
      </w:r>
    </w:p>
    <w:p>
      <w:r>
        <w:t>Базовое решение: мобильное веб приложение с возможностью установки на главный экран; самостоятельный сервер расчётов; расчётное ядро SPPS из I-Simpa; собственный редактор и отображение результатов. Настольный интерфейс I-Simpa в браузер не переносится.</w:t>
      </w:r>
    </w:p>
    <w:p>
      <w:r>
        <w:t>Документ определяет полный результат разработки, границы применимости расчёта, структуру данных, архитектуру, порядок реализации и проверяемые условия приёмки. Этапы описывают путь к полной версии, а не заменяют её сокращённым прототипом.</w:t>
      </w:r>
    </w:p>
    <w:p>
      <w:pPr>
        <w:pStyle w:val="Heading2"/>
      </w:pPr>
      <w:r>
        <w:t>Статус требований</w:t>
      </w:r>
    </w:p>
    <w:p>
      <w:r>
        <w:t>Требования с кодами являются условиями реализации. Численные пределы производительности и качества, помеченные как проектные, являются заданными целями и подлежат подтверждению испытаниями. Они не описывают уже существующий продукт.</w:t>
      </w:r>
    </w:p>
    <w:p>
      <w:r>
        <w:t>Внешние технические сведения проверены по исходникам и официальным документам. Ссылки приведены в разделе 32. Проверка исходников не заменяет сборку и испытание расчётного ядра; это обязательный первый технический этап.</w:t>
      </w:r>
    </w:p>
    <w:p>
      <w:pPr>
        <w:pStyle w:val="Heading2"/>
      </w:pPr>
      <w:r>
        <w:t>Основное ограничение</w:t>
      </w:r>
    </w:p>
    <w:p>
      <w:r>
        <w:t>SPPS моделирует перенос звуковой энергии в пределах реализованных механизмов. Полнота приложения не означает расчёт всех физических явлений. Огибание краёв препятствий, интерференция и низкочастотные резонансы не должны изображаться как достоверно рассчитанные этим ядром.</w:t>
      </w:r>
    </w:p>
    <w:p>
      <w:r>
        <w:br w:type="page"/>
      </w:r>
    </w:p>
    <w:p>
      <w:pPr>
        <w:pStyle w:val="Heading1"/>
      </w:pPr>
      <w:r>
        <w:t>Содержание</w:t>
      </w:r>
    </w:p>
    <w:p>
      <w:pPr>
        <w:pStyle w:val="TOCEntry"/>
        <w:tabs>
          <w:tab w:pos="9792" w:val="right"/>
        </w:tabs>
      </w:pPr>
      <w:hyperlink w:anchor="section_1">
        <w:r>
          <w:rPr>
            <w:color w:val="000000"/>
          </w:rPr>
          <w:t>01 Назначение и обязательные проектные решения</w:t>
        </w:r>
      </w:hyperlink>
      <w:r>
        <w:tab/>
        <w:t>3</w:t>
      </w:r>
    </w:p>
    <w:p>
      <w:pPr>
        <w:pStyle w:val="TOCEntry"/>
        <w:tabs>
          <w:tab w:pos="9792" w:val="right"/>
        </w:tabs>
      </w:pPr>
      <w:hyperlink w:anchor="section_2">
        <w:r>
          <w:rPr>
            <w:color w:val="000000"/>
          </w:rPr>
          <w:t>02 Акустическая модель и границы результата</w:t>
        </w:r>
      </w:hyperlink>
      <w:r>
        <w:tab/>
        <w:t>4</w:t>
      </w:r>
    </w:p>
    <w:p>
      <w:pPr>
        <w:pStyle w:val="TOCEntry"/>
        <w:tabs>
          <w:tab w:pos="9792" w:val="right"/>
        </w:tabs>
      </w:pPr>
      <w:hyperlink w:anchor="section_3">
        <w:r>
          <w:rPr>
            <w:color w:val="000000"/>
          </w:rPr>
          <w:t>03 Пользователи проекты и права</w:t>
        </w:r>
      </w:hyperlink>
      <w:r>
        <w:tab/>
        <w:t>5</w:t>
      </w:r>
    </w:p>
    <w:p>
      <w:pPr>
        <w:pStyle w:val="TOCEntry"/>
        <w:tabs>
          <w:tab w:pos="9792" w:val="right"/>
        </w:tabs>
      </w:pPr>
      <w:hyperlink w:anchor="section_4">
        <w:r>
          <w:rPr>
            <w:color w:val="000000"/>
          </w:rPr>
          <w:t>04 Мобильный интерфейс и основные сценарии</w:t>
        </w:r>
      </w:hyperlink>
      <w:r>
        <w:tab/>
        <w:t>6</w:t>
      </w:r>
    </w:p>
    <w:p>
      <w:pPr>
        <w:pStyle w:val="TOCEntry"/>
        <w:tabs>
          <w:tab w:pos="9792" w:val="right"/>
        </w:tabs>
      </w:pPr>
      <w:hyperlink w:anchor="section_5">
        <w:r>
          <w:rPr>
            <w:color w:val="000000"/>
          </w:rPr>
          <w:t>05 Геометрия помещений и ввод размеров</w:t>
        </w:r>
      </w:hyperlink>
      <w:r>
        <w:tab/>
        <w:t>7</w:t>
      </w:r>
    </w:p>
    <w:p>
      <w:pPr>
        <w:pStyle w:val="TOCEntry"/>
        <w:tabs>
          <w:tab w:pos="9792" w:val="right"/>
        </w:tabs>
      </w:pPr>
      <w:hyperlink w:anchor="section_6">
        <w:r>
          <w:rPr>
            <w:color w:val="000000"/>
          </w:rPr>
          <w:t>06 Материалы поверхности и проёмы</w:t>
        </w:r>
      </w:hyperlink>
      <w:r>
        <w:tab/>
        <w:t>9</w:t>
      </w:r>
    </w:p>
    <w:p>
      <w:pPr>
        <w:pStyle w:val="TOCEntry"/>
        <w:tabs>
          <w:tab w:pos="9792" w:val="right"/>
        </w:tabs>
      </w:pPr>
      <w:hyperlink w:anchor="section_7">
        <w:r>
          <w:rPr>
            <w:color w:val="000000"/>
          </w:rPr>
          <w:t>07 Наполнение перегородки и стеллажи</w:t>
        </w:r>
      </w:hyperlink>
      <w:r>
        <w:tab/>
        <w:t>10</w:t>
      </w:r>
    </w:p>
    <w:p>
      <w:pPr>
        <w:pStyle w:val="TOCEntry"/>
        <w:tabs>
          <w:tab w:pos="9792" w:val="right"/>
        </w:tabs>
      </w:pPr>
      <w:hyperlink w:anchor="section_8">
        <w:r>
          <w:rPr>
            <w:color w:val="000000"/>
          </w:rPr>
          <w:t>08 Оборудование и источники звука</w:t>
        </w:r>
      </w:hyperlink>
      <w:r>
        <w:tab/>
        <w:t>11</w:t>
      </w:r>
    </w:p>
    <w:p>
      <w:pPr>
        <w:pStyle w:val="TOCEntry"/>
        <w:tabs>
          <w:tab w:pos="9792" w:val="right"/>
        </w:tabs>
      </w:pPr>
      <w:hyperlink w:anchor="section_9">
        <w:r>
          <w:rPr>
            <w:color w:val="000000"/>
          </w:rPr>
          <w:t>09 Рабочие места режимы работы и воздействие</w:t>
        </w:r>
      </w:hyperlink>
      <w:r>
        <w:tab/>
        <w:t>12</w:t>
      </w:r>
    </w:p>
    <w:p>
      <w:pPr>
        <w:pStyle w:val="TOCEntry"/>
        <w:tabs>
          <w:tab w:pos="9792" w:val="right"/>
        </w:tabs>
      </w:pPr>
      <w:hyperlink w:anchor="section_10">
        <w:r>
          <w:rPr>
            <w:color w:val="000000"/>
          </w:rPr>
          <w:t>10 Проверка модели перед расчётом</w:t>
        </w:r>
      </w:hyperlink>
      <w:r>
        <w:tab/>
        <w:t>13</w:t>
      </w:r>
    </w:p>
    <w:p>
      <w:pPr>
        <w:pStyle w:val="TOCEntry"/>
        <w:tabs>
          <w:tab w:pos="9792" w:val="right"/>
        </w:tabs>
      </w:pPr>
      <w:hyperlink w:anchor="section_11">
        <w:r>
          <w:rPr>
            <w:color w:val="000000"/>
          </w:rPr>
          <w:t>11 Реализация редактируемой модели в 3D</w:t>
        </w:r>
      </w:hyperlink>
      <w:r>
        <w:tab/>
        <w:t>14</w:t>
      </w:r>
    </w:p>
    <w:p>
      <w:pPr>
        <w:pStyle w:val="TOCEntry"/>
        <w:tabs>
          <w:tab w:pos="9792" w:val="right"/>
        </w:tabs>
      </w:pPr>
      <w:hyperlink w:anchor="section_12">
        <w:r>
          <w:rPr>
            <w:color w:val="000000"/>
          </w:rPr>
          <w:t>12 Карты уровней сечения и объёмный просмотр</w:t>
        </w:r>
      </w:hyperlink>
      <w:r>
        <w:tab/>
        <w:t>15</w:t>
      </w:r>
    </w:p>
    <w:p>
      <w:pPr>
        <w:pStyle w:val="TOCEntry"/>
        <w:tabs>
          <w:tab w:pos="9792" w:val="right"/>
        </w:tabs>
      </w:pPr>
      <w:hyperlink w:anchor="section_13">
        <w:r>
          <w:rPr>
            <w:color w:val="000000"/>
          </w:rPr>
          <w:t>13 Настройки расчёта и численные правила</w:t>
        </w:r>
      </w:hyperlink>
      <w:r>
        <w:tab/>
        <w:t>17</w:t>
      </w:r>
    </w:p>
    <w:p>
      <w:pPr>
        <w:pStyle w:val="TOCEntry"/>
        <w:tabs>
          <w:tab w:pos="9792" w:val="right"/>
        </w:tabs>
      </w:pPr>
      <w:hyperlink w:anchor="section_14">
        <w:r>
          <w:rPr>
            <w:color w:val="000000"/>
          </w:rPr>
          <w:t>14 Адаптер I Simpa и подготовка расчётных файлов</w:t>
        </w:r>
      </w:hyperlink>
      <w:r>
        <w:tab/>
        <w:t>18</w:t>
      </w:r>
    </w:p>
    <w:p>
      <w:pPr>
        <w:pStyle w:val="TOCEntry"/>
        <w:tabs>
          <w:tab w:pos="9792" w:val="right"/>
        </w:tabs>
      </w:pPr>
      <w:hyperlink w:anchor="section_15">
        <w:r>
          <w:rPr>
            <w:color w:val="000000"/>
          </w:rPr>
          <w:t>15 Структура данных и управление версиями</w:t>
        </w:r>
      </w:hyperlink>
      <w:r>
        <w:tab/>
        <w:t>20</w:t>
      </w:r>
    </w:p>
    <w:p>
      <w:pPr>
        <w:pStyle w:val="TOCEntry"/>
        <w:tabs>
          <w:tab w:pos="9792" w:val="right"/>
        </w:tabs>
      </w:pPr>
      <w:hyperlink w:anchor="section_16">
        <w:r>
          <w:rPr>
            <w:color w:val="000000"/>
          </w:rPr>
          <w:t>16 Серверный интерфейс и контракты обмена</w:t>
        </w:r>
      </w:hyperlink>
      <w:r>
        <w:tab/>
        <w:t>21</w:t>
      </w:r>
    </w:p>
    <w:p>
      <w:pPr>
        <w:pStyle w:val="TOCEntry"/>
        <w:tabs>
          <w:tab w:pos="9792" w:val="right"/>
        </w:tabs>
      </w:pPr>
      <w:hyperlink w:anchor="section_17">
        <w:r>
          <w:rPr>
            <w:color w:val="000000"/>
          </w:rPr>
          <w:t>17 Технологии и размещение компонентов</w:t>
        </w:r>
      </w:hyperlink>
      <w:r>
        <w:tab/>
        <w:t>22</w:t>
      </w:r>
    </w:p>
    <w:p>
      <w:pPr>
        <w:pStyle w:val="TOCEntry"/>
        <w:tabs>
          <w:tab w:pos="9792" w:val="right"/>
        </w:tabs>
      </w:pPr>
      <w:hyperlink w:anchor="section_18">
        <w:r>
          <w:rPr>
            <w:color w:val="000000"/>
          </w:rPr>
          <w:t>18 Выполнение заданий устойчивость и отмена</w:t>
        </w:r>
      </w:hyperlink>
      <w:r>
        <w:tab/>
        <w:t>24</w:t>
      </w:r>
    </w:p>
    <w:p>
      <w:pPr>
        <w:pStyle w:val="TOCEntry"/>
        <w:tabs>
          <w:tab w:pos="9792" w:val="right"/>
        </w:tabs>
      </w:pPr>
      <w:hyperlink w:anchor="section_19">
        <w:r>
          <w:rPr>
            <w:color w:val="000000"/>
          </w:rPr>
          <w:t>19 Сценарии сравнение и автоматический подбор</w:t>
        </w:r>
      </w:hyperlink>
      <w:r>
        <w:tab/>
        <w:t>25</w:t>
      </w:r>
    </w:p>
    <w:p>
      <w:pPr>
        <w:pStyle w:val="TOCEntry"/>
        <w:tabs>
          <w:tab w:pos="9792" w:val="right"/>
        </w:tabs>
      </w:pPr>
      <w:hyperlink w:anchor="section_20">
        <w:r>
          <w:rPr>
            <w:color w:val="000000"/>
          </w:rPr>
          <w:t>20 Проверка достоверности и использование для статьи</w:t>
        </w:r>
      </w:hyperlink>
      <w:r>
        <w:tab/>
        <w:t>26</w:t>
      </w:r>
    </w:p>
    <w:p>
      <w:pPr>
        <w:pStyle w:val="TOCEntry"/>
        <w:tabs>
          <w:tab w:pos="9792" w:val="right"/>
        </w:tabs>
      </w:pPr>
      <w:hyperlink w:anchor="section_21">
        <w:r>
          <w:rPr>
            <w:color w:val="000000"/>
          </w:rPr>
          <w:t>21 Отчёты экспорт и обмен результатами</w:t>
        </w:r>
      </w:hyperlink>
      <w:r>
        <w:tab/>
        <w:t>27</w:t>
      </w:r>
    </w:p>
    <w:p>
      <w:pPr>
        <w:pStyle w:val="TOCEntry"/>
        <w:tabs>
          <w:tab w:pos="9792" w:val="right"/>
        </w:tabs>
      </w:pPr>
      <w:hyperlink w:anchor="section_22">
        <w:r>
          <w:rPr>
            <w:color w:val="000000"/>
          </w:rPr>
          <w:t>22 Автономная работа синхронизация и конфликты</w:t>
        </w:r>
      </w:hyperlink>
      <w:r>
        <w:tab/>
        <w:t>28</w:t>
      </w:r>
    </w:p>
    <w:p>
      <w:pPr>
        <w:pStyle w:val="TOCEntry"/>
        <w:tabs>
          <w:tab w:pos="9792" w:val="right"/>
        </w:tabs>
      </w:pPr>
      <w:hyperlink w:anchor="section_23">
        <w:r>
          <w:rPr>
            <w:color w:val="000000"/>
          </w:rPr>
          <w:t>23 Безопасность приватность и лицензии</w:t>
        </w:r>
      </w:hyperlink>
      <w:r>
        <w:tab/>
        <w:t>29</w:t>
      </w:r>
    </w:p>
    <w:p>
      <w:pPr>
        <w:pStyle w:val="TOCEntry"/>
        <w:tabs>
          <w:tab w:pos="9792" w:val="right"/>
        </w:tabs>
      </w:pPr>
      <w:hyperlink w:anchor="section_24">
        <w:r>
          <w:rPr>
            <w:color w:val="000000"/>
          </w:rPr>
          <w:t>24 Производительность лимиты и совместимость</w:t>
        </w:r>
      </w:hyperlink>
      <w:r>
        <w:tab/>
        <w:t>30</w:t>
      </w:r>
    </w:p>
    <w:p>
      <w:pPr>
        <w:pStyle w:val="TOCEntry"/>
        <w:tabs>
          <w:tab w:pos="9792" w:val="right"/>
        </w:tabs>
      </w:pPr>
      <w:hyperlink w:anchor="section_25">
        <w:r>
          <w:rPr>
            <w:color w:val="000000"/>
          </w:rPr>
          <w:t>25 Эксплуатация резервирование и сопровождение</w:t>
        </w:r>
      </w:hyperlink>
      <w:r>
        <w:tab/>
        <w:t>31</w:t>
      </w:r>
    </w:p>
    <w:p>
      <w:pPr>
        <w:pStyle w:val="TOCEntry"/>
        <w:tabs>
          <w:tab w:pos="9792" w:val="right"/>
        </w:tabs>
      </w:pPr>
      <w:hyperlink w:anchor="section_26">
        <w:r>
          <w:rPr>
            <w:color w:val="000000"/>
          </w:rPr>
          <w:t>26 Рабочая среда Cursor и правила разработки</w:t>
        </w:r>
      </w:hyperlink>
      <w:r>
        <w:tab/>
        <w:t>32</w:t>
      </w:r>
    </w:p>
    <w:p>
      <w:pPr>
        <w:pStyle w:val="TOCEntry"/>
        <w:tabs>
          <w:tab w:pos="9792" w:val="right"/>
        </w:tabs>
      </w:pPr>
      <w:hyperlink w:anchor="section_27">
        <w:r>
          <w:rPr>
            <w:color w:val="000000"/>
          </w:rPr>
          <w:t>27 Испытания и проверяемые критерии приёмки</w:t>
        </w:r>
      </w:hyperlink>
      <w:r>
        <w:tab/>
        <w:t>34</w:t>
      </w:r>
    </w:p>
    <w:p>
      <w:pPr>
        <w:pStyle w:val="TOCEntry"/>
        <w:tabs>
          <w:tab w:pos="9792" w:val="right"/>
        </w:tabs>
      </w:pPr>
      <w:hyperlink w:anchor="section_28">
        <w:r>
          <w:rPr>
            <w:color w:val="000000"/>
          </w:rPr>
          <w:t>28 Порядок реализации полной версии</w:t>
        </w:r>
      </w:hyperlink>
      <w:r>
        <w:tab/>
        <w:t>36</w:t>
      </w:r>
    </w:p>
    <w:p>
      <w:pPr>
        <w:pStyle w:val="TOCEntry"/>
        <w:tabs>
          <w:tab w:pos="9792" w:val="right"/>
        </w:tabs>
      </w:pPr>
      <w:hyperlink w:anchor="section_29">
        <w:r>
          <w:rPr>
            <w:color w:val="000000"/>
          </w:rPr>
          <w:t>29 Условия готовности и состав поставки</w:t>
        </w:r>
      </w:hyperlink>
      <w:r>
        <w:tab/>
        <w:t>37</w:t>
      </w:r>
    </w:p>
    <w:p>
      <w:pPr>
        <w:pStyle w:val="TOCEntry"/>
        <w:tabs>
          <w:tab w:pos="9792" w:val="right"/>
        </w:tabs>
      </w:pPr>
      <w:hyperlink w:anchor="section_30">
        <w:r>
          <w:rPr>
            <w:color w:val="000000"/>
          </w:rPr>
          <w:t>30 Примеры контрактов и контрольных данных</w:t>
        </w:r>
      </w:hyperlink>
      <w:r>
        <w:tab/>
        <w:t>38</w:t>
      </w:r>
    </w:p>
    <w:p>
      <w:pPr>
        <w:pStyle w:val="TOCEntry"/>
        <w:tabs>
          <w:tab w:pos="9792" w:val="right"/>
        </w:tabs>
      </w:pPr>
      <w:hyperlink w:anchor="section_31">
        <w:r>
          <w:rPr>
            <w:color w:val="000000"/>
          </w:rPr>
          <w:t>31 Словарь для владельца проекта</w:t>
        </w:r>
      </w:hyperlink>
      <w:r>
        <w:tab/>
        <w:t>40</w:t>
      </w:r>
    </w:p>
    <w:p>
      <w:pPr>
        <w:pStyle w:val="TOCEntry"/>
        <w:tabs>
          <w:tab w:pos="9792" w:val="right"/>
        </w:tabs>
      </w:pPr>
      <w:hyperlink w:anchor="section_32">
        <w:r>
          <w:rPr>
            <w:color w:val="000000"/>
          </w:rPr>
          <w:t>32 Источники технических сведений</w:t>
        </w:r>
      </w:hyperlink>
      <w:r>
        <w:tab/>
        <w:t>41</w:t>
      </w:r>
    </w:p>
    <w:p>
      <w:pPr>
        <w:pStyle w:val="Small"/>
      </w:pPr>
      <w:r>
        <w:t>В Word названия разделов в содержании открывают соответствующее место документа. Коды требований используются в задачах разработки и протоколах испытаний.</w:t>
      </w:r>
    </w:p>
    <w:p>
      <w:r>
        <w:br w:type="page"/>
      </w:r>
    </w:p>
    <w:p>
      <w:bookmarkStart w:id="1" w:name="section_1"/>
      <w:pPr>
        <w:pStyle w:val="Heading1"/>
      </w:pPr>
      <w:r>
        <w:t>01 Назначение и обязательные проектные решения</w:t>
      </w:r>
      <w:bookmarkEnd w:id="1"/>
    </w:p>
    <w:p>
      <w:r>
        <w:rPr>
          <w:b/>
        </w:rPr>
        <w:t>Цель.</w:t>
      </w:r>
      <w:r>
        <w:t xml:space="preserve"> Создать рабочий инструмент предварительного акустического проектирования производственных помещений. Пользователь задаёт помещение и источники, получает прогноз уровней звука в пространстве и на рабочих местах, сравнивает варианты и подбирает мероприятия. Приложение должно сохранять происхождение чисел и позволять повторить расчёт.</w:t>
      </w:r>
    </w:p>
    <w:p>
      <w:r>
        <w:rPr>
          <w:b/>
        </w:rPr>
        <w:t>SYS-001.</w:t>
      </w:r>
      <w:r>
        <w:t xml:space="preserve"> Основной клиент — браузер смартфона. Приложение устанавливается на главный экран как PWA, то есть сайт с интерфейсом приложения и частичной работой без интернета. Отдельная Android-программа и публикация в Google Play не требуются для выполнения этого ТЗ. Основная проверяемая платформа — Chrome на Android; Safari на iPhone входит в итоговую совместимость с оговорёнными ограничениями установки и хранения.</w:t>
      </w:r>
    </w:p>
    <w:p>
      <w:r>
        <w:rPr>
          <w:b/>
        </w:rPr>
        <w:t>SYS-002.</w:t>
      </w:r>
      <w:r>
        <w:t xml:space="preserve"> Телефон выполняет ввод, проверку простых ограничений, сохранение черновика, отображение геометрии и готовых результатов. Акустический расчёт, построение расчётной сетки, подбор вариантов и подготовка больших отчётов выполняются на сервере. Закрытие вкладки не останавливает отправленное серверное задание.</w:t>
      </w:r>
    </w:p>
    <w:p>
      <w:r>
        <w:rPr>
          <w:b/>
        </w:rPr>
        <w:t>SYS-003.</w:t>
      </w:r>
      <w:r>
        <w:t xml:space="preserve"> Использовать расчётное ядро SPPS из открытого проекта I-Simpa через собственный серверный адаптер. Адаптер — программа, переводящая данные приложения в файлы ядра и возвращающая результат в формат приложения. Графический интерфейс I-Simpa не является частью пользовательского веб-интерфейса. Возможность отдельной сборки и корректность обмена должны быть доказаны испытанием, описанным в разделе 28. [S01–S05]</w:t>
      </w:r>
    </w:p>
    <w:p>
      <w:r>
        <w:rPr>
          <w:b/>
        </w:rPr>
        <w:t>SYS-004.</w:t>
      </w:r>
      <w:r>
        <w:t xml:space="preserve"> Помещение существует как редактируемая 3D-модель до расчёта. Нажатие «Рассчитать» добавляет данные о звуке. Поворот камеры, скрытие крыши для обзора и изменение палитры не меняют физическую задачу и не запускают пересчёт.</w:t>
      </w:r>
    </w:p>
    <w:p>
      <w:r>
        <w:rPr>
          <w:b/>
        </w:rPr>
        <w:t>SYS-005.</w:t>
      </w:r>
      <w:r>
        <w:t xml:space="preserve"> Полная версия включает редактор помещений, каталоги, оборудование и рабочие места, серверные расчёты, сечения и объёмный просмотр, сравнение сценариев, ограниченный автоматический подбор, отчёты, импорт и экспорт, автономные черновики, права доступа, резервирование и средства проверки достоверности. Функции не могут считаться готовыми при подмене расчёта заранее нарисованной картой.</w:t>
      </w:r>
    </w:p>
    <w:p>
      <w:r>
        <w:rPr>
          <w:b/>
        </w:rPr>
        <w:t>SYS-006.</w:t>
      </w:r>
      <w:r>
        <w:t xml:space="preserve"> Полная версия ограничена поддерживаемой физической моделью. Программа не выдаёт заключение о соответствии законодательству, не заменяет измерения и не обещает универсальной точности в децибелах. Неподдерживаемый механизм показывается до запуска и в отчёте. Для пользователя это конкретное ограничение выбранной задачи, а не общая мелкая сноска.</w:t>
      </w:r>
    </w:p>
    <w:p>
      <w:r>
        <w:rPr>
          <w:b/>
        </w:rPr>
        <w:t>SYS-007.</w:t>
      </w:r>
      <w:r>
        <w:t xml:space="preserve"> Технические решения этого ТЗ считаются исходными решениями проекта. Замена библиотеки, ядра, формата данных или алгоритма допускается через запись об изменении: причина, затронутые требования, совместимость, повторные испытания. Cursor не должен самостоятельно сокращать функциональность или менять расчётную методику ради упрощения реализации.</w:t>
      </w:r>
    </w:p>
    <w:p>
      <w:pPr>
        <w:pStyle w:val="Heading2"/>
      </w:pPr>
      <w:r>
        <w:t>Решения по спорным вопросам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shd w:fill="303030"/>
            <w:tcMar>
              <w:top w:w="70" w:type="dxa"/>
              <w:left w:w="70" w:type="dxa"/>
              <w:bottom w:w="70" w:type="dxa"/>
              <w:right w:w="70" w:type="dxa"/>
            </w:tcMar>
          </w:tcPr>
          <w:p>
            <w:pPr>
              <w:pStyle w:val="TableBody"/>
            </w:pPr>
            <w:r>
              <w:rPr>
                <w:b/>
                <w:color w:val="FFFFFF"/>
              </w:rPr>
              <w:t>Вопрос</w:t>
            </w:r>
          </w:p>
        </w:tc>
        <w:tc>
          <w:tcPr>
            <w:tcW w:type="dxa" w:w="7488"/>
            <w:vAlign w:val="center"/>
            <w:shd w:fill="303030"/>
            <w:tcMar>
              <w:top w:w="70" w:type="dxa"/>
              <w:left w:w="70" w:type="dxa"/>
              <w:bottom w:w="70" w:type="dxa"/>
              <w:right w:w="70" w:type="dxa"/>
            </w:tcMar>
          </w:tcPr>
          <w:p>
            <w:pPr>
              <w:pStyle w:val="TableBody"/>
            </w:pPr>
            <w:r>
              <w:rPr>
                <w:b/>
                <w:color w:val="FFFFFF"/>
              </w:rPr>
              <w:t>Принятое решение</w:t>
            </w:r>
          </w:p>
        </w:tc>
      </w:tr>
      <w:tr>
        <w:trPr>
          <w:cantSplit/>
        </w:trPr>
        <w:tc>
          <w:tcPr>
            <w:tcW w:type="dxa" w:w="2592"/>
            <w:vAlign w:val="center"/>
            <w:tcMar>
              <w:top w:w="70" w:type="dxa"/>
              <w:left w:w="70" w:type="dxa"/>
              <w:bottom w:w="70" w:type="dxa"/>
              <w:right w:w="70" w:type="dxa"/>
            </w:tcMar>
          </w:tcPr>
          <w:p>
            <w:pPr>
              <w:pStyle w:val="TableBody"/>
            </w:pPr>
            <w:r>
              <w:t>Где считать</w:t>
            </w:r>
          </w:p>
        </w:tc>
        <w:tc>
          <w:tcPr>
            <w:tcW w:type="dxa" w:w="7488"/>
            <w:vAlign w:val="center"/>
            <w:tcMar>
              <w:top w:w="70" w:type="dxa"/>
              <w:left w:w="70" w:type="dxa"/>
              <w:bottom w:w="70" w:type="dxa"/>
              <w:right w:w="70" w:type="dxa"/>
            </w:tcMar>
          </w:tcPr>
          <w:p>
            <w:pPr>
              <w:pStyle w:val="TableBody"/>
            </w:pPr>
            <w:r>
              <w:t>На отдельном сервере Linux в изолированных заданиях CPU; телефон получает состояние и готовые данные.</w:t>
            </w:r>
          </w:p>
        </w:tc>
      </w:tr>
      <w:tr>
        <w:trPr>
          <w:cantSplit/>
        </w:trPr>
        <w:tc>
          <w:tcPr>
            <w:tcW w:type="dxa" w:w="2592"/>
            <w:vAlign w:val="center"/>
            <w:shd w:fill="F3F3F3"/>
            <w:tcMar>
              <w:top w:w="70" w:type="dxa"/>
              <w:left w:w="70" w:type="dxa"/>
              <w:bottom w:w="70" w:type="dxa"/>
              <w:right w:w="70" w:type="dxa"/>
            </w:tcMar>
          </w:tcPr>
          <w:p>
            <w:pPr>
              <w:pStyle w:val="TableBody"/>
            </w:pPr>
            <w:r>
              <w:t>Как строить неправильную комнату</w:t>
            </w:r>
          </w:p>
        </w:tc>
        <w:tc>
          <w:tcPr>
            <w:tcW w:type="dxa" w:w="7488"/>
            <w:vAlign w:val="center"/>
            <w:shd w:fill="F3F3F3"/>
            <w:tcMar>
              <w:top w:w="70" w:type="dxa"/>
              <w:left w:w="70" w:type="dxa"/>
              <w:bottom w:w="70" w:type="dxa"/>
              <w:right w:w="70" w:type="dxa"/>
            </w:tcMar>
          </w:tcPr>
          <w:p>
            <w:pPr>
              <w:pStyle w:val="TableBody"/>
            </w:pPr>
            <w:r>
              <w:t>Замкнутый контур с координатами либо длинами и направлениями стен; одних длин недостаточно.</w:t>
            </w:r>
          </w:p>
        </w:tc>
      </w:tr>
      <w:tr>
        <w:trPr>
          <w:cantSplit/>
        </w:trPr>
        <w:tc>
          <w:tcPr>
            <w:tcW w:type="dxa" w:w="2592"/>
            <w:vAlign w:val="center"/>
            <w:tcMar>
              <w:top w:w="70" w:type="dxa"/>
              <w:left w:w="70" w:type="dxa"/>
              <w:bottom w:w="70" w:type="dxa"/>
              <w:right w:w="70" w:type="dxa"/>
            </w:tcMar>
          </w:tcPr>
          <w:p>
            <w:pPr>
              <w:pStyle w:val="TableBody"/>
            </w:pPr>
            <w:r>
              <w:t>Как учитывать наполненность</w:t>
            </w:r>
          </w:p>
        </w:tc>
        <w:tc>
          <w:tcPr>
            <w:tcW w:type="dxa" w:w="7488"/>
            <w:vAlign w:val="center"/>
            <w:tcMar>
              <w:top w:w="70" w:type="dxa"/>
              <w:left w:w="70" w:type="dxa"/>
              <w:bottom w:w="70" w:type="dxa"/>
              <w:right w:w="70" w:type="dxa"/>
            </w:tcMar>
          </w:tcPr>
          <w:p>
            <w:pPr>
              <w:pStyle w:val="TableBody"/>
            </w:pPr>
            <w:r>
              <w:t>Явные объекты или проверенная модель заполненной зоны; процент занятости сам по себе не задаёт рассеивание.</w:t>
            </w:r>
          </w:p>
        </w:tc>
      </w:tr>
      <w:tr>
        <w:trPr>
          <w:cantSplit/>
        </w:trPr>
        <w:tc>
          <w:tcPr>
            <w:tcW w:type="dxa" w:w="2592"/>
            <w:vAlign w:val="center"/>
            <w:shd w:fill="F3F3F3"/>
            <w:tcMar>
              <w:top w:w="70" w:type="dxa"/>
              <w:left w:w="70" w:type="dxa"/>
              <w:bottom w:w="70" w:type="dxa"/>
              <w:right w:w="70" w:type="dxa"/>
            </w:tcMar>
          </w:tcPr>
          <w:p>
            <w:pPr>
              <w:pStyle w:val="TableBody"/>
            </w:pPr>
            <w:r>
              <w:t>Как смотреть разные плоскости</w:t>
            </w:r>
          </w:p>
        </w:tc>
        <w:tc>
          <w:tcPr>
            <w:tcW w:type="dxa" w:w="7488"/>
            <w:vAlign w:val="center"/>
            <w:shd w:fill="F3F3F3"/>
            <w:tcMar>
              <w:top w:w="70" w:type="dxa"/>
              <w:left w:w="70" w:type="dxa"/>
              <w:bottom w:w="70" w:type="dxa"/>
              <w:right w:w="70" w:type="dxa"/>
            </w:tcMar>
          </w:tcPr>
          <w:p>
            <w:pPr>
              <w:pStyle w:val="TableBody"/>
            </w:pPr>
            <w:r>
              <w:t>Сечения единого трёхмерного результата с заданной высотой и направлением.</w:t>
            </w:r>
          </w:p>
        </w:tc>
      </w:tr>
      <w:tr>
        <w:trPr>
          <w:cantSplit/>
        </w:trPr>
        <w:tc>
          <w:tcPr>
            <w:tcW w:type="dxa" w:w="2592"/>
            <w:vAlign w:val="center"/>
            <w:tcMar>
              <w:top w:w="70" w:type="dxa"/>
              <w:left w:w="70" w:type="dxa"/>
              <w:bottom w:w="70" w:type="dxa"/>
              <w:right w:w="70" w:type="dxa"/>
            </w:tcMar>
          </w:tcPr>
          <w:p>
            <w:pPr>
              <w:pStyle w:val="TableBody"/>
            </w:pPr>
            <w:r>
              <w:t>Как учитывать расстояние 1,2 м</w:t>
            </w:r>
          </w:p>
        </w:tc>
        <w:tc>
          <w:tcPr>
            <w:tcW w:type="dxa" w:w="7488"/>
            <w:vAlign w:val="center"/>
            <w:tcMar>
              <w:top w:w="70" w:type="dxa"/>
              <w:left w:w="70" w:type="dxa"/>
              <w:bottom w:w="70" w:type="dxa"/>
              <w:right w:w="70" w:type="dxa"/>
            </w:tcMar>
          </w:tcPr>
          <w:p>
            <w:pPr>
              <w:pStyle w:val="TableBody"/>
            </w:pPr>
            <w:r>
              <w:t>Через положение рабочего места относительно выбранной стороны станка и высоту уха.</w:t>
            </w:r>
          </w:p>
        </w:tc>
      </w:tr>
      <w:tr>
        <w:trPr>
          <w:cantSplit/>
        </w:trPr>
        <w:tc>
          <w:tcPr>
            <w:tcW w:type="dxa" w:w="2592"/>
            <w:vAlign w:val="center"/>
            <w:shd w:fill="F3F3F3"/>
            <w:tcMar>
              <w:top w:w="70" w:type="dxa"/>
              <w:left w:w="70" w:type="dxa"/>
              <w:bottom w:w="70" w:type="dxa"/>
              <w:right w:w="70" w:type="dxa"/>
            </w:tcMar>
          </w:tcPr>
          <w:p>
            <w:pPr>
              <w:pStyle w:val="TableBody"/>
            </w:pPr>
            <w:r>
              <w:t>Что значит сразу увидеть результат</w:t>
            </w:r>
          </w:p>
        </w:tc>
        <w:tc>
          <w:tcPr>
            <w:tcW w:type="dxa" w:w="7488"/>
            <w:vAlign w:val="center"/>
            <w:shd w:fill="F3F3F3"/>
            <w:tcMar>
              <w:top w:w="70" w:type="dxa"/>
              <w:left w:w="70" w:type="dxa"/>
              <w:bottom w:w="70" w:type="dxa"/>
              <w:right w:w="70" w:type="dxa"/>
            </w:tcMar>
          </w:tcPr>
          <w:p>
            <w:pPr>
              <w:pStyle w:val="TableBody"/>
            </w:pPr>
            <w:r>
              <w:t>Геометрия меняется сразу; уточнённая акустика появляется после серверного задания. Время подтверждается испытаниями.</w:t>
            </w:r>
          </w:p>
        </w:tc>
      </w:tr>
      <w:tr>
        <w:trPr>
          <w:cantSplit/>
        </w:trPr>
        <w:tc>
          <w:tcPr>
            <w:tcW w:type="dxa" w:w="2592"/>
            <w:vAlign w:val="center"/>
            <w:tcMar>
              <w:top w:w="70" w:type="dxa"/>
              <w:left w:w="70" w:type="dxa"/>
              <w:bottom w:w="70" w:type="dxa"/>
              <w:right w:w="70" w:type="dxa"/>
            </w:tcMar>
          </w:tcPr>
          <w:p>
            <w:pPr>
              <w:pStyle w:val="TableBody"/>
            </w:pPr>
            <w:r>
              <w:t>Как подобрать лучший вариант</w:t>
            </w:r>
          </w:p>
        </w:tc>
        <w:tc>
          <w:tcPr>
            <w:tcW w:type="dxa" w:w="7488"/>
            <w:vAlign w:val="center"/>
            <w:tcMar>
              <w:top w:w="70" w:type="dxa"/>
              <w:left w:w="70" w:type="dxa"/>
              <w:bottom w:w="70" w:type="dxa"/>
              <w:right w:w="70" w:type="dxa"/>
            </w:tcMar>
          </w:tcPr>
          <w:p>
            <w:pPr>
              <w:pStyle w:val="TableBody"/>
            </w:pPr>
            <w:r>
              <w:t>Перебрать допустимые мероприятия, проверить ограничения и пересчитать кандидатов; оптимальность среди всех возможных решений не обещается.</w:t>
            </w:r>
          </w:p>
        </w:tc>
      </w:tr>
      <w:tr>
        <w:trPr>
          <w:cantSplit/>
        </w:trPr>
        <w:tc>
          <w:tcPr>
            <w:tcW w:type="dxa" w:w="2592"/>
            <w:vAlign w:val="center"/>
            <w:shd w:fill="F3F3F3"/>
            <w:tcMar>
              <w:top w:w="70" w:type="dxa"/>
              <w:left w:w="70" w:type="dxa"/>
              <w:bottom w:w="70" w:type="dxa"/>
              <w:right w:w="70" w:type="dxa"/>
            </w:tcMar>
          </w:tcPr>
          <w:p>
            <w:pPr>
              <w:pStyle w:val="TableBody"/>
            </w:pPr>
            <w:r>
              <w:t>Как использовать исходники законно</w:t>
            </w:r>
          </w:p>
        </w:tc>
        <w:tc>
          <w:tcPr>
            <w:tcW w:type="dxa" w:w="7488"/>
            <w:vAlign w:val="center"/>
            <w:shd w:fill="F3F3F3"/>
            <w:tcMar>
              <w:top w:w="70" w:type="dxa"/>
              <w:left w:w="70" w:type="dxa"/>
              <w:bottom w:w="70" w:type="dxa"/>
              <w:right w:w="70" w:type="dxa"/>
            </w:tcMar>
          </w:tcPr>
          <w:p>
            <w:pPr>
              <w:pStyle w:val="TableBody"/>
            </w:pPr>
            <w:r>
              <w:t>Выпуск с открытым соответствующим кодом и соблюдением лицензий; закрытый вариант требует отдельного решения по зависимостям.</w:t>
            </w:r>
          </w:p>
        </w:tc>
      </w:tr>
    </w:tbl>
    <w:p>
      <w:pPr>
        <w:spacing w:after="0"/>
      </w:pPr>
    </w:p>
    <w:p>
      <w:bookmarkStart w:id="2" w:name="section_2"/>
      <w:pPr>
        <w:pStyle w:val="Heading1"/>
      </w:pPr>
      <w:r>
        <w:t>02 Акустическая модель и границы результата</w:t>
      </w:r>
      <w:bookmarkEnd w:id="2"/>
    </w:p>
    <w:p>
      <w:r>
        <w:rPr>
          <w:b/>
        </w:rPr>
        <w:t>PHY-001.</w:t>
      </w:r>
      <w:r>
        <w:t xml:space="preserve"> Основная величина карты — прогнозируемый уровень звукового давления в точке: по полосам частот в дБ и суммарный A-взвешенный уровень в дБА. Звуковая мощность источника Lw и уровень давления Lp у человека — разные величины. В интерфейсе и данных они имеют разные поля и подписи.</w:t>
      </w:r>
    </w:p>
    <w:p>
      <w:r>
        <w:rPr>
          <w:b/>
        </w:rPr>
        <w:t>PHY-002.</w:t>
      </w:r>
      <w:r>
        <w:t xml:space="preserve"> Базовый режим — стационарный шум работающего оборудования в заданном режиме. Изменение работы в течение смены представляется отдельными временными состояниями, каждое из которых считается стационарным. Эхо-грамма ядра, то есть распределение прихода энергии после импульса, не равна графику работы станка за смену.</w:t>
      </w:r>
    </w:p>
    <w:p>
      <w:r>
        <w:rPr>
          <w:b/>
        </w:rPr>
        <w:t>PHY-003.</w:t>
      </w:r>
      <w:r>
        <w:t xml:space="preserve"> Базовый набор частот — октавные полосы 63, 125, 250, 500, 1000, 2000, 4000 и 8000 Гц. Каждая полоса доступна только при поддержке выбранной сборкой ядра и наличии входных данных. Третьоктавный режим входит в расширенную настройку полной версии только для проверенного набора полос; он не создаёт отсутствующий спектр автоматически. Расчёт 63 Гц допускается с заметной отметкой о возможной неприменимости геометрического подхода в небольших помещениях.</w:t>
      </w:r>
    </w:p>
    <w:p>
      <w:r>
        <w:rPr>
          <w:b/>
        </w:rPr>
        <w:t>PHY-004.</w:t>
      </w:r>
      <w:r>
        <w:t xml:space="preserve"> Учитывать прямой звук, отражения от поверхностей, заданное рассеивание, поглощение на поверхностях и в воздухе; дополнительные механизмы использовать лишь после проверки их реализации в закреплённой версии SPPS. Сведения о доступных механизмах хранить в реестре возможностей ядра, а не только в тексте интерфейса. [S02, S03]</w:t>
      </w:r>
    </w:p>
    <w:p>
      <w:r>
        <w:rPr>
          <w:b/>
        </w:rPr>
        <w:t>PHY-005.</w:t>
      </w:r>
      <w:r>
        <w:t xml:space="preserve"> Для базового SPPS не заявлять расчёт дифракции на кромках, фазовой интерференции, комнатных мод и вибрационной передачи через строительные конструкции. Зона за экраном может выглядеть слишком тихой из-за отсутствия дифракции. Такие варианты получают статус «ограниченная применимость»; уменьшение шума за экраном не становится подтверждённой рекомендацией автоматически.</w:t>
      </w:r>
    </w:p>
    <w:p>
      <w:r>
        <w:rPr>
          <w:b/>
        </w:rPr>
        <w:t>PHY-006.</w:t>
      </w:r>
      <w:r>
        <w:t xml:space="preserve"> Не использовать простое уменьшение свободного объёма как универсальную поправку к уровню. Стеллаж влияет через расположение, размеры, препятствование распространению, поглощение, рассеивание и заполнение. Один и тот же объём предметов при разной расстановке может дать разные результаты.</w:t>
      </w:r>
    </w:p>
    <w:p>
      <w:r>
        <w:rPr>
          <w:b/>
        </w:rPr>
        <w:t>PHY-007.</w:t>
      </w:r>
      <w:r>
        <w:t xml:space="preserve"> Сложение независимых источников выполнять по энергии. Децибелы нельзя складывать или усреднять обычным арифметическим действием. A-коррекцию применять один раз к невзвешенным уровням полос; исходный общий уровень дБА не считать отдельной дополнительной полосой.</w:t>
      </w:r>
    </w:p>
    <w:p>
      <w:r>
        <w:rPr>
          <w:b/>
        </w:rPr>
        <w:t>PHY-008.</w:t>
      </w:r>
      <w:r>
        <w:t xml:space="preserve"> Использовать последовательную систему единиц: длина м; площадь м²; объём м³; время с; частота Гц; температура °C; относительная влажность %; давление Па. Опорное давление для SPL — 20 мкПа; опорная звуковая мощность — 1 пВт. Тип величины и единица обязательно сопровождают каждый числовой массив результатов.</w:t>
      </w:r>
    </w:p>
    <w:p>
      <w:r>
        <w:rPr>
          <w:b/>
        </w:rPr>
        <w:t>PHY-009.</w:t>
      </w:r>
      <w:r>
        <w:t xml:space="preserve"> Температура, влажность и атмосферное давление задаются для проекта; предлагаемые начальные значения 20 °C, 50 % и 101325 Па показываются как принятые предположения. Параметры воздуха передаются ядру, если соответствующая функция включена. Отключение воздушного поглощения отражается в отчёте.</w:t>
      </w:r>
    </w:p>
    <w:p>
      <w:r>
        <w:rPr>
          <w:b/>
        </w:rPr>
        <w:t>PHY-010.</w:t>
      </w:r>
      <w:r>
        <w:t xml:space="preserve"> Разделять три вида неопределённости: случайный разброс численного метода; неизвестность исходных характеристик; недостатки самой физической модели. Малый численный разброс не доказывает правильность исходной мощности станка или расчёта за экраном. Не выводить единый «процент достоверности» без валидированной методики.</w:t>
      </w:r>
    </w:p>
    <w:p>
      <w:bookmarkStart w:id="3" w:name="section_3"/>
      <w:pPr>
        <w:pStyle w:val="Heading1"/>
      </w:pPr>
      <w:r>
        <w:t>03 Пользователи проекты и права</w:t>
      </w:r>
      <w:bookmarkEnd w:id="3"/>
    </w:p>
    <w:p>
      <w:r>
        <w:rPr>
          <w:b/>
        </w:rPr>
        <w:t>ACC-001.</w:t>
      </w:r>
      <w:r>
        <w:t xml:space="preserve"> Предусмотреть личные и организационные проекты. Роли проекта: владелец, редактор и наблюдатель. Роль специалиста по каталогам выдаётся отдельно; администратор сервиса управляет инфраструктурой и учётными записями, но не получает автоматического разрешения изменять инженерные данные проекта.</w:t>
      </w:r>
    </w:p>
    <w:p>
      <w:r>
        <w:rPr>
          <w:b/>
        </w:rPr>
        <w:t>ACC-002.</w:t>
      </w:r>
      <w:r>
        <w:t xml:space="preserve"> Владелец управляет доступом, удалением и передачей проекта. Редактор меняет модель, создаёт сценарии, запускает расчёт в пределах квоты, выпускает отчёт. Наблюдатель читает доступные версии и результаты. Экспорт и запуск дорогого подбора можно отключить отдельными разрешениями. Все проверки выполняются сервером.</w:t>
      </w:r>
    </w:p>
    <w:p>
      <w:r>
        <w:rPr>
          <w:b/>
        </w:rPr>
        <w:t>ACC-003.</w:t>
      </w:r>
      <w:r>
        <w:t xml:space="preserve"> Без регистрации доступен локальный учебный проект и редактор черновика. Отправка пользовательских данных на расчётный сервер требует входа. Учебный пример содержит явную подпись «демонстрационные данные» и не смешивается с проектами пользователя.</w:t>
      </w:r>
    </w:p>
    <w:p>
      <w:r>
        <w:rPr>
          <w:b/>
        </w:rPr>
        <w:t>ACC-004.</w:t>
      </w:r>
      <w:r>
        <w:t xml:space="preserve"> Карточка проекта содержит название, описание, объект исследования, автора, организацию при необходимости, единицы, язык, дату изменения, статус синхронизации и число расчётов. Адрес предприятия необязателен. Поиск — по названию, меткам и номеру проекта; фильтры — мои, общие, архивные.</w:t>
      </w:r>
    </w:p>
    <w:p>
      <w:r>
        <w:rPr>
          <w:b/>
        </w:rPr>
        <w:t>ACC-005.</w:t>
      </w:r>
      <w:r>
        <w:t xml:space="preserve"> Проект поддерживает дублирование, архивирование, экспорт, корзину и восстановление. Срок корзины по умолчанию 30 дней является настройкой сервиса. Окончательное удаление требует отдельного подтверждения с перечислением удаляемых результатов. Резервные копии удаляются по опубликованному графику хранения.</w:t>
      </w:r>
    </w:p>
    <w:p>
      <w:r>
        <w:rPr>
          <w:b/>
        </w:rPr>
        <w:t>ACC-006.</w:t>
      </w:r>
      <w:r>
        <w:t xml:space="preserve"> Приглашение другого пользователя создаётся владельцем адресно с выбранной ролью и сроком действия. Общедоступная ссылка не создаётся автоматически. Режим совместного редактирования в этой версии последовательный: один активный редактор с ограниченной по времени блокировкой; остальные видят режим чтения или создают свою ветвь.</w:t>
      </w:r>
    </w:p>
    <w:p>
      <w:bookmarkStart w:id="4" w:name="section_4"/>
      <w:pPr>
        <w:pStyle w:val="Heading1"/>
      </w:pPr>
      <w:r>
        <w:t>04 Мобильный интерфейс и основные сценарии</w:t>
      </w:r>
      <w:bookmarkEnd w:id="4"/>
    </w:p>
    <w:p>
      <w:r>
        <w:rPr>
          <w:b/>
        </w:rPr>
        <w:t>UX-001.</w:t>
      </w:r>
      <w:r>
        <w:t xml:space="preserve"> Основная навигация состоит из разделов «Проекты», «Модель», «Расчёты», «Сравнение», «Отчёт». Внутри модели доступны кнопки «Сверху», «Сбоку», «Спереди», «3D». Названия и расположение основных действий остаются одинаковыми в портретной и альбомной ориентации.</w:t>
      </w:r>
    </w:p>
    <w:p>
      <w:r>
        <w:rPr>
          <w:b/>
        </w:rPr>
        <w:t>UX-002.</w:t>
      </w:r>
      <w:r>
        <w:t xml:space="preserve"> Основной экран модели содержит верхнюю строку проекта и версии, рабочую область, компактные кнопки вида, индикатор сохранения и нижнюю панель свойств выбранного объекта. Панель раскрывается на часть экрана или целиком. Нажатие «Готово» применяет допустимые изменения; «Отмена» возвращает значения до открытия карточки.</w:t>
      </w:r>
    </w:p>
    <w:p>
      <w:r>
        <w:rPr>
          <w:b/>
        </w:rPr>
        <w:t>UX-003.</w:t>
      </w:r>
      <w:r>
        <w:t xml:space="preserve"> Создание проекта выполняется шагами: контур и высота; материалы; перегородки и заполнение; оборудование; рабочие места и режимы; проверка; расчёт. Можно вернуться на предыдущий шаг без потери данных. Дополнительные поля скрываются под «Подробно», но текущие значения и предположения доступны в обзоре перед запуском.</w:t>
      </w:r>
    </w:p>
    <w:p>
      <w:r>
        <w:rPr>
          <w:b/>
        </w:rPr>
        <w:t>UX-004.</w:t>
      </w:r>
      <w:r>
        <w:t xml:space="preserve"> Касание выбирает объект; повторное касание открывает его карточку. Перемещение объекта доступно только в режиме «Переместить». В 3D обычный жест управляет камерой. Это исключает случайную перестановку станка при вращении модели. Предусмотреть отдельные режимы «Размеры», «Измерить расстояние» и «Выбрать поверхность».</w:t>
      </w:r>
    </w:p>
    <w:p>
      <w:r>
        <w:rPr>
          <w:b/>
        </w:rPr>
        <w:t>UX-005.</w:t>
      </w:r>
      <w:r>
        <w:t xml:space="preserve"> В 2D один палец перемещает выбранный объект в режиме редактирования; два пальца перемещают и масштабируют план. В 3D один палец вращает камеру, два масштабируют и сдвигают. Каждому жесту соответствует видимая кнопка или числовой ввод. Системное увеличение страницы и доступность текста не отключать глобально.</w:t>
      </w:r>
    </w:p>
    <w:p>
      <w:r>
        <w:rPr>
          <w:b/>
        </w:rPr>
        <w:t>UX-006.</w:t>
      </w:r>
      <w:r>
        <w:t xml:space="preserve"> Минимальный размер сенсорной цели — 44 × 44 CSS px. Интерфейс работает от ширины 360 CSS px без горизонтальной прокрутки форм. Учитывать вырез экрана, нижнюю системную область, экранную клавиатуру и динамическую высоту браузера. Числовые поля открывают подходящую клавиатуру и принимают десятичную запятую.</w:t>
      </w:r>
    </w:p>
    <w:p>
      <w:r>
        <w:rPr>
          <w:b/>
        </w:rPr>
        <w:t>UX-007.</w:t>
      </w:r>
      <w:r>
        <w:t xml:space="preserve"> Пользователь видит состояния «сохраняется на телефоне», «сохранено на телефоне», «синхронизировано», «нет соединения», «есть конфликт». Нельзя показывать единое «сохранено», если сервер не подтвердил запись. Локальное изменение сохраняется с задержкой до 1 секунды после окончания ввода; переключение экрана сначала фиксирует черновик.</w:t>
      </w:r>
    </w:p>
    <w:p>
      <w:r>
        <w:rPr>
          <w:b/>
        </w:rPr>
        <w:t>UX-008.</w:t>
      </w:r>
      <w:r>
        <w:t xml:space="preserve"> Поддержать отмену и повтор минимум последних 100 действий текущей сессии. Групповые операции составляют один шаг отмены. Удаление станка показывает связанные рабочие места и источники; пользователь выбирает удаление связей или сохранение рабочих мест в прежних координатах. Восстановление возвращает связи.</w:t>
      </w:r>
    </w:p>
    <w:p>
      <w:r>
        <w:rPr>
          <w:b/>
        </w:rPr>
        <w:t>UX-009.</w:t>
      </w:r>
      <w:r>
        <w:t xml:space="preserve"> Ошибка показывается рядом с полем и в списке проблем с переходом к объекту. Сообщение объясняет действие: «Контур пересекает сам себя. Переместите угол 5», а не только «Ошибка геометрии». Длительные операции имеют отмену, этап, прошедшее время и причину ожидания.</w:t>
      </w:r>
    </w:p>
    <w:p>
      <w:r>
        <w:rPr>
          <w:b/>
        </w:rPr>
        <w:t>UX-010.</w:t>
      </w:r>
      <w:r>
        <w:t xml:space="preserve"> Язык начальной версии — русский; все строки вынесены в словари для украинского и английского перевода. Единицы, названия величин, подписи шкалы и значения доступны текстом. Красный и зелёный не являются единственным способом различать состояния. Предусмотреть палитру с хорошей различимостью при нарушениях цветового зрения.</w:t>
      </w:r>
    </w:p>
    <w:p>
      <w:pPr>
        <w:pStyle w:val="Heading2"/>
      </w:pPr>
      <w:r>
        <w:t>Экран результата</w:t>
      </w:r>
    </w:p>
    <w:p>
      <w:r>
        <w:rPr>
          <w:b/>
        </w:rPr>
        <w:t>UX-011.</w:t>
      </w:r>
      <w:r>
        <w:t xml:space="preserve"> На экране результата всегда видны: сценарий, версия модели, показатель, частотный режим, положение сечения, единица шкалы и статус применимости. Нижняя карточка показывает выбранное рабочее место или точку карты. Переключение на старую версию не должно незаметно менять текущую редактируемую геометрию.</w:t>
      </w:r>
    </w:p>
    <w:p>
      <w:r>
        <w:rPr>
          <w:b/>
        </w:rPr>
        <w:t>UX-012.</w:t>
      </w:r>
      <w:r>
        <w:t xml:space="preserve"> При нехватке места показатели открываются в панели, а не накладываются все одновременно на 3D. Нажатие на область с несколькими объектами открывает список кандидатов. Для скрытого за стеной оборудования доступен поиск по списку объектов. Предусмотреть кнопку «Вернуть вид» для восстановления камеры.</w:t>
      </w:r>
    </w:p>
    <w:p>
      <w:bookmarkStart w:id="5" w:name="section_5"/>
      <w:pPr>
        <w:pStyle w:val="Heading1"/>
      </w:pPr>
      <w:r>
        <w:t>05 Геометрия помещений и ввод размеров</w:t>
      </w:r>
      <w:bookmarkEnd w:id="5"/>
    </w:p>
    <w:p>
      <w:r>
        <w:rPr>
          <w:b/>
        </w:rPr>
        <w:t>GEO-001.</w:t>
      </w:r>
      <w:r>
        <w:t xml:space="preserve"> Поддержать прямоугольное, Г-образное, произвольное многоугольное помещение и систему связанных помещений. Основной путь — нарисовать замкнутый контур сверху, затем уточнить длины, углы и высоту. Вершины имеют стабильные идентификаторы; изменение контура не должно случайно переносить материал на другую стену.</w:t>
      </w:r>
    </w:p>
    <w:p>
      <w:r>
        <w:rPr>
          <w:b/>
        </w:rPr>
        <w:t>GEO-002.</w:t>
      </w:r>
      <w:r>
        <w:t xml:space="preserve"> Последовательный ввод стен требует длину и направление: угол, поворот относительно предыдущей стены или привязку «горизонтально/вертикально». Для произвольного четырёхугольника дополнительно нужна диагональ или угол, если контур не определён однозначно. Система показывает недостающие условия и не выбирает скрытую произвольную форму.</w:t>
      </w:r>
    </w:p>
    <w:p>
      <w:r>
        <w:rPr>
          <w:b/>
        </w:rPr>
        <w:t>GEO-003.</w:t>
      </w:r>
      <w:r>
        <w:t xml:space="preserve"> Замыкание контура выполняется явным действием. Если последняя точка не совпала с первой, показать величину ошибки. Предлагать исправление выбранной стены либо распределение поправки по незакреплённым размерам с предварительным просмотром. Закреплённые измеренные размеры автоматически не изменять.</w:t>
      </w:r>
    </w:p>
    <w:p>
      <w:r>
        <w:rPr>
          <w:b/>
        </w:rPr>
        <w:t>GEO-004.</w:t>
      </w:r>
      <w:r>
        <w:t xml:space="preserve"> Разрешить числовой ввод координат, длин, углов и высот, привязку к сетке, параллельности, перпендикулярности и существующим вершинам. Размерная линия показывает внутренний размер помещения. Единицы импорта подтверждаются отдельно. Внутренние вычисления используют метры с двойной точностью, а округление относится только к показу.</w:t>
      </w:r>
    </w:p>
    <w:p>
      <w:r>
        <w:rPr>
          <w:b/>
        </w:rPr>
        <w:t>GEO-005.</w:t>
      </w:r>
      <w:r>
        <w:t xml:space="preserve"> Внутренняя система координат: X и Y в плоскости пола, Z вверх; правая система. Нулевая точка выбирается при создании. Высота рабочего места определяется относительно локального пола. Для рельефного пола хранится поверхность пола и абсолютная отметка точки, а не только одно глобальное значение высоты.</w:t>
      </w:r>
    </w:p>
    <w:p>
      <w:r>
        <w:rPr>
          <w:b/>
        </w:rPr>
        <w:t>GEO-006.</w:t>
      </w:r>
      <w:r>
        <w:t xml:space="preserve"> Геометрия поддерживает ровный и наклонный потолок, несколько плоских участков крыши, колонны, проёмы, внутренние помещения и площадки. Изогнутые поверхности задаются полигональным приближением с указанной точностью. Автоматическое распознавание сложной архитектуры по фотографии не входит в обязательный функционал.</w:t>
      </w:r>
    </w:p>
    <w:p>
      <w:r>
        <w:rPr>
          <w:b/>
        </w:rPr>
        <w:t>GEO-007.</w:t>
      </w:r>
      <w:r>
        <w:t xml:space="preserve"> Для нескольких помещений общая стена имеет согласованную границу и стороны; открытый проход связывает воздушные области. Закрытая перегородка не должна порождать незаметный зазор. Система должна различать комнату, твёрдый объём и доступную для звука воздушную область.</w:t>
      </w:r>
    </w:p>
    <w:p>
      <w:r>
        <w:rPr>
          <w:b/>
        </w:rPr>
        <w:t>GEO-008.</w:t>
      </w:r>
      <w:r>
        <w:t xml:space="preserve"> Толщина стен нужна для наглядности, размещения и выбранной модели передачи. Для обычного отражающего ограждения расчёт ведётся по внутренней поверхности. Нельзя одновременно применять две независимые передачи к двум визуальным сторонам одной тонкой стены. Правило построения физических граней фиксируется адаптером.</w:t>
      </w:r>
    </w:p>
    <w:p>
      <w:r>
        <w:rPr>
          <w:b/>
        </w:rPr>
        <w:t>GEO-009.</w:t>
      </w:r>
      <w:r>
        <w:t xml:space="preserve"> Дверь и окно — объект с размерами, высотой низа, родительской стеной и состоянием. Закрытое окно является материалом с заданными свойствами. Открытый проём наружу выводит энергию за границу модели; приложение не рисует внешнее звуковое поле без отдельной поддерживаемой модели. Проём в соседнюю комнату соединяет её воздушный объём.</w:t>
      </w:r>
    </w:p>
    <w:p>
      <w:r>
        <w:rPr>
          <w:b/>
        </w:rPr>
        <w:t>GEO-010.</w:t>
      </w:r>
      <w:r>
        <w:t xml:space="preserve"> Фото или скан плана можно использовать как подложку. Пользователь указывает две независимые контрольные длины, проверяет масштаб и при необходимости исправляет искажение. Подложка не участвует в расчёте. Перед сохранением контур, обведённый по изображению, подтверждается числовыми размерами.</w:t>
      </w:r>
    </w:p>
    <w:p>
      <w:r>
        <w:rPr>
          <w:b/>
        </w:rPr>
        <w:t>GEO-011.</w:t>
      </w:r>
      <w:r>
        <w:t xml:space="preserve"> Импорт собственной модели проекта обязателен. Импорт GLB/GLTF поддерживает наглядную геометрию, а STL/PLY — треугольную поверхность при успешной проверке. Импортированные поверхности не получают акустический материал из цвета или текстуры. Поддержка DWG, IFC и полного BIM не требуется; DXF допускается как дополнительный импорт плоских отрезков с ручным формированием контура.</w:t>
      </w:r>
    </w:p>
    <w:p>
      <w:r>
        <w:rPr>
          <w:b/>
        </w:rPr>
        <w:t>GEO-012.</w:t>
      </w:r>
      <w:r>
        <w:t xml:space="preserve"> Перед расчётом проверять самопересечения, нулевую площадь, дубли граней, ориентацию нормалей, замкнутость, почти совпадающие вершины, зазоры, пересечения объектов и минимальные толщины. Проектная базовая погрешность сшивки — 1 мм для обычных размеров цеха; фактический допуск зависит от масштаба и записывается. Исправления сверх допуска требуют предварительного просмотра.</w:t>
      </w:r>
    </w:p>
    <w:p>
      <w:r>
        <w:rPr>
          <w:b/>
        </w:rPr>
        <w:t>GEO-013.</w:t>
      </w:r>
      <w:r>
        <w:t xml:space="preserve"> Площадь пола, площадь выбранных поверхностей, полный и доступный воздушный объём рассчитываются из геометрии. Объём пересекающихся твёрдых объектов не вычитается дважды. Эти числа служат контролем модели; они не заменяют пространственный расчёт звука.</w:t>
      </w:r>
    </w:p>
    <w:p>
      <w:r>
        <w:rPr>
          <w:b/>
        </w:rPr>
        <w:t>GEO-014.</w:t>
      </w:r>
      <w:r>
        <w:t xml:space="preserve"> Последовательное построение контура выполнять из начальной точки, длины и направления каждой стены. При изменении размера пользователь выбирает закреплённый конец; разрешается изменить только незакреплённые соседние вершины. Если ограничения противоречат друг другу, показать конфликт. Автоматическое распределение поправки является отдельной подтверждаемой операцией; полноценный универсальный CAD-решатель не является обязательной зависимостью.</w:t>
      </w:r>
    </w:p>
    <w:p>
      <w:r>
        <w:rPr>
          <w:b/>
        </w:rPr>
        <w:t>GEO-015.</w:t>
      </w:r>
      <w:r>
        <w:t xml:space="preserve"> Для проверок и пересечений плоских контуров на сервере использовать Shapely/GEOS; его плоские операции не применяются как проверка объёмной геометрии по Z. Триангуляцию плоских граней для отображения выполнять средствами Three.js ShapeUtils либо совместимым проверенным алгоритмом. Итоговые физические грани и объёмную сетку проверять отдельно средствами адаптера и TetGen. Отверстия и внутренние контуры сохраняются при триангуляции. [S31, S32]</w:t>
      </w:r>
    </w:p>
    <w:p>
      <w:bookmarkStart w:id="6" w:name="section_6"/>
      <w:pPr>
        <w:pStyle w:val="Heading1"/>
      </w:pPr>
      <w:r>
        <w:t>06 Материалы поверхности и проёмы</w:t>
      </w:r>
      <w:bookmarkEnd w:id="6"/>
    </w:p>
    <w:p>
      <w:r>
        <w:rPr>
          <w:b/>
        </w:rPr>
        <w:t>MAT-001.</w:t>
      </w:r>
      <w:r>
        <w:t xml:space="preserve"> Карточка материала содержит название, тип конструкции, производителя при наличии, толщину, способ монтажа, воздушный зазор, спектральные коэффициенты, источник данных, дату и версию. «Минвата» без толщины и монтажа не является однозначной акустической характеристикой.</w:t>
      </w:r>
    </w:p>
    <w:p>
      <w:r>
        <w:rPr>
          <w:b/>
        </w:rPr>
        <w:t>MAT-002.</w:t>
      </w:r>
      <w:r>
        <w:t xml:space="preserve"> Каждая характеристика имеет статус «измерено», «документ производителя», «литературные данные», «оценка» или «не задано». Данные производителя сохраняются со ссылкой или приложенным документом и условиями измерений. Публичный каталог модерируется; личные материалы не становятся общими автоматически.</w:t>
      </w:r>
    </w:p>
    <w:p>
      <w:r>
        <w:rPr>
          <w:b/>
        </w:rPr>
        <w:t>MAT-003.</w:t>
      </w:r>
      <w:r>
        <w:t xml:space="preserve"> Коэффициенты задаются по частотным полосам. Отсутствующую полосу нельзя заменять нулём. Разрешается явно включённая интерполяция между известными полосами по логарифму частоты с отметкой «оценено»; экстраполяция за диапазон по умолчанию запрещена. Расчётная частотная сетка согласуется для материалов, источников и ядра.</w:t>
      </w:r>
    </w:p>
    <w:p>
      <w:r>
        <w:rPr>
          <w:b/>
        </w:rPr>
        <w:t>MAT-004.</w:t>
      </w:r>
      <w:r>
        <w:t xml:space="preserve"> Различать поглощение, рассеивание и передачу через конструкцию. Для хранения энергетического баланса использовать долю отражённой энергии R, долю рассеянной в тепло β и долю переданной энергии τ; их сумма равна единице. Измеренное «поглощение» может означать потерю из исходного помещения, включая передачу; тип данных обязателен.</w:t>
      </w:r>
    </w:p>
    <w:p>
      <w:r>
        <w:rPr>
          <w:b/>
        </w:rPr>
        <w:t>MAT-005.</w:t>
      </w:r>
      <w:r>
        <w:t xml:space="preserve"> В адаптере SPPS корректно сопоставить его параметр поглощения с β + τ, если именно такую трактовку подтверждает выбранный режим ядра; коэффициент передачи или изоляцию преобразовывать отдельно. Проверять τ ≤ α при этой трактовке. Для потерь передачи TL использовать τ = 10 в степени −TL/10. Сопоставление подтверждается однослойным испытанием энергетического баланса. [S03, S06]</w:t>
      </w:r>
    </w:p>
    <w:p>
      <w:r>
        <w:rPr>
          <w:b/>
        </w:rPr>
        <w:t>MAT-006.</w:t>
      </w:r>
      <w:r>
        <w:t xml:space="preserve"> Если передача не моделируется, материал обозначается «без расчёта передачи», а не «абсолютно звукоизолирующий». Для внутренних перегородок выбор модели передачи обязателен, если пользователь намерен сравнивать уровни в соседнем помещении. Вибрационная и обходная передача не добавляются произвольной поправкой.</w:t>
      </w:r>
    </w:p>
    <w:p>
      <w:r>
        <w:rPr>
          <w:b/>
        </w:rPr>
        <w:t>MAT-007.</w:t>
      </w:r>
      <w:r>
        <w:t xml:space="preserve"> Параметр рассеивания и закон распределения отражённого звука хранить раздельно. Значения зависят от частоты и доступной модели ядра. Нельзя выводить коэффициент рассеивания только из визуальной шероховатости 3D-текстуры. Предлагаемые типовые значения помечаются как оценочные.</w:t>
      </w:r>
    </w:p>
    <w:p>
      <w:r>
        <w:rPr>
          <w:b/>
        </w:rPr>
        <w:t>MAT-008.</w:t>
      </w:r>
      <w:r>
        <w:t xml:space="preserve"> Материал можно назначить всему помещению, группе граней или отдельному участку. Приоритет: участок, конкретная грань, тип поверхности помещения. Видимая граница участков сохраняется в расчётной геометрии. Две накладывающиеся облицовки не суммируют коэффициенты; пользователь выбирает готовую составную конструкцию.</w:t>
      </w:r>
    </w:p>
    <w:p>
      <w:r>
        <w:rPr>
          <w:b/>
        </w:rPr>
        <w:t>MAT-009.</w:t>
      </w:r>
      <w:r>
        <w:t xml:space="preserve"> Обновление каталога не изменяет существующую ревизию проекта. Пользователь получает список отличий и создаёт новую ревизию при обновлении. Все результаты сохраняют точные старые свойства материалов. Разрешить копирование материала в личный каталог с новым идентификатором и указанием происхождения.</w:t>
      </w:r>
    </w:p>
    <w:p>
      <w:r>
        <w:rPr>
          <w:b/>
        </w:rPr>
        <w:t>MAT-010.</w:t>
      </w:r>
      <w:r>
        <w:t xml:space="preserve"> Рабочие энергетические коэффициенты модели лежат в диапазоне 0–1. Если опубликованный метод измерения дал коэффициент поглощения выше 1, исходное число сохраняется как характеристика документа, но в расчёт напрямую не передаётся. Специалист задаёт физически допустимое приближение с объяснением; скрыто обрезать исходную таблицу нельзя.</w:t>
      </w:r>
    </w:p>
    <w:p>
      <w:bookmarkStart w:id="7" w:name="section_7"/>
      <w:pPr>
        <w:pStyle w:val="Heading1"/>
      </w:pPr>
      <w:r>
        <w:t>07 Наполнение перегородки и стеллажи</w:t>
      </w:r>
      <w:bookmarkEnd w:id="7"/>
    </w:p>
    <w:p>
      <w:r>
        <w:rPr>
          <w:b/>
        </w:rPr>
        <w:t>OBJ-001.</w:t>
      </w:r>
      <w:r>
        <w:t xml:space="preserve"> Библиотека объектов включает стеллаж, шкаф, поддон с грузом, колонну, отдельное хозяйственное помещение, перегородку, подвесную панель, акустический экран и пользовательский объект. Каждый имеет размеры, положение, поворот, материал и акустический режим. Расположение вдоль стены — удобная привязка, а не отдельный физический тип.</w:t>
      </w:r>
    </w:p>
    <w:p>
      <w:r>
        <w:rPr>
          <w:b/>
        </w:rPr>
        <w:t>OBJ-002.</w:t>
      </w:r>
      <w:r>
        <w:t xml:space="preserve"> Разделять режимы «только изображение», «твёрдое препятствие» и «заполненная зона». Декоративные элементы не участвуют в расчёте. Переключатель режима виден в карточке, а перед запуском показывается перечень объектов, исключённых из акустики.</w:t>
      </w:r>
    </w:p>
    <w:p>
      <w:r>
        <w:rPr>
          <w:b/>
        </w:rPr>
        <w:t>OBJ-003.</w:t>
      </w:r>
      <w:r>
        <w:t xml:space="preserve"> Для обычного стеллажа вводятся габариты, число ярусов, размеры открытых промежутков и тип заполнения. Пользователь выбирает явную геометрию либо проверенное упрощённое представление. Нельзя заменять открытый стеллаж сплошным поглощающим параллелепипедом без обозначения этого допущения.</w:t>
      </w:r>
    </w:p>
    <w:p>
      <w:r>
        <w:rPr>
          <w:b/>
        </w:rPr>
        <w:t>OBJ-004.</w:t>
      </w:r>
      <w:r>
        <w:t xml:space="preserve"> Для множества мелких предметов разрешить модель заполненной зоны при подтверждённой поддержке ядра. Ей требуются параметры столкновений и потери энергии, соответствующие конкретной модели; процент занятого объёма недостаточен. Пресет допустим только с источником или калибровкой. При отсутствии таких данных использовать явные препятствия либо статус исследовательской оценки.</w:t>
      </w:r>
    </w:p>
    <w:p>
      <w:r>
        <w:rPr>
          <w:b/>
        </w:rPr>
        <w:t>OBJ-005.</w:t>
      </w:r>
      <w:r>
        <w:t xml:space="preserve"> Один физический набор предметов не учитывается одновременно явной геометрией и заполненной зоной. Геометрия для картинки может оставаться, но её акустический вклад отключается. Пересечение нескольких заполненных зон с неоднозначным суммированием блокирует расчёт.</w:t>
      </w:r>
    </w:p>
    <w:p>
      <w:r>
        <w:rPr>
          <w:b/>
        </w:rPr>
        <w:t>OBJ-006.</w:t>
      </w:r>
      <w:r>
        <w:t xml:space="preserve"> Перегородка задаётся длиной, высотой, толщиной, нижним зазором, проёмами и материалом с двух сторон при необходимости. Экран может не доходить до потолка. Карточка сразу показывает, что для оценки звука за его краем требуется учитывать ограничение SPPS по дифракции.</w:t>
      </w:r>
    </w:p>
    <w:p>
      <w:r>
        <w:rPr>
          <w:b/>
        </w:rPr>
        <w:t>OBJ-007.</w:t>
      </w:r>
      <w:r>
        <w:t xml:space="preserve"> Поддержать копирование, поворот, выравнивание, распределение ряда, группировку и блокировку от случайного движения. Число копий и шаг задаются численно. Каждая копия получает свой идентификатор; общие свойства можно менять для группы или разрывать связь с шаблоном.</w:t>
      </w:r>
    </w:p>
    <w:p>
      <w:r>
        <w:rPr>
          <w:b/>
        </w:rPr>
        <w:t>OBJ-008.</w:t>
      </w:r>
      <w:r>
        <w:t xml:space="preserve"> Система выявляет пересечение проходов, рабочих мест и зон обслуживания оборудования. Минимальная ширина прохода является параметром проектного задания, а не универсальным автоматически выбранным нормативом. Геометрически допустимое размещение не означает проверку всех требований пожарной или производственной безопасности.</w:t>
      </w:r>
    </w:p>
    <w:p>
      <w:bookmarkStart w:id="8" w:name="section_8"/>
      <w:pPr>
        <w:pStyle w:val="Heading1"/>
      </w:pPr>
      <w:r>
        <w:t>08 Оборудование и источники звука</w:t>
      </w:r>
      <w:bookmarkEnd w:id="8"/>
    </w:p>
    <w:p>
      <w:r>
        <w:rPr>
          <w:b/>
        </w:rPr>
        <w:t>SRC-001.</w:t>
      </w:r>
      <w:r>
        <w:t xml:space="preserve"> Оборудование и акустический источник — связанные, но разные сущности. Один станок может иметь несколько излучающих участков и режимов работы. Карточка станка содержит модель, габариты, ориентацию, высоту, привязку к полу, рабочую сторону, зоны обслуживания и набор источников.</w:t>
      </w:r>
    </w:p>
    <w:p>
      <w:r>
        <w:rPr>
          <w:b/>
        </w:rPr>
        <w:t>SRC-002.</w:t>
      </w:r>
      <w:r>
        <w:t xml:space="preserve"> Основной допустимый ввод для расчёта — спектр звуковой мощности Lw по полосам с указанным режимом оборудования. Дополнительно хранить общий LWA как контрольную величину. Режимы «холостой ход», «обработка» и другие имеют разные спектры и длительности.</w:t>
      </w:r>
    </w:p>
    <w:p>
      <w:r>
        <w:rPr>
          <w:b/>
        </w:rPr>
        <w:t>SRC-003.</w:t>
      </w:r>
      <w:r>
        <w:t xml:space="preserve"> Число «90 дБ» без пояснения не принимается как готовая характеристика. Пользователь должен выбрать Lw или Lp, частотное взвешивание и условия. Уровень Lp на расстоянии 1 м не преобразуется автоматически в Lw для отражающего цеха. Мастер пересчёта допустим только при явно заданных условиях распространения и геометрии измерения; результат помечается оценочным.</w:t>
      </w:r>
    </w:p>
    <w:p>
      <w:r>
        <w:rPr>
          <w:b/>
        </w:rPr>
        <w:t>SRC-004.</w:t>
      </w:r>
      <w:r>
        <w:t xml:space="preserve"> Если известен только общий LWA, программа предлагает добавить спектр или выбрать документированный типовой спектр с пометкой оценки. Нормирование типового спектра должно точно сохранять введённый общий LWA после A-взвешивания. Равномерное распределение децибел по полосам без правила запрещено.</w:t>
      </w:r>
    </w:p>
    <w:p>
      <w:r>
        <w:rPr>
          <w:b/>
        </w:rPr>
        <w:t>SRC-005.</w:t>
      </w:r>
      <w:r>
        <w:t xml:space="preserve"> Каталог станков содержит источник характеристик, условия нагрузки, год/версию данных, комплектацию и неопределённость при наличии. Название модели не гарантирует одинаковую мощность у всех экземпляров. Пользователь может создать вариант для своего измеренного оборудования без изменения общего каталога.</w:t>
      </w:r>
    </w:p>
    <w:p>
      <w:r>
        <w:rPr>
          <w:b/>
        </w:rPr>
        <w:t>SRC-006.</w:t>
      </w:r>
      <w:r>
        <w:t xml:space="preserve"> Источник задаётся точкой в воздухе, направленностью и ориентацией. Проверять, что точка не лежит внутри твёрдой детали или на грани. Визуальный корпус станка по умолчанию не должен автоматически поглощать собственный источник. Для корпуса, учитываемого как препятствие, излучающие точки размещают у соответствующих наружных поверхностей и проверяют отдельно.</w:t>
      </w:r>
    </w:p>
    <w:p>
      <w:r>
        <w:rPr>
          <w:b/>
        </w:rPr>
        <w:t>SRC-007.</w:t>
      </w:r>
      <w:r>
        <w:t xml:space="preserve"> Изотропный источник допустим как явное предположение. Измеренная направленность задаётся по направлениям и частотам либо проверенным пресетом ядра. При повороте станка поворачивается его диаграмма. Направленность нормируется так, чтобы изменение диаграммы не меняло суммарную звуковую мощность.</w:t>
      </w:r>
    </w:p>
    <w:p>
      <w:r>
        <w:rPr>
          <w:b/>
        </w:rPr>
        <w:t>SRC-008.</w:t>
      </w:r>
      <w:r>
        <w:t xml:space="preserve"> Протяжённое оборудование допускается представлять набором точечных источников. Суммарная энергия набора должна равняться мощности оборудования. Количество точек, шаг и вес каждой фиксируются в ревизии; уменьшение шага проверяется на сходимость. Нельзя присвоить полную мощность станка каждой точке.</w:t>
      </w:r>
    </w:p>
    <w:p>
      <w:r>
        <w:rPr>
          <w:b/>
        </w:rPr>
        <w:t>SRC-009.</w:t>
      </w:r>
      <w:r>
        <w:t xml:space="preserve"> Для кожуха поддержать два взаимоисключающих способа: уменьшение наружной мощности по подтверждённому спектру вносимых потерь либо явная полость с внутренним источником и передачей через ограждение. Первый способ является основным для практического подбора. Одновременное применение потерь кожуха и тех же потерь его стен запрещается.</w:t>
      </w:r>
    </w:p>
    <w:p>
      <w:r>
        <w:rPr>
          <w:b/>
        </w:rPr>
        <w:t>SRC-010.</w:t>
      </w:r>
      <w:r>
        <w:t xml:space="preserve"> Паспортная эффективность кожуха не универсальна: хранить режим, вентиляционные отверстия, проёмы и условия. Значение «−10 дБ» без полос допустимо как пользовательское предположение для чувствительности; оно не становится проверенной характеристикой. Система не вычитает это значение из суммы всех источников, если кожух относится только к одному.</w:t>
      </w:r>
    </w:p>
    <w:p>
      <w:r>
        <w:rPr>
          <w:b/>
        </w:rPr>
        <w:t>SRC-011.</w:t>
      </w:r>
      <w:r>
        <w:t xml:space="preserve"> Независимые машины складываются энергетически. Фазово связанные источники и тональная интерференция не поддерживаются базовой моделью. Импульсные максимумы и пики не выводятся из стационарной карты; для них нужен отдельный метод или измеренные данные.</w:t>
      </w:r>
    </w:p>
    <w:p>
      <w:bookmarkStart w:id="9" w:name="section_9"/>
      <w:pPr>
        <w:pStyle w:val="Heading1"/>
      </w:pPr>
      <w:r>
        <w:t>09 Рабочие места режимы работы и воздействие</w:t>
      </w:r>
      <w:bookmarkEnd w:id="9"/>
    </w:p>
    <w:p>
      <w:r>
        <w:rPr>
          <w:b/>
        </w:rPr>
        <w:t>REC-001.</w:t>
      </w:r>
      <w:r>
        <w:t xml:space="preserve"> Рабочее место содержит название, помещение, координаты точки уха, тип положения человека, связанный станок при наличии и длительность пребывания. Виды «стоя» и «сидя» предлагают высоту, но пользователь подтверждает фактическое значение. Начальная высота 1,5 м — настройка проекта, а не обязательная высота для всех людей.</w:t>
      </w:r>
    </w:p>
    <w:p>
      <w:r>
        <w:rPr>
          <w:b/>
        </w:rPr>
        <w:t>REC-002.</w:t>
      </w:r>
      <w:r>
        <w:t xml:space="preserve"> Ввод расстояния до станка включает расстояние, сторону/направление и точку отсчёта: наружная грань корпуса либо акустический источник. Значение 1,2 м без этих уточнений не определяет рабочее место. На плане показываются размерная линия, рабочая сторона и итоговая точка; в боковом виде — высота уха.</w:t>
      </w:r>
    </w:p>
    <w:p>
      <w:r>
        <w:rPr>
          <w:b/>
        </w:rPr>
        <w:t>REC-003.</w:t>
      </w:r>
      <w:r>
        <w:t xml:space="preserve"> Рабочее место может быть закреплено в координатах помещения либо следовать за станком. Перемещение или поворот оборудования обновляет только связанные места второго типа. После изменения система повторно проверяет попадание в воздух, доступность и отсутствие пересечения с препятствиями.</w:t>
      </w:r>
    </w:p>
    <w:p>
      <w:r>
        <w:rPr>
          <w:b/>
        </w:rPr>
        <w:t>REC-004.</w:t>
      </w:r>
      <w:r>
        <w:t xml:space="preserve"> Поддержать отдельные контрольные точки, группы мест и маршрут работника. Маршрут состоит из участков или точек с длительностью, расписанием состояний оборудования и, при необходимости, скоростью. Для расчёта воздействия использовать время, а не простое среднее уровней по точкам маршрута.</w:t>
      </w:r>
    </w:p>
    <w:p>
      <w:r>
        <w:rPr>
          <w:b/>
        </w:rPr>
        <w:t>REC-005.</w:t>
      </w:r>
      <w:r>
        <w:t xml:space="preserve"> Состояние смены содержит интервал времени и режим каждого работающего источника. Интервалы не должны случайно перекрываться или оставлять необъяснённый пробел. Одновременная работа машин учитывается внутри одного интервала; её нельзя повторно складывать как дополнительные часы воздействия.</w:t>
      </w:r>
    </w:p>
    <w:p>
      <w:r>
        <w:rPr>
          <w:b/>
        </w:rPr>
        <w:t>REC-006.</w:t>
      </w:r>
      <w:r>
        <w:t xml:space="preserve"> Рассчитывать LAeq за заданный период и нормированный на 8 часов показатель LEX,8h при наличии расписания. Длительность смены не обязана быть 8 часов. При отсутствии расписания выводить только уровень для выбранного состояния, не называть его сменной экспозицией.</w:t>
      </w:r>
    </w:p>
    <w:p>
      <w:r>
        <w:rPr>
          <w:b/>
        </w:rPr>
        <w:t>REC-007.</w:t>
      </w:r>
      <w:r>
        <w:t xml:space="preserve"> Профиль сравнения с пределом выбирается пользователем: страна/организация, документ, редакция, дата, показатель и период усреднения. Число 80 дБА не вшивается как универсальная норма. Пользовательский предел разрешён, но подписывается как целевой уровень проекта. Профиль не создаёт автоматическое заключение о юридическом соответствии.</w:t>
      </w:r>
    </w:p>
    <w:p>
      <w:r>
        <w:rPr>
          <w:b/>
        </w:rPr>
        <w:t>REC-008.</w:t>
      </w:r>
      <w:r>
        <w:t xml:space="preserve"> Учёт средств индивидуальной защиты слуха не выполняется простым вычитанием SNR из карты цеха. Дополнительный модуль допускает только явно выбранную методику и необходимые измеренные данные; базовый отчёт показывает наружное воздействие без обещания уровня под защитой.</w:t>
      </w:r>
    </w:p>
    <w:p>
      <w:bookmarkStart w:id="10" w:name="section_10"/>
      <w:pPr>
        <w:pStyle w:val="Heading1"/>
      </w:pPr>
      <w:r>
        <w:t>10 Проверка модели перед расчётом</w:t>
      </w:r>
      <w:bookmarkEnd w:id="10"/>
    </w:p>
    <w:p>
      <w:r>
        <w:rPr>
          <w:b/>
        </w:rPr>
        <w:t>VAL-001.</w:t>
      </w:r>
      <w:r>
        <w:t xml:space="preserve"> Команда «Проверить» выполняется локально для форм и на сервере для окончательной геометрии. Отчёт содержит блокирующие ошибки, предупреждения и принятые допущения. Каждая запись ссылается на идентификатор объекта и открывает его на плане.</w:t>
      </w:r>
    </w:p>
    <w:p>
      <w:r>
        <w:rPr>
          <w:b/>
        </w:rPr>
        <w:t>VAL-002.</w:t>
      </w:r>
      <w:r>
        <w:t xml:space="preserve"> Блокирующие ошибки: незамкнутая область без намеренного проёма; нечисловые или бесконечные значения; отрицательные размеры; невозможный баланс материала; отсутствующий обязательный спектр; источник/приёмник внутри твёрдого объекта; неподдерживаемый формат; несовместимый диапазон частот; превышение установленной квоты; неоднозначное двойное акустическое представление.</w:t>
      </w:r>
    </w:p>
    <w:p>
      <w:r>
        <w:rPr>
          <w:b/>
        </w:rPr>
        <w:t>VAL-003.</w:t>
      </w:r>
      <w:r>
        <w:t xml:space="preserve"> Предупреждения: оценочные свойства, неподтверждённая направленность, низкочастотная применимость, грубое представление стеллажа, неизвестная передача, участки за экранами, слишком редкая сетка, незаданные интервалы смены. Предупреждение можно принять только с записью в ревизию; оно остаётся в результате и экспорте.</w:t>
      </w:r>
    </w:p>
    <w:p>
      <w:r>
        <w:rPr>
          <w:b/>
        </w:rPr>
        <w:t>VAL-004.</w:t>
      </w:r>
      <w:r>
        <w:t xml:space="preserve"> Перед отправкой пользователь видит размеры и объём, число источников, рабочих мест и точек карты, полосы, качество, режимы работы, ограничения, предполагаемый расход ресурсов и принадлежность расчёта сценарию. Стоимость, если введён платный тариф, подтверждается до постановки задания; повторная отправка не создаёт повторную оплату.</w:t>
      </w:r>
    </w:p>
    <w:p>
      <w:r>
        <w:rPr>
          <w:b/>
        </w:rPr>
        <w:t>VAL-005.</w:t>
      </w:r>
      <w:r>
        <w:t xml:space="preserve"> Проверка замыкается после серверной подготовки сетки. Если автоматическая обработка изменила геометрию существенно, расчёт останавливается с сопоставлением «до/после». Незаметная потеря перегородки или проёма не допускается. Система сохраняет отчёт подготовки и причины исключения граней.</w:t>
      </w:r>
    </w:p>
    <w:p>
      <w:r>
        <w:rPr>
          <w:b/>
        </w:rPr>
        <w:t>VAL-006.</w:t>
      </w:r>
      <w:r>
        <w:t xml:space="preserve"> Предлагаемые значения не становятся «измеренными» после сохранения. В обзоре есть счётчик неизвестных и оценочных параметров и список параметров, наиболее влияющих на выбранные рабочие места по результатам анализа чувствительности, когда он выполнен.</w:t>
      </w:r>
    </w:p>
    <w:p>
      <w:bookmarkStart w:id="11" w:name="section_11"/>
      <w:pPr>
        <w:pStyle w:val="Heading1"/>
      </w:pPr>
      <w:r>
        <w:t>11 Реализация редактируемой модели в 3D</w:t>
      </w:r>
      <w:bookmarkEnd w:id="11"/>
    </w:p>
    <w:p>
      <w:r>
        <w:rPr>
          <w:b/>
        </w:rPr>
        <w:t>VIS-001.</w:t>
      </w:r>
      <w:r>
        <w:t xml:space="preserve"> Использовать Three.js для трёхмерного отображения и React Three Fiber для связи сцены с React. Управление камерой строится на OrbitControls, выбор объектов — на проверке пересечения луча касания с геометрией. Основной режим требует WebGL2; поддержку проверять при запуске. Эти средства отображают модель, а не рассчитывают промышленную акустику. [S09–S11]</w:t>
      </w:r>
    </w:p>
    <w:p>
      <w:r>
        <w:rPr>
          <w:b/>
        </w:rPr>
        <w:t>VIS-002.</w:t>
      </w:r>
      <w:r>
        <w:t xml:space="preserve"> План сверху редактируется через React Konva. План и 3D читают одну модель предметной области. Нельзя хранить независимую позицию станка в Canvas и в Three.js. Изменение координаты через карточку, план или 3D создаёт одну и ту же команду редактирования. [S12]</w:t>
      </w:r>
    </w:p>
    <w:p>
      <w:r>
        <w:rPr>
          <w:b/>
        </w:rPr>
        <w:t>VIS-003.</w:t>
      </w:r>
      <w:r>
        <w:t xml:space="preserve"> Канонические координаты проекта X,Y,Z преобразуются в координаты Three.js X,Z,−Y. Это правило применяется к вершинам, нормалям, направленности источников, камере, сечениям и результатам. Преобразование реализуется одной общей функцией и проверяется на контрольных точках; смешивание двух соглашений запрещается.</w:t>
      </w:r>
    </w:p>
    <w:p>
      <w:r>
        <w:rPr>
          <w:b/>
        </w:rPr>
        <w:t>VIS-004.</w:t>
      </w:r>
      <w:r>
        <w:t xml:space="preserve"> Для проекта хранятся три представления: параметрические исходные объекты; облегчённая геометрия отображения; расчётная геометрия. Красивый корпус станка может иметь визуальные детали, отсутствующие в акустическом представлении. Пользователь может включить «Что участвует в расчёте» и увидеть именно физические границы и точки источников.</w:t>
      </w:r>
    </w:p>
    <w:p>
      <w:r>
        <w:rPr>
          <w:b/>
        </w:rPr>
        <w:t>VIS-005.</w:t>
      </w:r>
      <w:r>
        <w:t xml:space="preserve"> Основной вид — помещение со снятой крышей и возможностью скрыть ближние стены. Скрытие является свойством камеры и не удаляет ограждение из расчёта. Реальное открытие крыши выполняется отдельным действием изменения модели с подтверждением и новой ревизией.</w:t>
      </w:r>
    </w:p>
    <w:p>
      <w:r>
        <w:rPr>
          <w:b/>
        </w:rPr>
        <w:t>VIS-006.</w:t>
      </w:r>
      <w:r>
        <w:t xml:space="preserve"> Режимы сверху, спереди и сбоку используют ортографическую камеру, то есть без перспективного сокращения размеров. 3D использует перспективную камеру. Переход сохраняет выбранный объект и центр обзора. Есть автоматический показ всего помещения, масштабная линейка и индикатор осей.</w:t>
      </w:r>
    </w:p>
    <w:p>
      <w:r>
        <w:rPr>
          <w:b/>
        </w:rPr>
        <w:t>VIS-007.</w:t>
      </w:r>
      <w:r>
        <w:t xml:space="preserve"> Трансформация объекта доступна через числовые поля и ограниченные ручки осей. На телефоне сначала выбирается плоскость перемещения; высота меняется отдельным ползунком/полем. Поворот задаётся в градусах с привязкой к шагу. Перед применением показывается конфликт пересечений.</w:t>
      </w:r>
    </w:p>
    <w:p>
      <w:r>
        <w:rPr>
          <w:b/>
        </w:rPr>
        <w:t>VIS-008.</w:t>
      </w:r>
      <w:r>
        <w:t xml:space="preserve"> Использовать простую геометрию, повторное использование одинаковых моделей и instancing для большого числа одинаковых элементов. Instancing — один способ отрисовки множества копий. Не загружать фотореалистичные модели станков как обязательное условие работы. Для удалённых объектов допустимы более простые версии изображения.</w:t>
      </w:r>
    </w:p>
    <w:p>
      <w:r>
        <w:rPr>
          <w:b/>
        </w:rPr>
        <w:t>VIS-009.</w:t>
      </w:r>
      <w:r>
        <w:t xml:space="preserve"> Ограничить начальный коэффициент плотности пикселей рендера до 1,5, отключить тяжёлые тени по умолчанию и перерисовывать статичную сцену по необходимости. При слабом устройстве уменьшать качество картинки и число подписей, сохраняя числовые данные. Изменение качества изображения не меняет точность серверного расчёта.</w:t>
      </w:r>
    </w:p>
    <w:p>
      <w:r>
        <w:rPr>
          <w:b/>
        </w:rPr>
        <w:t>VIS-010.</w:t>
      </w:r>
      <w:r>
        <w:t xml:space="preserve"> При потере графического контекста сохранить состояние, восстановить ресурсы и предложить 2D. В браузере без WebGL2 доступны формы, план, рабочие места, таблицы и плоская карта; объёмный режим помечается недоступным на устройстве. Пользователь не теряет доступ к проекту из-за графической ошибки.</w:t>
      </w:r>
    </w:p>
    <w:p>
      <w:pPr>
        <w:keepNext/>
      </w:pPr>
      <w:r>
        <w:drawing>
          <wp:inline xmlns:a="http://schemas.openxmlformats.org/drawingml/2006/main" xmlns:pic="http://schemas.openxmlformats.org/drawingml/2006/picture">
            <wp:extent cx="6263640" cy="4250327"/>
            <wp:docPr id="1" name="Picture 1"/>
            <wp:cNvGraphicFramePr>
              <a:graphicFrameLocks noChangeAspect="1"/>
            </wp:cNvGraphicFramePr>
            <a:graphic>
              <a:graphicData uri="http://schemas.openxmlformats.org/drawingml/2006/picture">
                <pic:pic>
                  <pic:nvPicPr>
                    <pic:cNvPr id="0" name="mobile_views.png"/>
                    <pic:cNvPicPr/>
                  </pic:nvPicPr>
                  <pic:blipFill>
                    <a:blip r:embed="rId11"/>
                    <a:stretch>
                      <a:fillRect/>
                    </a:stretch>
                  </pic:blipFill>
                  <pic:spPr>
                    <a:xfrm>
                      <a:off x="0" y="0"/>
                      <a:ext cx="6263640" cy="4250327"/>
                    </a:xfrm>
                    <a:prstGeom prst="rect"/>
                  </pic:spPr>
                </pic:pic>
              </a:graphicData>
            </a:graphic>
          </wp:inline>
        </w:drawing>
      </w:r>
    </w:p>
    <w:p>
      <w:pPr>
        <w:pStyle w:val="Small"/>
      </w:pPr>
      <w:r>
        <w:t>Рисунок 1. Схема трёх мобильных экранов. Цветной слой обозначает место отображения результатов; численные акустические данные здесь не моделируются.</w:t>
      </w:r>
    </w:p>
    <w:p>
      <w:bookmarkStart w:id="12" w:name="section_12"/>
      <w:pPr>
        <w:pStyle w:val="Heading1"/>
      </w:pPr>
      <w:r>
        <w:t>12 Карты уровней сечения и объёмный просмотр</w:t>
      </w:r>
      <w:bookmarkEnd w:id="12"/>
    </w:p>
    <w:p>
      <w:r>
        <w:rPr>
          <w:b/>
        </w:rPr>
        <w:t>MAP-001.</w:t>
      </w:r>
      <w:r>
        <w:t xml:space="preserve"> Расчётная карта строится по приёмникам — точкам или площадкам, в которых ядро собирает энергию. Она не является фотографией или готовым изображением, генерируемым SPPS. Сервер преобразует результат в числовые поля и маски; телефон применяет палитру и рисует их поверх модели.</w:t>
      </w:r>
    </w:p>
    <w:p>
      <w:r>
        <w:rPr>
          <w:b/>
        </w:rPr>
        <w:t>MAP-002.</w:t>
      </w:r>
      <w:r>
        <w:t xml:space="preserve"> Обязательные представления: горизонтальная карта на выбранной высоте; вертикальный разрез вдоль выбранной линии на плане; произвольная плоскость в 3D; точки рабочих мест; полупрозрачный объём; поверхность заданного уровня, если для неё достаточно объёмных данных. Пользователь может открыть любое представление, но только в области, где имеются расчётные значения.</w:t>
      </w:r>
    </w:p>
    <w:p>
      <w:r>
        <w:rPr>
          <w:b/>
        </w:rPr>
        <w:t>MAP-003.</w:t>
      </w:r>
      <w:r>
        <w:t xml:space="preserve"> Быстрый стандартный расчёт включает рабочие места, одну горизонтальную и две заданные вертикальные плоскости. Полный объём — отдельная настройка, увеличивающая число приёмников и нагрузку. Если произвольное новое сечение выходит за доступные данные, приложение предлагает дополнительный расчёт для той же ревизии. Нельзя достраивать весь объём из одной цветной плоскости.</w:t>
      </w:r>
    </w:p>
    <w:p>
      <w:r>
        <w:rPr>
          <w:b/>
        </w:rPr>
        <w:t>MAP-004.</w:t>
      </w:r>
      <w:r>
        <w:t xml:space="preserve"> Объём получают через проверенный набор приёмников или несколько рассчитанных слоёв. Наличие готового универсального объёмного формата в SPPS не предполагается. Адаптер обязан показать, как он создаёт нужные приёмники и извлекает стационарные значения. При больших объёмах слои рассчитываются пакетами с сохранением одинаковой физической постановки.</w:t>
      </w:r>
    </w:p>
    <w:p>
      <w:r>
        <w:rPr>
          <w:b/>
        </w:rPr>
        <w:t>MAP-005.</w:t>
      </w:r>
      <w:r>
        <w:t xml:space="preserve"> Для примера 30 × 15 × 6 м сетка центров ячеек с шагом 0,5 м даёт 60 × 30 × 12 = 21600 ячеек; с шагом 0,25 м — 172800. Восемь полей float32 занимают примерно 0,69 и 5,53 МБ соответственно без масок, служебных данных и эхо-грамм. Это оценка размера готовых скалярных данных, а не памяти или времени самого SPPS.</w:t>
      </w:r>
    </w:p>
    <w:p>
      <w:r>
        <w:rPr>
          <w:b/>
        </w:rPr>
        <w:t>MAP-006.</w:t>
      </w:r>
      <w:r>
        <w:t xml:space="preserve"> Результаты хранить в линейной энергетической величине, однозначно приведённой к среднему квадрату звукового давления, либо в другой документированной нормализованной форме. Для передачи в клиент базовый контракт — Pa² по полосам, float32, little-endian; контрольные точечные итоги и серверные суммы — float64. В манифесте обязательны величина, единица, координаты, частоты, маска и метод преобразования.</w:t>
      </w:r>
    </w:p>
    <w:p>
      <w:r>
        <w:rPr>
          <w:b/>
        </w:rPr>
        <w:t>MAP-007.</w:t>
      </w:r>
      <w:r>
        <w:t xml:space="preserve"> Интерполяцию выполнять в линейной энергии, затем переводить в дБ. Не интерполировать через стену, твёрдый объект или между разными воздушными областями. Каждая ячейка имеет маску: воздух, твёрдый объект, вне модели, недостаточно данных, ошибка. Нулевое число попаданий не трактуется как физическая тишина или 0 дБ.</w:t>
      </w:r>
    </w:p>
    <w:p>
      <w:r>
        <w:rPr>
          <w:b/>
        </w:rPr>
        <w:t>MAP-008.</w:t>
      </w:r>
      <w:r>
        <w:t xml:space="preserve"> Вблизи источника или тонкой перегородки предлагать локальное сгущение сетки. Значение, полученное сглаживанием, помечать как интерполированное. Шаг сетки, радиус/размер приёмника и число частиц являются разными настройками: уменьшение цветного пикселя на экране не повышает физическую детализацию.</w:t>
      </w:r>
    </w:p>
    <w:p>
      <w:r>
        <w:rPr>
          <w:b/>
        </w:rPr>
        <w:t>MAP-009.</w:t>
      </w:r>
      <w:r>
        <w:t xml:space="preserve"> Горизонтальная и вертикальная плоскости отображаются цветной текстурой с маской воздуха. Произвольное сечение из полного объёма выбирается в шейдере либо формируется рабочим потоком браузера. Для WebGL2 допустима Data3DTexture при поддерживаемых размерах; иначе используются текстурные блоки или отдельные слои. Большие массивы передаются частями. [S09]</w:t>
      </w:r>
    </w:p>
    <w:p>
      <w:r>
        <w:rPr>
          <w:b/>
        </w:rPr>
        <w:t>MAP-010.</w:t>
      </w:r>
      <w:r>
        <w:t xml:space="preserve"> Полупрозрачный объём реализуется выборкой значений вдоль луча обзора с ограничением числа шагов. Поверхности равного уровня строятся по алгоритму изоповерхности на сервере или в Web Worker. Они показывают геометрию выбранного уровня, но не доказывают наличие резкой физической границы. На слабом телефоне доступны плоскости вместо объёма.</w:t>
      </w:r>
    </w:p>
    <w:p>
      <w:r>
        <w:rPr>
          <w:b/>
        </w:rPr>
        <w:t>MAP-011.</w:t>
      </w:r>
      <w:r>
        <w:t xml:space="preserve"> Тепловая карта рисуется без влияния освещения на её цвет: одинаковый уровень имеет одинаковый цвет на стене, полу и разрезе. Шкала содержит единицу, минимум, максимум, шаг, выход за диапазон и отметку целевого предела. Значения вне диапазона не обрезаются в данных; показывается специальный цвет и точное число при выборе.</w:t>
      </w:r>
    </w:p>
    <w:p>
      <w:r>
        <w:rPr>
          <w:b/>
        </w:rPr>
        <w:t>MAP-012.</w:t>
      </w:r>
      <w:r>
        <w:t xml:space="preserve"> По умолчанию шкала фиксирована между сравниваемыми вариантами. Автомасштаб разрешён только с явной подписью; он не должен создавать впечатление улучшения из-за смены цветов. Карта разницы использует отдельную расходящуюся палитру с нулём в центре и подписью «вариант минус исходный».</w:t>
      </w:r>
    </w:p>
    <w:p>
      <w:r>
        <w:rPr>
          <w:b/>
        </w:rPr>
        <w:t>MAP-013.</w:t>
      </w:r>
      <w:r>
        <w:t xml:space="preserve"> Пользователь выбирает LA, невзвешенный итог или отдельную частотную полосу. Карточка точки показывает координаты, высоту, прямой расчёт или интерполяцию, значение, округление, статус данных и доступные составляющие по источникам. Число на карте по умолчанию округляется до 0,1 дБ; это формат показа, а не обещание такой точности.</w:t>
      </w:r>
    </w:p>
    <w:p>
      <w:r>
        <w:rPr>
          <w:b/>
        </w:rPr>
        <w:t>MAP-014.</w:t>
      </w:r>
      <w:r>
        <w:t xml:space="preserve"> Режим «показать пути» отображает ограниченную выборку рассчитанных траекторий либо явно обозначенную схему. Случайно нарисованные лучи не выдаются за результат ядра. Анимация фронта прихода, если реализована на эхо-граммах, имеет отдельную шкалу времени и не называется движением постоянного шума по цеху.</w:t>
      </w:r>
    </w:p>
    <w:p>
      <w:r>
        <w:rPr>
          <w:b/>
        </w:rPr>
        <w:t>MAP-015.</w:t>
      </w:r>
      <w:r>
        <w:t xml:space="preserve"> Нажатие на объект в режиме карты открывает его свойства, а длительное нажатие/кнопка «Точка» выбирает значение поля. Изменение физического свойства немедленно помечает текущую карту как относящуюся к предыдущей версии. Старая карта может оставаться видимой только с постоянной заметной отметкой и датой.</w:t>
      </w:r>
    </w:p>
    <w:p>
      <w:bookmarkStart w:id="13" w:name="section_13"/>
      <w:pPr>
        <w:pStyle w:val="Heading1"/>
      </w:pPr>
      <w:r>
        <w:t>13 Настройки расчёта и численные правила</w:t>
      </w:r>
      <w:bookmarkEnd w:id="13"/>
    </w:p>
    <w:p>
      <w:r>
        <w:rPr>
          <w:b/>
        </w:rPr>
        <w:t>CAL-001.</w:t>
      </w:r>
      <w:r>
        <w:t xml:space="preserve"> Предусмотреть режимы «Проверка модели», «Предварительный», «Уточнённый» и «Исследовательский». Названия задают набор проверенных настроек и лимитов, но не гарантируют конкретное время. Первый режим не создаёт акустическую карту. Предварительный режим может использовать более редкую сетку и меньшую статистику с видимой отметкой.</w:t>
      </w:r>
    </w:p>
    <w:p>
      <w:r>
        <w:rPr>
          <w:b/>
        </w:rPr>
        <w:t>CAL-002.</w:t>
      </w:r>
      <w:r>
        <w:t xml:space="preserve"> Настройки включают частоты, число частиц, длительность моделируемого отклика, временной шаг, предел числа взаимодействий, размер приёмника, сетку/плоскости, seed случайной последовательности и параметры сетки геометрии. Начальные наборы определяются после испытаний ядра; опасные значения не становятся редактируемыми без пояснения.</w:t>
      </w:r>
    </w:p>
    <w:p>
      <w:r>
        <w:rPr>
          <w:b/>
        </w:rPr>
        <w:t>CAL-003.</w:t>
      </w:r>
      <w:r>
        <w:t xml:space="preserve"> Длительность отклика должна быть достаточной для спада остаточной энергии. Прекращение расчёта слишком рано занижает вклад отражений. Сервер контролирует хвост энергии и сообщает о необходимости увеличить длительность. Один универсальный фиксированный срок для всех цехов запрещён.</w:t>
      </w:r>
    </w:p>
    <w:p>
      <w:r>
        <w:rPr>
          <w:b/>
        </w:rPr>
        <w:t>CAL-004.</w:t>
      </w:r>
      <w:r>
        <w:t xml:space="preserve"> Общее звуковое поле определяется во всём пространстве, даже если результат снимается только на отдельных плоскостях. Рисование сечения не превращает задачу в двумерный расчёт. Положение потолка, препятствий и источников по высоте всегда участвует в трёхмерной геометрии.</w:t>
      </w:r>
    </w:p>
    <w:p>
      <w:r>
        <w:rPr>
          <w:b/>
        </w:rPr>
        <w:t>CAL-005.</w:t>
      </w:r>
      <w:r>
        <w:t xml:space="preserve"> Для воспроизводимых проверок выключить внутреннюю многопоточность SPPS и использовать фиксированный seed; при необходимости запускать полосы отдельными процессами с управляемыми seed. Документация предупреждает об особенностях seed при многопоточности. Точная побитовая идентичность между разными процессорами не предполагается; проверяется установленный числовой допуск. [S04]</w:t>
      </w:r>
    </w:p>
    <w:p>
      <w:r>
        <w:rPr>
          <w:b/>
        </w:rPr>
        <w:t>CAL-006.</w:t>
      </w:r>
      <w:r>
        <w:t xml:space="preserve"> Повторные расчёты с разными seed используются для оценки численного разброса. Проектный критерий для контрольных рабочих мест: стандартное отклонение LA не более 0,5 дБ по минимум трём независимым запускам и изменение итогового уровня не более 0,5 дБ после удвоения числа частиц на контрольном наборе. Это тест сходимости, а не оценка полной погрешности в реальности.</w:t>
      </w:r>
    </w:p>
    <w:p>
      <w:r>
        <w:rPr>
          <w:b/>
        </w:rPr>
        <w:t>CAL-007.</w:t>
      </w:r>
      <w:r>
        <w:t xml:space="preserve"> Для карт контролировать долю ячеек без статистики и пространственную устойчивость результата. Ячейки, не прошедшие контроль, получают маску недостаточных данных. Не скрывать локальную ненадёжность усреднённым показателем по всему объёму. Порог допуска и фактическая доля записываются в манифесте качества.</w:t>
      </w:r>
    </w:p>
    <w:p>
      <w:r>
        <w:rPr>
          <w:b/>
        </w:rPr>
        <w:t>CAL-008.</w:t>
      </w:r>
      <w:r>
        <w:t xml:space="preserve"> Частотное сложение, A-взвешивание и воздействие реализовать общими серверными функциями; клиент может повторять их для интерактивности только по тем же тестовым примерам. Контрольные числовые итоги отчёта берутся с сервера.</w:t>
      </w:r>
    </w:p>
    <w:p>
      <w:pPr>
        <w:pStyle w:val="Code"/>
      </w:pPr>
      <w:r>
        <w:t>Сумма независимых уровней:</w:t>
      </w:r>
    </w:p>
    <w:p>
      <w:pPr>
        <w:pStyle w:val="Code"/>
      </w:pPr>
      <w:r>
        <w:t>Lsum = 10 * log10(sum(10 ** (Li / 10)))</w:t>
      </w:r>
    </w:p>
    <w:p>
      <w:pPr>
        <w:pStyle w:val="Code"/>
      </w:pPr>
    </w:p>
    <w:p>
      <w:pPr>
        <w:pStyle w:val="Code"/>
      </w:pPr>
      <w:r>
        <w:t>A-взвешенный итог из невзвешенных полос:</w:t>
      </w:r>
    </w:p>
    <w:p>
      <w:pPr>
        <w:pStyle w:val="Code"/>
      </w:pPr>
      <w:r>
        <w:t>LA = 10 * log10(sum(10 ** ((Lb + Ab) / 10)))</w:t>
      </w:r>
    </w:p>
    <w:p>
      <w:pPr>
        <w:pStyle w:val="Code"/>
      </w:pPr>
    </w:p>
    <w:p>
      <w:pPr>
        <w:pStyle w:val="Code"/>
      </w:pPr>
      <w:r>
        <w:t>Эквивалентный уровень за период T:</w:t>
      </w:r>
    </w:p>
    <w:p>
      <w:pPr>
        <w:pStyle w:val="Code"/>
      </w:pPr>
      <w:r>
        <w:t>LAeq = 10 * log10(sum(ti * 10 ** (LAi / 10)) / T)</w:t>
      </w:r>
    </w:p>
    <w:p>
      <w:pPr>
        <w:pStyle w:val="Code"/>
      </w:pPr>
    </w:p>
    <w:p>
      <w:pPr>
        <w:pStyle w:val="Code"/>
      </w:pPr>
      <w:r>
        <w:t>Нормирование воздействия на 8 часов:</w:t>
      </w:r>
    </w:p>
    <w:p>
      <w:pPr>
        <w:pStyle w:val="Code"/>
      </w:pPr>
      <w:r>
        <w:t>LEX8h = 10 * log10(sum(ti * 10 ** (LAi / 10)) / 28800)</w:t>
      </w:r>
    </w:p>
    <w:p>
      <w:pPr>
        <w:pStyle w:val="Code"/>
      </w:pPr>
    </w:p>
    <w:p>
      <w:pPr>
        <w:pStyle w:val="Code"/>
      </w:pPr>
      <w:r>
        <w:t>Здесь ti и T заданы в секундах; Ab — A-коррекция полосы.</w:t>
      </w:r>
    </w:p>
    <w:p>
      <w:pPr>
        <w:spacing w:after="0"/>
      </w:pPr>
    </w:p>
    <w:p>
      <w:r>
        <w:rPr>
          <w:b/>
        </w:rPr>
        <w:t>CAL-009.</w:t>
      </w:r>
      <w:r>
        <w:t xml:space="preserve"> Преобразование выходной энергии SPPS в Pa²/стационарный SPL выполняется через проверенную процедуру I-Simpa или эквивалент, подтверждённый эталонами. Нельзя самостоятельно угадать, следует ли суммировать, интегрировать или делить эхо-грамму на длительность. Шаг времени, площадь/объём приёмника и нормирование источника проверяются отдельно.</w:t>
      </w:r>
    </w:p>
    <w:p>
      <w:r>
        <w:rPr>
          <w:b/>
        </w:rPr>
        <w:t>CAL-010.</w:t>
      </w:r>
      <w:r>
        <w:t xml:space="preserve"> Для переключения состава работающих машин без нового прогона нужен сохранённый вклад каждого источника по каждой полосе и неизменная геометрия/материалы. Полное приложение поддерживает такой режим как дополнительное задание «Раздельные вклады». Если данных нет, изменение состава источников запускает пересчёт; масштабирование общей карты не используется как подмена.</w:t>
      </w:r>
    </w:p>
    <w:p>
      <w:bookmarkStart w:id="14" w:name="section_14"/>
      <w:pPr>
        <w:pStyle w:val="Heading1"/>
      </w:pPr>
      <w:r>
        <w:t>14 Адаптер I Simpa и подготовка расчётных файлов</w:t>
      </w:r>
      <w:bookmarkEnd w:id="14"/>
    </w:p>
    <w:p>
      <w:r>
        <w:rPr>
          <w:b/>
        </w:rPr>
        <w:t>ENG-001.</w:t>
      </w:r>
      <w:r>
        <w:t xml:space="preserve"> Зафиксировать исходный коммит I-Simpa, версии компилятора, библиотек, TetGen, конфигурацию сборки, патчи и контрольную сумму контейнера. Ссылка на ветку main недостаточна для воспроизводимости. Проверенные официальные исходники сохраняются в отдельном репозитории/зависимости с историей происхождения. [S01, S05]</w:t>
      </w:r>
    </w:p>
    <w:p>
      <w:r>
        <w:rPr>
          <w:b/>
        </w:rPr>
        <w:t>ENG-002.</w:t>
      </w:r>
      <w:r>
        <w:t xml:space="preserve"> Первый инженерный результат — воспроизводимая сборка SPPS без настольного интерфейса и прогон эталонного проекта. В текущем дереве исходников есть разделение компонентов и настройки исключения GUI; наличие этих настроек не доказывает готовую серверную сборку. Режим сборки только библиотеки не считать сборкой самого SPPS.</w:t>
      </w:r>
    </w:p>
    <w:p>
      <w:r>
        <w:rPr>
          <w:b/>
        </w:rPr>
        <w:t>ENG-003.</w:t>
      </w:r>
      <w:r>
        <w:t xml:space="preserve"> Пайплайн адаптера: проверить снимок проекта; построить физические поверхности; сформировать данные сетки; выполнить тетраэдрализацию воздушной области; сформировать бинарную модель и XML конфигурации; запустить SPPS; проверить журнал и выходы; извлечь результаты; нормировать величины; сформировать манифест и карты. Тетраэдрализация означает разбиение воздуха на небольшие объёмные элементы.</w:t>
      </w:r>
    </w:p>
    <w:p>
      <w:r>
        <w:rPr>
          <w:b/>
        </w:rPr>
        <w:t>ENG-004.</w:t>
      </w:r>
      <w:r>
        <w:t xml:space="preserve"> SPPS вызывается как исполняемая программа, а не как готовый веб-сервис. В проверенных исходниках путь к конфигурации передаётся аргументом; предусмотрен параметр подробного журнала. Путь к файлу и список аргументов передаются процессу без shell-склейки. Доступ пользователя к произвольным аргументам запуска запрещён. [S05]</w:t>
      </w:r>
    </w:p>
    <w:p>
      <w:r>
        <w:rPr>
          <w:b/>
        </w:rPr>
        <w:t>ENG-005.</w:t>
      </w:r>
      <w:r>
        <w:t xml:space="preserve"> Использовать существующие форматы и функции libsimpa/подготовки I-Simpa. JSON проекта напрямую в SPPS не подаётся. В исследованных примерах встречаются модель mesh.cbin, сетка tetramesh.mbin, XML конфигурация и бинарные результаты разных типов. Их состав и имена определяются закреплённой версией; контракт адаптера документируется тестовыми файлами. [S05, S07]</w:t>
      </w:r>
    </w:p>
    <w:p>
      <w:r>
        <w:rPr>
          <w:b/>
        </w:rPr>
        <w:t>ENG-006.</w:t>
      </w:r>
      <w:r>
        <w:t xml:space="preserve"> Бинарные результаты читать через проверенную библиотеку или специально документированный декодер с тестами на реальных файлах. Не считать расширение указанием на текстовый CSV. Сохранять соответствие приёмников и поверхностей идентификаторам проекта, ориентацию плоскостей, порядок полос, временной шаг и единицы.</w:t>
      </w:r>
    </w:p>
    <w:p>
      <w:r>
        <w:rPr>
          <w:b/>
        </w:rPr>
        <w:t>ENG-007.</w:t>
      </w:r>
      <w:r>
        <w:t xml:space="preserve"> Формирование XML выполняется библиотекой, а не конкатенацией пользовательских строк. Запретить внешние сущности и произвольные пути. Адаптер использует UTF-8 и фиксированную числовую локаль; десятичная запятая из формы переводится в число до сериализации. Старые примеры с другими кодировками и разделителями не копируются вслепую.</w:t>
      </w:r>
    </w:p>
    <w:p>
      <w:r>
        <w:rPr>
          <w:b/>
        </w:rPr>
        <w:t>ENG-008.</w:t>
      </w:r>
      <w:r>
        <w:t xml:space="preserve"> Параметры, документация которых неоднозначна, проверяются короткими парными опытами. Например, включение заполненных зон должно давать документированное изменение соответствующего флага и поведения. Значение поля не определяется только переводом подписи из графического интерфейса.</w:t>
      </w:r>
    </w:p>
    <w:p>
      <w:r>
        <w:rPr>
          <w:b/>
        </w:rPr>
        <w:t>ENG-009.</w:t>
      </w:r>
      <w:r>
        <w:t xml:space="preserve"> Не доверять одному коду завершения процесса. В просмотренном варианте точки входа SPPS результат внутренней MainProcess не передаётся наружу, а main возвращает 0. В закреплённой сборке требуется исправление/обёртка и обязательная проверка наличия, целостности, размера, диапазона значений и полноты выходных файлов. Патч сопровождается тестом аварийного входа. [S05]</w:t>
      </w:r>
    </w:p>
    <w:p>
      <w:r>
        <w:rPr>
          <w:b/>
        </w:rPr>
        <w:t>ENG-010.</w:t>
      </w:r>
      <w:r>
        <w:t xml:space="preserve"> Проверять статистику потерянных и зацикленных частиц, остаток энергии, пустые приёмники, пропущенные полосы, некорректные значения и несоответствие количества источников. Проектная политика: любое превышение 0,1 % потерянных/зацикленных частиц требует разбирательства; выше 1 % результат не получает статус проверенного. Пороги уточняются экспериментально и не ослабляются молча.</w:t>
      </w:r>
    </w:p>
    <w:p>
      <w:r>
        <w:rPr>
          <w:b/>
        </w:rPr>
        <w:t>ENG-011.</w:t>
      </w:r>
      <w:r>
        <w:t xml:space="preserve"> Если ядро корректирует положение источника или приёмника из-за особенностей сетки, сохранить исходную и фактическую координаты. Сдвиг сверх согласованного геометрического допуска блокирует принятие результата. Положение источника нельзя незаметно переносить в соседнее помещение.</w:t>
      </w:r>
    </w:p>
    <w:p>
      <w:r>
        <w:rPr>
          <w:b/>
        </w:rPr>
        <w:t>ENG-012.</w:t>
      </w:r>
      <w:r>
        <w:t xml:space="preserve"> Каждое задание хранит исходный JSON, созданные входные файлы, версии инструментов, параметры сетки, seed, журнал, отчёт проверки и манифест результатов. Большие сырые эхо-граммы сохраняются по политике хранения; удаление не должно уничтожать сведения, необходимые для повторного вычисления.</w:t>
      </w:r>
    </w:p>
    <w:p>
      <w:r>
        <w:rPr>
          <w:b/>
        </w:rPr>
        <w:t>ENG-013.</w:t>
      </w:r>
      <w:r>
        <w:t xml:space="preserve"> Реестр возможностей адаптера содержит поддерживаемые полосы, типы приёмников, направленности, передачу, заполненные зоны и ограничения. Клиент получает его через API и не показывает неподдерживаемую настройку как работающую. После замены ядра реестр и эталоны обновляются совместно.</w:t>
      </w:r>
    </w:p>
    <w:p>
      <w:bookmarkStart w:id="15" w:name="section_15"/>
      <w:pPr>
        <w:pStyle w:val="Heading1"/>
      </w:pPr>
      <w:r>
        <w:t>15 Структура данных и управление версиями</w:t>
      </w:r>
      <w:bookmarkEnd w:id="15"/>
    </w:p>
    <w:p>
      <w:r>
        <w:rPr>
          <w:b/>
        </w:rPr>
        <w:t>DAT-001.</w:t>
      </w:r>
      <w:r>
        <w:t xml:space="preserve"> Все сущности получают UUID. Время хранится в UTC с часовым поясом; отображается локально. Числовые поля принимают только конечные значения. Неизвестное значение хранится как null с причиной, а не как 0. Идентификаторы материала и оборудования сопровождаются версией.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672"/>
      </w:tblGrid>
      <w:tr>
        <w:trPr>
          <w:cantSplit/>
          <w:tblHeader/>
        </w:trPr>
        <w:tc>
          <w:tcPr>
            <w:tcW w:type="dxa" w:w="1800"/>
            <w:vAlign w:val="center"/>
            <w:shd w:fill="303030"/>
            <w:tcMar>
              <w:top w:w="70" w:type="dxa"/>
              <w:left w:w="70" w:type="dxa"/>
              <w:bottom w:w="70" w:type="dxa"/>
              <w:right w:w="70" w:type="dxa"/>
            </w:tcMar>
          </w:tcPr>
          <w:p>
            <w:pPr>
              <w:pStyle w:val="TableBody"/>
            </w:pPr>
            <w:r>
              <w:rPr>
                <w:b/>
                <w:color w:val="FFFFFF"/>
              </w:rPr>
              <w:t>Сущность</w:t>
            </w:r>
          </w:p>
        </w:tc>
        <w:tc>
          <w:tcPr>
            <w:tcW w:type="dxa" w:w="4608"/>
            <w:vAlign w:val="center"/>
            <w:shd w:fill="303030"/>
            <w:tcMar>
              <w:top w:w="70" w:type="dxa"/>
              <w:left w:w="70" w:type="dxa"/>
              <w:bottom w:w="70" w:type="dxa"/>
              <w:right w:w="70" w:type="dxa"/>
            </w:tcMar>
          </w:tcPr>
          <w:p>
            <w:pPr>
              <w:pStyle w:val="TableBody"/>
            </w:pPr>
            <w:r>
              <w:rPr>
                <w:b/>
                <w:color w:val="FFFFFF"/>
              </w:rPr>
              <w:t>Обязательные данные</w:t>
            </w:r>
          </w:p>
        </w:tc>
        <w:tc>
          <w:tcPr>
            <w:tcW w:type="dxa" w:w="3672"/>
            <w:vAlign w:val="center"/>
            <w:shd w:fill="303030"/>
            <w:tcMar>
              <w:top w:w="70" w:type="dxa"/>
              <w:left w:w="70" w:type="dxa"/>
              <w:bottom w:w="70" w:type="dxa"/>
              <w:right w:w="70" w:type="dxa"/>
            </w:tcMar>
          </w:tcPr>
          <w:p>
            <w:pPr>
              <w:pStyle w:val="TableBody"/>
            </w:pPr>
            <w:r>
              <w:rPr>
                <w:b/>
                <w:color w:val="FFFFFF"/>
              </w:rPr>
              <w:t>Назначение</w:t>
            </w:r>
          </w:p>
        </w:tc>
      </w:tr>
      <w:tr>
        <w:trPr>
          <w:cantSplit/>
        </w:trPr>
        <w:tc>
          <w:tcPr>
            <w:tcW w:type="dxa" w:w="1800"/>
            <w:vAlign w:val="center"/>
            <w:tcMar>
              <w:top w:w="70" w:type="dxa"/>
              <w:left w:w="70" w:type="dxa"/>
              <w:bottom w:w="70" w:type="dxa"/>
              <w:right w:w="70" w:type="dxa"/>
            </w:tcMar>
          </w:tcPr>
          <w:p>
            <w:pPr>
              <w:pStyle w:val="TableBody"/>
            </w:pPr>
            <w:r>
              <w:t>Project</w:t>
            </w:r>
          </w:p>
        </w:tc>
        <w:tc>
          <w:tcPr>
            <w:tcW w:type="dxa" w:w="4608"/>
            <w:vAlign w:val="center"/>
            <w:tcMar>
              <w:top w:w="70" w:type="dxa"/>
              <w:left w:w="70" w:type="dxa"/>
              <w:bottom w:w="70" w:type="dxa"/>
              <w:right w:w="70" w:type="dxa"/>
            </w:tcMar>
          </w:tcPr>
          <w:p>
            <w:pPr>
              <w:pStyle w:val="TableBody"/>
            </w:pPr>
            <w:r>
              <w:t>id, владелец, имя, политика доступа, текущая ревизия</w:t>
            </w:r>
          </w:p>
        </w:tc>
        <w:tc>
          <w:tcPr>
            <w:tcW w:type="dxa" w:w="3672"/>
            <w:vAlign w:val="center"/>
            <w:tcMar>
              <w:top w:w="70" w:type="dxa"/>
              <w:left w:w="70" w:type="dxa"/>
              <w:bottom w:w="70" w:type="dxa"/>
              <w:right w:w="70" w:type="dxa"/>
            </w:tcMar>
          </w:tcPr>
          <w:p>
            <w:pPr>
              <w:pStyle w:val="TableBody"/>
            </w:pPr>
            <w:r>
              <w:t>Контейнер проекта</w:t>
            </w:r>
          </w:p>
        </w:tc>
      </w:tr>
      <w:tr>
        <w:trPr>
          <w:cantSplit/>
        </w:trPr>
        <w:tc>
          <w:tcPr>
            <w:tcW w:type="dxa" w:w="1800"/>
            <w:vAlign w:val="center"/>
            <w:shd w:fill="F3F3F3"/>
            <w:tcMar>
              <w:top w:w="70" w:type="dxa"/>
              <w:left w:w="70" w:type="dxa"/>
              <w:bottom w:w="70" w:type="dxa"/>
              <w:right w:w="70" w:type="dxa"/>
            </w:tcMar>
          </w:tcPr>
          <w:p>
            <w:pPr>
              <w:pStyle w:val="TableBody"/>
            </w:pPr>
            <w:r>
              <w:t>Revision</w:t>
            </w:r>
          </w:p>
        </w:tc>
        <w:tc>
          <w:tcPr>
            <w:tcW w:type="dxa" w:w="4608"/>
            <w:vAlign w:val="center"/>
            <w:shd w:fill="F3F3F3"/>
            <w:tcMar>
              <w:top w:w="70" w:type="dxa"/>
              <w:left w:w="70" w:type="dxa"/>
              <w:bottom w:w="70" w:type="dxa"/>
              <w:right w:w="70" w:type="dxa"/>
            </w:tcMar>
          </w:tcPr>
          <w:p>
            <w:pPr>
              <w:pStyle w:val="TableBody"/>
            </w:pPr>
            <w:r>
              <w:t>id, parentId, schemaVersion, автор, время, snapshotHash</w:t>
            </w:r>
          </w:p>
        </w:tc>
        <w:tc>
          <w:tcPr>
            <w:tcW w:type="dxa" w:w="3672"/>
            <w:vAlign w:val="center"/>
            <w:shd w:fill="F3F3F3"/>
            <w:tcMar>
              <w:top w:w="70" w:type="dxa"/>
              <w:left w:w="70" w:type="dxa"/>
              <w:bottom w:w="70" w:type="dxa"/>
              <w:right w:w="70" w:type="dxa"/>
            </w:tcMar>
          </w:tcPr>
          <w:p>
            <w:pPr>
              <w:pStyle w:val="TableBody"/>
            </w:pPr>
            <w:r>
              <w:t>Неизменяемый снимок модели</w:t>
            </w:r>
          </w:p>
        </w:tc>
      </w:tr>
      <w:tr>
        <w:trPr>
          <w:cantSplit/>
        </w:trPr>
        <w:tc>
          <w:tcPr>
            <w:tcW w:type="dxa" w:w="1800"/>
            <w:vAlign w:val="center"/>
            <w:tcMar>
              <w:top w:w="70" w:type="dxa"/>
              <w:left w:w="70" w:type="dxa"/>
              <w:bottom w:w="70" w:type="dxa"/>
              <w:right w:w="70" w:type="dxa"/>
            </w:tcMar>
          </w:tcPr>
          <w:p>
            <w:pPr>
              <w:pStyle w:val="TableBody"/>
            </w:pPr>
            <w:r>
              <w:t>Room и Surface</w:t>
            </w:r>
          </w:p>
        </w:tc>
        <w:tc>
          <w:tcPr>
            <w:tcW w:type="dxa" w:w="4608"/>
            <w:vAlign w:val="center"/>
            <w:tcMar>
              <w:top w:w="70" w:type="dxa"/>
              <w:left w:w="70" w:type="dxa"/>
              <w:bottom w:w="70" w:type="dxa"/>
              <w:right w:w="70" w:type="dxa"/>
            </w:tcMar>
          </w:tcPr>
          <w:p>
            <w:pPr>
              <w:pStyle w:val="TableBody"/>
            </w:pPr>
            <w:r>
              <w:t>контуры, отметки, нормали, связи, materialVersionId</w:t>
            </w:r>
          </w:p>
        </w:tc>
        <w:tc>
          <w:tcPr>
            <w:tcW w:type="dxa" w:w="3672"/>
            <w:vAlign w:val="center"/>
            <w:tcMar>
              <w:top w:w="70" w:type="dxa"/>
              <w:left w:w="70" w:type="dxa"/>
              <w:bottom w:w="70" w:type="dxa"/>
              <w:right w:w="70" w:type="dxa"/>
            </w:tcMar>
          </w:tcPr>
          <w:p>
            <w:pPr>
              <w:pStyle w:val="TableBody"/>
            </w:pPr>
            <w:r>
              <w:t>Воздух и физические границы</w:t>
            </w:r>
          </w:p>
        </w:tc>
      </w:tr>
      <w:tr>
        <w:trPr>
          <w:cantSplit/>
        </w:trPr>
        <w:tc>
          <w:tcPr>
            <w:tcW w:type="dxa" w:w="1800"/>
            <w:vAlign w:val="center"/>
            <w:shd w:fill="F3F3F3"/>
            <w:tcMar>
              <w:top w:w="70" w:type="dxa"/>
              <w:left w:w="70" w:type="dxa"/>
              <w:bottom w:w="70" w:type="dxa"/>
              <w:right w:w="70" w:type="dxa"/>
            </w:tcMar>
          </w:tcPr>
          <w:p>
            <w:pPr>
              <w:pStyle w:val="TableBody"/>
            </w:pPr>
            <w:r>
              <w:t>Object</w:t>
            </w:r>
          </w:p>
        </w:tc>
        <w:tc>
          <w:tcPr>
            <w:tcW w:type="dxa" w:w="4608"/>
            <w:vAlign w:val="center"/>
            <w:shd w:fill="F3F3F3"/>
            <w:tcMar>
              <w:top w:w="70" w:type="dxa"/>
              <w:left w:w="70" w:type="dxa"/>
              <w:bottom w:w="70" w:type="dxa"/>
              <w:right w:w="70" w:type="dxa"/>
            </w:tcMar>
          </w:tcPr>
          <w:p>
            <w:pPr>
              <w:pStyle w:val="TableBody"/>
            </w:pPr>
            <w:r>
              <w:t>тип, transform, размеры, acousticMode, связи</w:t>
            </w:r>
          </w:p>
        </w:tc>
        <w:tc>
          <w:tcPr>
            <w:tcW w:type="dxa" w:w="3672"/>
            <w:vAlign w:val="center"/>
            <w:shd w:fill="F3F3F3"/>
            <w:tcMar>
              <w:top w:w="70" w:type="dxa"/>
              <w:left w:w="70" w:type="dxa"/>
              <w:bottom w:w="70" w:type="dxa"/>
              <w:right w:w="70" w:type="dxa"/>
            </w:tcMar>
          </w:tcPr>
          <w:p>
            <w:pPr>
              <w:pStyle w:val="TableBody"/>
            </w:pPr>
            <w:r>
              <w:t>Заполнение и препятствия</w:t>
            </w:r>
          </w:p>
        </w:tc>
      </w:tr>
      <w:tr>
        <w:trPr>
          <w:cantSplit/>
        </w:trPr>
        <w:tc>
          <w:tcPr>
            <w:tcW w:type="dxa" w:w="1800"/>
            <w:vAlign w:val="center"/>
            <w:tcMar>
              <w:top w:w="70" w:type="dxa"/>
              <w:left w:w="70" w:type="dxa"/>
              <w:bottom w:w="70" w:type="dxa"/>
              <w:right w:w="70" w:type="dxa"/>
            </w:tcMar>
          </w:tcPr>
          <w:p>
            <w:pPr>
              <w:pStyle w:val="TableBody"/>
            </w:pPr>
            <w:r>
              <w:t>MaterialVersion</w:t>
            </w:r>
          </w:p>
        </w:tc>
        <w:tc>
          <w:tcPr>
            <w:tcW w:type="dxa" w:w="4608"/>
            <w:vAlign w:val="center"/>
            <w:tcMar>
              <w:top w:w="70" w:type="dxa"/>
              <w:left w:w="70" w:type="dxa"/>
              <w:bottom w:w="70" w:type="dxa"/>
              <w:right w:w="70" w:type="dxa"/>
            </w:tcMar>
          </w:tcPr>
          <w:p>
            <w:pPr>
              <w:pStyle w:val="TableBody"/>
            </w:pPr>
            <w:r>
              <w:t>полосы, свойства, трактовка коэффициентов, происхождение</w:t>
            </w:r>
          </w:p>
        </w:tc>
        <w:tc>
          <w:tcPr>
            <w:tcW w:type="dxa" w:w="3672"/>
            <w:vAlign w:val="center"/>
            <w:tcMar>
              <w:top w:w="70" w:type="dxa"/>
              <w:left w:w="70" w:type="dxa"/>
              <w:bottom w:w="70" w:type="dxa"/>
              <w:right w:w="70" w:type="dxa"/>
            </w:tcMar>
          </w:tcPr>
          <w:p>
            <w:pPr>
              <w:pStyle w:val="TableBody"/>
            </w:pPr>
            <w:r>
              <w:t>Свойства поверхностей</w:t>
            </w:r>
          </w:p>
        </w:tc>
      </w:tr>
      <w:tr>
        <w:trPr>
          <w:cantSplit/>
        </w:trPr>
        <w:tc>
          <w:tcPr>
            <w:tcW w:type="dxa" w:w="1800"/>
            <w:vAlign w:val="center"/>
            <w:shd w:fill="F3F3F3"/>
            <w:tcMar>
              <w:top w:w="70" w:type="dxa"/>
              <w:left w:w="70" w:type="dxa"/>
              <w:bottom w:w="70" w:type="dxa"/>
              <w:right w:w="70" w:type="dxa"/>
            </w:tcMar>
          </w:tcPr>
          <w:p>
            <w:pPr>
              <w:pStyle w:val="TableBody"/>
            </w:pPr>
            <w:r>
              <w:t>Equipment и Source</w:t>
            </w:r>
          </w:p>
        </w:tc>
        <w:tc>
          <w:tcPr>
            <w:tcW w:type="dxa" w:w="4608"/>
            <w:vAlign w:val="center"/>
            <w:shd w:fill="F3F3F3"/>
            <w:tcMar>
              <w:top w:w="70" w:type="dxa"/>
              <w:left w:w="70" w:type="dxa"/>
              <w:bottom w:w="70" w:type="dxa"/>
              <w:right w:w="70" w:type="dxa"/>
            </w:tcMar>
          </w:tcPr>
          <w:p>
            <w:pPr>
              <w:pStyle w:val="TableBody"/>
            </w:pPr>
            <w:r>
              <w:t>режимы, спектр, направленность, координаты, веса</w:t>
            </w:r>
          </w:p>
        </w:tc>
        <w:tc>
          <w:tcPr>
            <w:tcW w:type="dxa" w:w="3672"/>
            <w:vAlign w:val="center"/>
            <w:shd w:fill="F3F3F3"/>
            <w:tcMar>
              <w:top w:w="70" w:type="dxa"/>
              <w:left w:w="70" w:type="dxa"/>
              <w:bottom w:w="70" w:type="dxa"/>
              <w:right w:w="70" w:type="dxa"/>
            </w:tcMar>
          </w:tcPr>
          <w:p>
            <w:pPr>
              <w:pStyle w:val="TableBody"/>
            </w:pPr>
            <w:r>
              <w:t>Источники энергии</w:t>
            </w:r>
          </w:p>
        </w:tc>
      </w:tr>
      <w:tr>
        <w:trPr>
          <w:cantSplit/>
        </w:trPr>
        <w:tc>
          <w:tcPr>
            <w:tcW w:type="dxa" w:w="1800"/>
            <w:vAlign w:val="center"/>
            <w:tcMar>
              <w:top w:w="70" w:type="dxa"/>
              <w:left w:w="70" w:type="dxa"/>
              <w:bottom w:w="70" w:type="dxa"/>
              <w:right w:w="70" w:type="dxa"/>
            </w:tcMar>
          </w:tcPr>
          <w:p>
            <w:pPr>
              <w:pStyle w:val="TableBody"/>
            </w:pPr>
            <w:r>
              <w:t>Receiver и Workplace</w:t>
            </w:r>
          </w:p>
        </w:tc>
        <w:tc>
          <w:tcPr>
            <w:tcW w:type="dxa" w:w="4608"/>
            <w:vAlign w:val="center"/>
            <w:tcMar>
              <w:top w:w="70" w:type="dxa"/>
              <w:left w:w="70" w:type="dxa"/>
              <w:bottom w:w="70" w:type="dxa"/>
              <w:right w:w="70" w:type="dxa"/>
            </w:tcMar>
          </w:tcPr>
          <w:p>
            <w:pPr>
              <w:pStyle w:val="TableBody"/>
            </w:pPr>
            <w:r>
              <w:t>координаты, высота, тип, привязка, расписание</w:t>
            </w:r>
          </w:p>
        </w:tc>
        <w:tc>
          <w:tcPr>
            <w:tcW w:type="dxa" w:w="3672"/>
            <w:vAlign w:val="center"/>
            <w:tcMar>
              <w:top w:w="70" w:type="dxa"/>
              <w:left w:w="70" w:type="dxa"/>
              <w:bottom w:w="70" w:type="dxa"/>
              <w:right w:w="70" w:type="dxa"/>
            </w:tcMar>
          </w:tcPr>
          <w:p>
            <w:pPr>
              <w:pStyle w:val="TableBody"/>
            </w:pPr>
            <w:r>
              <w:t>Точки оценки</w:t>
            </w:r>
          </w:p>
        </w:tc>
      </w:tr>
      <w:tr>
        <w:trPr>
          <w:cantSplit/>
        </w:trPr>
        <w:tc>
          <w:tcPr>
            <w:tcW w:type="dxa" w:w="1800"/>
            <w:vAlign w:val="center"/>
            <w:shd w:fill="F3F3F3"/>
            <w:tcMar>
              <w:top w:w="70" w:type="dxa"/>
              <w:left w:w="70" w:type="dxa"/>
              <w:bottom w:w="70" w:type="dxa"/>
              <w:right w:w="70" w:type="dxa"/>
            </w:tcMar>
          </w:tcPr>
          <w:p>
            <w:pPr>
              <w:pStyle w:val="TableBody"/>
            </w:pPr>
            <w:r>
              <w:t>Scenario</w:t>
            </w:r>
          </w:p>
        </w:tc>
        <w:tc>
          <w:tcPr>
            <w:tcW w:type="dxa" w:w="4608"/>
            <w:vAlign w:val="center"/>
            <w:shd w:fill="F3F3F3"/>
            <w:tcMar>
              <w:top w:w="70" w:type="dxa"/>
              <w:left w:w="70" w:type="dxa"/>
              <w:bottom w:w="70" w:type="dxa"/>
              <w:right w:w="70" w:type="dxa"/>
            </w:tcMar>
          </w:tcPr>
          <w:p>
            <w:pPr>
              <w:pStyle w:val="TableBody"/>
            </w:pPr>
            <w:r>
              <w:t>исходная ревизия, изменения, ограничения, стоимость</w:t>
            </w:r>
          </w:p>
        </w:tc>
        <w:tc>
          <w:tcPr>
            <w:tcW w:type="dxa" w:w="3672"/>
            <w:vAlign w:val="center"/>
            <w:shd w:fill="F3F3F3"/>
            <w:tcMar>
              <w:top w:w="70" w:type="dxa"/>
              <w:left w:w="70" w:type="dxa"/>
              <w:bottom w:w="70" w:type="dxa"/>
              <w:right w:w="70" w:type="dxa"/>
            </w:tcMar>
          </w:tcPr>
          <w:p>
            <w:pPr>
              <w:pStyle w:val="TableBody"/>
            </w:pPr>
            <w:r>
              <w:t>Вариант решения</w:t>
            </w:r>
          </w:p>
        </w:tc>
      </w:tr>
      <w:tr>
        <w:trPr>
          <w:cantSplit/>
        </w:trPr>
        <w:tc>
          <w:tcPr>
            <w:tcW w:type="dxa" w:w="1800"/>
            <w:vAlign w:val="center"/>
            <w:tcMar>
              <w:top w:w="70" w:type="dxa"/>
              <w:left w:w="70" w:type="dxa"/>
              <w:bottom w:w="70" w:type="dxa"/>
              <w:right w:w="70" w:type="dxa"/>
            </w:tcMar>
          </w:tcPr>
          <w:p>
            <w:pPr>
              <w:pStyle w:val="TableBody"/>
            </w:pPr>
            <w:r>
              <w:t>Job</w:t>
            </w:r>
          </w:p>
        </w:tc>
        <w:tc>
          <w:tcPr>
            <w:tcW w:type="dxa" w:w="4608"/>
            <w:vAlign w:val="center"/>
            <w:tcMar>
              <w:top w:w="70" w:type="dxa"/>
              <w:left w:w="70" w:type="dxa"/>
              <w:bottom w:w="70" w:type="dxa"/>
              <w:right w:w="70" w:type="dxa"/>
            </w:tcMar>
          </w:tcPr>
          <w:p>
            <w:pPr>
              <w:pStyle w:val="TableBody"/>
            </w:pPr>
            <w:r>
              <w:t>состояние, ключ идемпотентности, попытки, ресурсы, seed</w:t>
            </w:r>
          </w:p>
        </w:tc>
        <w:tc>
          <w:tcPr>
            <w:tcW w:type="dxa" w:w="3672"/>
            <w:vAlign w:val="center"/>
            <w:tcMar>
              <w:top w:w="70" w:type="dxa"/>
              <w:left w:w="70" w:type="dxa"/>
              <w:bottom w:w="70" w:type="dxa"/>
              <w:right w:w="70" w:type="dxa"/>
            </w:tcMar>
          </w:tcPr>
          <w:p>
            <w:pPr>
              <w:pStyle w:val="TableBody"/>
            </w:pPr>
            <w:r>
              <w:t>Серверное выполнение</w:t>
            </w:r>
          </w:p>
        </w:tc>
      </w:tr>
      <w:tr>
        <w:trPr>
          <w:cantSplit/>
        </w:trPr>
        <w:tc>
          <w:tcPr>
            <w:tcW w:type="dxa" w:w="1800"/>
            <w:vAlign w:val="center"/>
            <w:shd w:fill="F3F3F3"/>
            <w:tcMar>
              <w:top w:w="70" w:type="dxa"/>
              <w:left w:w="70" w:type="dxa"/>
              <w:bottom w:w="70" w:type="dxa"/>
              <w:right w:w="70" w:type="dxa"/>
            </w:tcMar>
          </w:tcPr>
          <w:p>
            <w:pPr>
              <w:pStyle w:val="TableBody"/>
            </w:pPr>
            <w:r>
              <w:t>ResultManifest</w:t>
            </w:r>
          </w:p>
        </w:tc>
        <w:tc>
          <w:tcPr>
            <w:tcW w:type="dxa" w:w="4608"/>
            <w:vAlign w:val="center"/>
            <w:shd w:fill="F3F3F3"/>
            <w:tcMar>
              <w:top w:w="70" w:type="dxa"/>
              <w:left w:w="70" w:type="dxa"/>
              <w:bottom w:w="70" w:type="dxa"/>
              <w:right w:w="70" w:type="dxa"/>
            </w:tcMar>
          </w:tcPr>
          <w:p>
            <w:pPr>
              <w:pStyle w:val="TableBody"/>
            </w:pPr>
            <w:r>
              <w:t>версии, поля, единицы, маски, качество, файлы, хеши</w:t>
            </w:r>
          </w:p>
        </w:tc>
        <w:tc>
          <w:tcPr>
            <w:tcW w:type="dxa" w:w="3672"/>
            <w:vAlign w:val="center"/>
            <w:shd w:fill="F3F3F3"/>
            <w:tcMar>
              <w:top w:w="70" w:type="dxa"/>
              <w:left w:w="70" w:type="dxa"/>
              <w:bottom w:w="70" w:type="dxa"/>
              <w:right w:w="70" w:type="dxa"/>
            </w:tcMar>
          </w:tcPr>
          <w:p>
            <w:pPr>
              <w:pStyle w:val="TableBody"/>
            </w:pPr>
            <w:r>
              <w:t>Проверяемый результат</w:t>
            </w:r>
          </w:p>
        </w:tc>
      </w:tr>
      <w:tr>
        <w:trPr>
          <w:cantSplit/>
        </w:trPr>
        <w:tc>
          <w:tcPr>
            <w:tcW w:type="dxa" w:w="1800"/>
            <w:vAlign w:val="center"/>
            <w:tcMar>
              <w:top w:w="70" w:type="dxa"/>
              <w:left w:w="70" w:type="dxa"/>
              <w:bottom w:w="70" w:type="dxa"/>
              <w:right w:w="70" w:type="dxa"/>
            </w:tcMar>
          </w:tcPr>
          <w:p>
            <w:pPr>
              <w:pStyle w:val="TableBody"/>
            </w:pPr>
            <w:r>
              <w:t>AuditEvent</w:t>
            </w:r>
          </w:p>
        </w:tc>
        <w:tc>
          <w:tcPr>
            <w:tcW w:type="dxa" w:w="4608"/>
            <w:vAlign w:val="center"/>
            <w:tcMar>
              <w:top w:w="70" w:type="dxa"/>
              <w:left w:w="70" w:type="dxa"/>
              <w:bottom w:w="70" w:type="dxa"/>
              <w:right w:w="70" w:type="dxa"/>
            </w:tcMar>
          </w:tcPr>
          <w:p>
            <w:pPr>
              <w:pStyle w:val="TableBody"/>
            </w:pPr>
            <w:r>
              <w:t>субъект, действие, время, объект, причина</w:t>
            </w:r>
          </w:p>
        </w:tc>
        <w:tc>
          <w:tcPr>
            <w:tcW w:type="dxa" w:w="3672"/>
            <w:vAlign w:val="center"/>
            <w:tcMar>
              <w:top w:w="70" w:type="dxa"/>
              <w:left w:w="70" w:type="dxa"/>
              <w:bottom w:w="70" w:type="dxa"/>
              <w:right w:w="70" w:type="dxa"/>
            </w:tcMar>
          </w:tcPr>
          <w:p>
            <w:pPr>
              <w:pStyle w:val="TableBody"/>
            </w:pPr>
            <w:r>
              <w:t>История важных действий</w:t>
            </w:r>
          </w:p>
        </w:tc>
      </w:tr>
    </w:tbl>
    <w:p>
      <w:pPr>
        <w:spacing w:after="0"/>
      </w:pPr>
    </w:p>
    <w:p>
      <w:r>
        <w:rPr>
          <w:b/>
        </w:rPr>
        <w:t>DAT-002.</w:t>
      </w:r>
      <w:r>
        <w:t xml:space="preserve"> Черновик изменяемый; ревизия, отправленная на расчёт, неизменяемая. Расчёт всегда ссылается на одну ревизию и один набор параметров. Редактирование во время расчёта создаёт новый черновик. Результат завершившегося задания прикрепляется к прежней ревизии и не объявляется актуальным для нового черновика.</w:t>
      </w:r>
    </w:p>
    <w:p>
      <w:r>
        <w:rPr>
          <w:b/>
        </w:rPr>
        <w:t>DAT-003.</w:t>
      </w:r>
      <w:r>
        <w:t xml:space="preserve"> Для кэша отдельно вычислять хеш геометрии, физических свойств, источников, приёмников и настроек ядра. Полный ключ результата учитывает версии адаптера, ядра, преобразования единиц и генератора сетки. Изменение имени проекта или камеры не инвалидирует акустику; изменение стены, мощности или температуры инвалидирует соответствующие результаты.</w:t>
      </w:r>
    </w:p>
    <w:p>
      <w:r>
        <w:rPr>
          <w:b/>
        </w:rPr>
        <w:t>DAT-004.</w:t>
      </w:r>
      <w:r>
        <w:t xml:space="preserve"> Новая палитра, целевой предел, выбор полосы и шкала карты являются отображением/постобработкой. Изменение расписания можно пересчитать без ядра при наличии всех необходимых раздельных энергетических вкладов. Такое использование кэша фиксируется в происхождении результата.</w:t>
      </w:r>
    </w:p>
    <w:p>
      <w:r>
        <w:rPr>
          <w:b/>
        </w:rPr>
        <w:t>DAT-005.</w:t>
      </w:r>
      <w:r>
        <w:t xml:space="preserve"> JSON Schema описывает документ проекта, а Pydantic проверяет серверный вход. Схемы версионируются. Миграции сохраняют оригинал и выполняются транзакционно; необратимое удаление старого поля запрещено без пути экспорта. Старый результат нельзя заново истолковывать по новой формуле без создания новой версии результата.</w:t>
      </w:r>
    </w:p>
    <w:p>
      <w:r>
        <w:rPr>
          <w:b/>
        </w:rPr>
        <w:t>DAT-006.</w:t>
      </w:r>
      <w:r>
        <w:t xml:space="preserve"> Физическая модель и расчётные массивы хранятся отдельно. PostgreSQL содержит метаданные и связи; большие бинарные поля — объектное хранилище. Каждый файл имеет тип, длину, SHA-256 и область доступа. Манифест публикуется только после успешной загрузки и проверки всех обязательных частей.</w:t>
      </w:r>
    </w:p>
    <w:p>
      <w:r>
        <w:rPr>
          <w:b/>
        </w:rPr>
        <w:t>DAT-007.</w:t>
      </w:r>
      <w:r>
        <w:t xml:space="preserve"> Импорт/экспорт .acproj представляет ZIP со схемой, исходными данными, версиями каталогов, вложениями и необязательными результатами. Ограничить размер распаковки, число файлов и пути; запретить выход за каталог и исполняемые вложения. При импорте показать перечень недостающих или неподдерживаемых элементов до записи проекта.</w:t>
      </w:r>
    </w:p>
    <w:p>
      <w:bookmarkStart w:id="16" w:name="section_16"/>
      <w:pPr>
        <w:pStyle w:val="Heading1"/>
      </w:pPr>
      <w:r>
        <w:t>16 Серверный интерфейс и контракты обмена</w:t>
      </w:r>
      <w:bookmarkEnd w:id="16"/>
    </w:p>
    <w:p>
      <w:r>
        <w:rPr>
          <w:b/>
        </w:rPr>
        <w:t>API-001.</w:t>
      </w:r>
      <w:r>
        <w:t xml:space="preserve"> Использовать HTTPS JSON API </w:t>
      </w:r>
      <w:r>
        <w:rPr>
          <w:rFonts w:ascii="DejaVu Sans Mono" w:hAnsi="DejaVu Sans Mono"/>
          <w:sz w:val="18"/>
        </w:rPr>
        <w:t>/api/v1</w:t>
      </w:r>
      <w:r>
        <w:t xml:space="preserve"> с автоматически публикуемой OpenAPI-схемой для разработчиков. Телефон работает с тем же доменом через серверный шлюз. Браузер не обращается напрямую к очереди, базе данных или SPPS.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2592"/>
        <w:gridCol w:w="3960"/>
      </w:tblGrid>
      <w:tr>
        <w:trPr>
          <w:cantSplit/>
          <w:tblHeader/>
        </w:trPr>
        <w:tc>
          <w:tcPr>
            <w:tcW w:type="dxa" w:w="3528"/>
            <w:vAlign w:val="center"/>
            <w:shd w:fill="303030"/>
            <w:tcMar>
              <w:top w:w="70" w:type="dxa"/>
              <w:left w:w="70" w:type="dxa"/>
              <w:bottom w:w="70" w:type="dxa"/>
              <w:right w:w="70" w:type="dxa"/>
            </w:tcMar>
          </w:tcPr>
          <w:p>
            <w:pPr>
              <w:pStyle w:val="TableBody"/>
            </w:pPr>
            <w:r>
              <w:rPr>
                <w:b/>
                <w:color w:val="FFFFFF"/>
              </w:rPr>
              <w:t>Метод и путь</w:t>
            </w:r>
          </w:p>
        </w:tc>
        <w:tc>
          <w:tcPr>
            <w:tcW w:type="dxa" w:w="2592"/>
            <w:vAlign w:val="center"/>
            <w:shd w:fill="303030"/>
            <w:tcMar>
              <w:top w:w="70" w:type="dxa"/>
              <w:left w:w="70" w:type="dxa"/>
              <w:bottom w:w="70" w:type="dxa"/>
              <w:right w:w="70" w:type="dxa"/>
            </w:tcMar>
          </w:tcPr>
          <w:p>
            <w:pPr>
              <w:pStyle w:val="TableBody"/>
            </w:pPr>
            <w:r>
              <w:rPr>
                <w:b/>
                <w:color w:val="FFFFFF"/>
              </w:rPr>
              <w:t>Назначение</w:t>
            </w:r>
          </w:p>
        </w:tc>
        <w:tc>
          <w:tcPr>
            <w:tcW w:type="dxa" w:w="3960"/>
            <w:vAlign w:val="center"/>
            <w:shd w:fill="303030"/>
            <w:tcMar>
              <w:top w:w="70" w:type="dxa"/>
              <w:left w:w="70" w:type="dxa"/>
              <w:bottom w:w="70" w:type="dxa"/>
              <w:right w:w="70" w:type="dxa"/>
            </w:tcMar>
          </w:tcPr>
          <w:p>
            <w:pPr>
              <w:pStyle w:val="TableBody"/>
            </w:pPr>
            <w:r>
              <w:rPr>
                <w:b/>
                <w:color w:val="FFFFFF"/>
              </w:rPr>
              <w:t>Ключевой результат</w:t>
            </w:r>
          </w:p>
        </w:tc>
      </w:tr>
      <w:tr>
        <w:trPr>
          <w:cantSplit/>
        </w:trPr>
        <w:tc>
          <w:tcPr>
            <w:tcW w:type="dxa" w:w="3528"/>
            <w:vAlign w:val="center"/>
            <w:tcMar>
              <w:top w:w="70" w:type="dxa"/>
              <w:left w:w="70" w:type="dxa"/>
              <w:bottom w:w="70" w:type="dxa"/>
              <w:right w:w="70" w:type="dxa"/>
            </w:tcMar>
          </w:tcPr>
          <w:p>
            <w:pPr>
              <w:pStyle w:val="TableBody"/>
            </w:pPr>
            <w:r>
              <w:t>GET /capabilities</w:t>
            </w:r>
          </w:p>
        </w:tc>
        <w:tc>
          <w:tcPr>
            <w:tcW w:type="dxa" w:w="2592"/>
            <w:vAlign w:val="center"/>
            <w:tcMar>
              <w:top w:w="70" w:type="dxa"/>
              <w:left w:w="70" w:type="dxa"/>
              <w:bottom w:w="70" w:type="dxa"/>
              <w:right w:w="70" w:type="dxa"/>
            </w:tcMar>
          </w:tcPr>
          <w:p>
            <w:pPr>
              <w:pStyle w:val="TableBody"/>
            </w:pPr>
            <w:r>
              <w:t>Возможности ядра и лимиты</w:t>
            </w:r>
          </w:p>
        </w:tc>
        <w:tc>
          <w:tcPr>
            <w:tcW w:type="dxa" w:w="3960"/>
            <w:vAlign w:val="center"/>
            <w:tcMar>
              <w:top w:w="70" w:type="dxa"/>
              <w:left w:w="70" w:type="dxa"/>
              <w:bottom w:w="70" w:type="dxa"/>
              <w:right w:w="70" w:type="dxa"/>
            </w:tcMar>
          </w:tcPr>
          <w:p>
            <w:pPr>
              <w:pStyle w:val="TableBody"/>
            </w:pPr>
            <w:r>
              <w:t>Версии, полосы, режимы, ограничения</w:t>
            </w:r>
          </w:p>
        </w:tc>
      </w:tr>
      <w:tr>
        <w:trPr>
          <w:cantSplit/>
        </w:trPr>
        <w:tc>
          <w:tcPr>
            <w:tcW w:type="dxa" w:w="3528"/>
            <w:vAlign w:val="center"/>
            <w:shd w:fill="F3F3F3"/>
            <w:tcMar>
              <w:top w:w="70" w:type="dxa"/>
              <w:left w:w="70" w:type="dxa"/>
              <w:bottom w:w="70" w:type="dxa"/>
              <w:right w:w="70" w:type="dxa"/>
            </w:tcMar>
          </w:tcPr>
          <w:p>
            <w:pPr>
              <w:pStyle w:val="TableBody"/>
            </w:pPr>
            <w:r>
              <w:t>GET и POST /projects</w:t>
            </w:r>
          </w:p>
        </w:tc>
        <w:tc>
          <w:tcPr>
            <w:tcW w:type="dxa" w:w="2592"/>
            <w:vAlign w:val="center"/>
            <w:shd w:fill="F3F3F3"/>
            <w:tcMar>
              <w:top w:w="70" w:type="dxa"/>
              <w:left w:w="70" w:type="dxa"/>
              <w:bottom w:w="70" w:type="dxa"/>
              <w:right w:w="70" w:type="dxa"/>
            </w:tcMar>
          </w:tcPr>
          <w:p>
            <w:pPr>
              <w:pStyle w:val="TableBody"/>
            </w:pPr>
            <w:r>
              <w:t>Список и создание</w:t>
            </w:r>
          </w:p>
        </w:tc>
        <w:tc>
          <w:tcPr>
            <w:tcW w:type="dxa" w:w="3960"/>
            <w:vAlign w:val="center"/>
            <w:shd w:fill="F3F3F3"/>
            <w:tcMar>
              <w:top w:w="70" w:type="dxa"/>
              <w:left w:w="70" w:type="dxa"/>
              <w:bottom w:w="70" w:type="dxa"/>
              <w:right w:w="70" w:type="dxa"/>
            </w:tcMar>
          </w:tcPr>
          <w:p>
            <w:pPr>
              <w:pStyle w:val="TableBody"/>
            </w:pPr>
            <w:r>
              <w:t>Project и доступные действия</w:t>
            </w:r>
          </w:p>
        </w:tc>
      </w:tr>
      <w:tr>
        <w:trPr>
          <w:cantSplit/>
        </w:trPr>
        <w:tc>
          <w:tcPr>
            <w:tcW w:type="dxa" w:w="3528"/>
            <w:vAlign w:val="center"/>
            <w:tcMar>
              <w:top w:w="70" w:type="dxa"/>
              <w:left w:w="70" w:type="dxa"/>
              <w:bottom w:w="70" w:type="dxa"/>
              <w:right w:w="70" w:type="dxa"/>
            </w:tcMar>
          </w:tcPr>
          <w:p>
            <w:pPr>
              <w:pStyle w:val="TableBody"/>
            </w:pPr>
            <w:r>
              <w:t>GET и PATCH /projects/{id}/draft</w:t>
            </w:r>
          </w:p>
        </w:tc>
        <w:tc>
          <w:tcPr>
            <w:tcW w:type="dxa" w:w="2592"/>
            <w:vAlign w:val="center"/>
            <w:tcMar>
              <w:top w:w="70" w:type="dxa"/>
              <w:left w:w="70" w:type="dxa"/>
              <w:bottom w:w="70" w:type="dxa"/>
              <w:right w:w="70" w:type="dxa"/>
            </w:tcMar>
          </w:tcPr>
          <w:p>
            <w:pPr>
              <w:pStyle w:val="TableBody"/>
            </w:pPr>
            <w:r>
              <w:t>Чтение и изменение черновика</w:t>
            </w:r>
          </w:p>
        </w:tc>
        <w:tc>
          <w:tcPr>
            <w:tcW w:type="dxa" w:w="3960"/>
            <w:vAlign w:val="center"/>
            <w:tcMar>
              <w:top w:w="70" w:type="dxa"/>
              <w:left w:w="70" w:type="dxa"/>
              <w:bottom w:w="70" w:type="dxa"/>
              <w:right w:w="70" w:type="dxa"/>
            </w:tcMar>
          </w:tcPr>
          <w:p>
            <w:pPr>
              <w:pStyle w:val="TableBody"/>
            </w:pPr>
            <w:r>
              <w:t>ETag и новая версия черновика</w:t>
            </w:r>
          </w:p>
        </w:tc>
      </w:tr>
      <w:tr>
        <w:trPr>
          <w:cantSplit/>
        </w:trPr>
        <w:tc>
          <w:tcPr>
            <w:tcW w:type="dxa" w:w="3528"/>
            <w:vAlign w:val="center"/>
            <w:shd w:fill="F3F3F3"/>
            <w:tcMar>
              <w:top w:w="70" w:type="dxa"/>
              <w:left w:w="70" w:type="dxa"/>
              <w:bottom w:w="70" w:type="dxa"/>
              <w:right w:w="70" w:type="dxa"/>
            </w:tcMar>
          </w:tcPr>
          <w:p>
            <w:pPr>
              <w:pStyle w:val="TableBody"/>
            </w:pPr>
            <w:r>
              <w:t>POST /projects/{id}/revisions</w:t>
            </w:r>
          </w:p>
        </w:tc>
        <w:tc>
          <w:tcPr>
            <w:tcW w:type="dxa" w:w="2592"/>
            <w:vAlign w:val="center"/>
            <w:shd w:fill="F3F3F3"/>
            <w:tcMar>
              <w:top w:w="70" w:type="dxa"/>
              <w:left w:w="70" w:type="dxa"/>
              <w:bottom w:w="70" w:type="dxa"/>
              <w:right w:w="70" w:type="dxa"/>
            </w:tcMar>
          </w:tcPr>
          <w:p>
            <w:pPr>
              <w:pStyle w:val="TableBody"/>
            </w:pPr>
            <w:r>
              <w:t>Зафиксировать снимок</w:t>
            </w:r>
          </w:p>
        </w:tc>
        <w:tc>
          <w:tcPr>
            <w:tcW w:type="dxa" w:w="3960"/>
            <w:vAlign w:val="center"/>
            <w:shd w:fill="F3F3F3"/>
            <w:tcMar>
              <w:top w:w="70" w:type="dxa"/>
              <w:left w:w="70" w:type="dxa"/>
              <w:bottom w:w="70" w:type="dxa"/>
              <w:right w:w="70" w:type="dxa"/>
            </w:tcMar>
          </w:tcPr>
          <w:p>
            <w:pPr>
              <w:pStyle w:val="TableBody"/>
            </w:pPr>
            <w:r>
              <w:t>revisionId и snapshotHash</w:t>
            </w:r>
          </w:p>
        </w:tc>
      </w:tr>
      <w:tr>
        <w:trPr>
          <w:cantSplit/>
        </w:trPr>
        <w:tc>
          <w:tcPr>
            <w:tcW w:type="dxa" w:w="3528"/>
            <w:vAlign w:val="center"/>
            <w:tcMar>
              <w:top w:w="70" w:type="dxa"/>
              <w:left w:w="70" w:type="dxa"/>
              <w:bottom w:w="70" w:type="dxa"/>
              <w:right w:w="70" w:type="dxa"/>
            </w:tcMar>
          </w:tcPr>
          <w:p>
            <w:pPr>
              <w:pStyle w:val="TableBody"/>
            </w:pPr>
            <w:r>
              <w:t>POST /revisions/{id}/validate</w:t>
            </w:r>
          </w:p>
        </w:tc>
        <w:tc>
          <w:tcPr>
            <w:tcW w:type="dxa" w:w="2592"/>
            <w:vAlign w:val="center"/>
            <w:tcMar>
              <w:top w:w="70" w:type="dxa"/>
              <w:left w:w="70" w:type="dxa"/>
              <w:bottom w:w="70" w:type="dxa"/>
              <w:right w:w="70" w:type="dxa"/>
            </w:tcMar>
          </w:tcPr>
          <w:p>
            <w:pPr>
              <w:pStyle w:val="TableBody"/>
            </w:pPr>
            <w:r>
              <w:t>Полная проверка</w:t>
            </w:r>
          </w:p>
        </w:tc>
        <w:tc>
          <w:tcPr>
            <w:tcW w:type="dxa" w:w="3960"/>
            <w:vAlign w:val="center"/>
            <w:tcMar>
              <w:top w:w="70" w:type="dxa"/>
              <w:left w:w="70" w:type="dxa"/>
              <w:bottom w:w="70" w:type="dxa"/>
              <w:right w:w="70" w:type="dxa"/>
            </w:tcMar>
          </w:tcPr>
          <w:p>
            <w:pPr>
              <w:pStyle w:val="TableBody"/>
            </w:pPr>
            <w:r>
              <w:t>Ошибки, предупреждения, оценка ресурсов</w:t>
            </w:r>
          </w:p>
        </w:tc>
      </w:tr>
      <w:tr>
        <w:trPr>
          <w:cantSplit/>
        </w:trPr>
        <w:tc>
          <w:tcPr>
            <w:tcW w:type="dxa" w:w="3528"/>
            <w:vAlign w:val="center"/>
            <w:shd w:fill="F3F3F3"/>
            <w:tcMar>
              <w:top w:w="70" w:type="dxa"/>
              <w:left w:w="70" w:type="dxa"/>
              <w:bottom w:w="70" w:type="dxa"/>
              <w:right w:w="70" w:type="dxa"/>
            </w:tcMar>
          </w:tcPr>
          <w:p>
            <w:pPr>
              <w:pStyle w:val="TableBody"/>
            </w:pPr>
            <w:r>
              <w:t>POST /jobs</w:t>
            </w:r>
          </w:p>
        </w:tc>
        <w:tc>
          <w:tcPr>
            <w:tcW w:type="dxa" w:w="2592"/>
            <w:vAlign w:val="center"/>
            <w:shd w:fill="F3F3F3"/>
            <w:tcMar>
              <w:top w:w="70" w:type="dxa"/>
              <w:left w:w="70" w:type="dxa"/>
              <w:bottom w:w="70" w:type="dxa"/>
              <w:right w:w="70" w:type="dxa"/>
            </w:tcMar>
          </w:tcPr>
          <w:p>
            <w:pPr>
              <w:pStyle w:val="TableBody"/>
            </w:pPr>
            <w:r>
              <w:t>Поставить расчёт</w:t>
            </w:r>
          </w:p>
        </w:tc>
        <w:tc>
          <w:tcPr>
            <w:tcW w:type="dxa" w:w="3960"/>
            <w:vAlign w:val="center"/>
            <w:shd w:fill="F3F3F3"/>
            <w:tcMar>
              <w:top w:w="70" w:type="dxa"/>
              <w:left w:w="70" w:type="dxa"/>
              <w:bottom w:w="70" w:type="dxa"/>
              <w:right w:w="70" w:type="dxa"/>
            </w:tcMar>
          </w:tcPr>
          <w:p>
            <w:pPr>
              <w:pStyle w:val="TableBody"/>
            </w:pPr>
            <w:r>
              <w:t>202, jobId и адрес состояния</w:t>
            </w:r>
          </w:p>
        </w:tc>
      </w:tr>
      <w:tr>
        <w:trPr>
          <w:cantSplit/>
        </w:trPr>
        <w:tc>
          <w:tcPr>
            <w:tcW w:type="dxa" w:w="3528"/>
            <w:vAlign w:val="center"/>
            <w:tcMar>
              <w:top w:w="70" w:type="dxa"/>
              <w:left w:w="70" w:type="dxa"/>
              <w:bottom w:w="70" w:type="dxa"/>
              <w:right w:w="70" w:type="dxa"/>
            </w:tcMar>
          </w:tcPr>
          <w:p>
            <w:pPr>
              <w:pStyle w:val="TableBody"/>
            </w:pPr>
            <w:r>
              <w:t>GET /jobs/{id}</w:t>
            </w:r>
          </w:p>
        </w:tc>
        <w:tc>
          <w:tcPr>
            <w:tcW w:type="dxa" w:w="2592"/>
            <w:vAlign w:val="center"/>
            <w:tcMar>
              <w:top w:w="70" w:type="dxa"/>
              <w:left w:w="70" w:type="dxa"/>
              <w:bottom w:w="70" w:type="dxa"/>
              <w:right w:w="70" w:type="dxa"/>
            </w:tcMar>
          </w:tcPr>
          <w:p>
            <w:pPr>
              <w:pStyle w:val="TableBody"/>
            </w:pPr>
            <w:r>
              <w:t>Получить состояние</w:t>
            </w:r>
          </w:p>
        </w:tc>
        <w:tc>
          <w:tcPr>
            <w:tcW w:type="dxa" w:w="3960"/>
            <w:vAlign w:val="center"/>
            <w:tcMar>
              <w:top w:w="70" w:type="dxa"/>
              <w:left w:w="70" w:type="dxa"/>
              <w:bottom w:w="70" w:type="dxa"/>
              <w:right w:w="70" w:type="dxa"/>
            </w:tcMar>
          </w:tcPr>
          <w:p>
            <w:pPr>
              <w:pStyle w:val="TableBody"/>
            </w:pPr>
            <w:r>
              <w:t>Этап, прогресс, результат или ошибка</w:t>
            </w:r>
          </w:p>
        </w:tc>
      </w:tr>
      <w:tr>
        <w:trPr>
          <w:cantSplit/>
        </w:trPr>
        <w:tc>
          <w:tcPr>
            <w:tcW w:type="dxa" w:w="3528"/>
            <w:vAlign w:val="center"/>
            <w:shd w:fill="F3F3F3"/>
            <w:tcMar>
              <w:top w:w="70" w:type="dxa"/>
              <w:left w:w="70" w:type="dxa"/>
              <w:bottom w:w="70" w:type="dxa"/>
              <w:right w:w="70" w:type="dxa"/>
            </w:tcMar>
          </w:tcPr>
          <w:p>
            <w:pPr>
              <w:pStyle w:val="TableBody"/>
            </w:pPr>
            <w:r>
              <w:t>GET /jobs/{id}/events</w:t>
            </w:r>
          </w:p>
        </w:tc>
        <w:tc>
          <w:tcPr>
            <w:tcW w:type="dxa" w:w="2592"/>
            <w:vAlign w:val="center"/>
            <w:shd w:fill="F3F3F3"/>
            <w:tcMar>
              <w:top w:w="70" w:type="dxa"/>
              <w:left w:w="70" w:type="dxa"/>
              <w:bottom w:w="70" w:type="dxa"/>
              <w:right w:w="70" w:type="dxa"/>
            </w:tcMar>
          </w:tcPr>
          <w:p>
            <w:pPr>
              <w:pStyle w:val="TableBody"/>
            </w:pPr>
            <w:r>
              <w:t>Поток событий SSE</w:t>
            </w:r>
          </w:p>
        </w:tc>
        <w:tc>
          <w:tcPr>
            <w:tcW w:type="dxa" w:w="3960"/>
            <w:vAlign w:val="center"/>
            <w:shd w:fill="F3F3F3"/>
            <w:tcMar>
              <w:top w:w="70" w:type="dxa"/>
              <w:left w:w="70" w:type="dxa"/>
              <w:bottom w:w="70" w:type="dxa"/>
              <w:right w:w="70" w:type="dxa"/>
            </w:tcMar>
          </w:tcPr>
          <w:p>
            <w:pPr>
              <w:pStyle w:val="TableBody"/>
            </w:pPr>
            <w:r>
              <w:t>eventId, тип, этап, время</w:t>
            </w:r>
          </w:p>
        </w:tc>
      </w:tr>
      <w:tr>
        <w:trPr>
          <w:cantSplit/>
        </w:trPr>
        <w:tc>
          <w:tcPr>
            <w:tcW w:type="dxa" w:w="3528"/>
            <w:vAlign w:val="center"/>
            <w:tcMar>
              <w:top w:w="70" w:type="dxa"/>
              <w:left w:w="70" w:type="dxa"/>
              <w:bottom w:w="70" w:type="dxa"/>
              <w:right w:w="70" w:type="dxa"/>
            </w:tcMar>
          </w:tcPr>
          <w:p>
            <w:pPr>
              <w:pStyle w:val="TableBody"/>
            </w:pPr>
            <w:r>
              <w:t>POST /jobs/{id}/cancel</w:t>
            </w:r>
          </w:p>
        </w:tc>
        <w:tc>
          <w:tcPr>
            <w:tcW w:type="dxa" w:w="2592"/>
            <w:vAlign w:val="center"/>
            <w:tcMar>
              <w:top w:w="70" w:type="dxa"/>
              <w:left w:w="70" w:type="dxa"/>
              <w:bottom w:w="70" w:type="dxa"/>
              <w:right w:w="70" w:type="dxa"/>
            </w:tcMar>
          </w:tcPr>
          <w:p>
            <w:pPr>
              <w:pStyle w:val="TableBody"/>
            </w:pPr>
            <w:r>
              <w:t>Запросить отмену</w:t>
            </w:r>
          </w:p>
        </w:tc>
        <w:tc>
          <w:tcPr>
            <w:tcW w:type="dxa" w:w="3960"/>
            <w:vAlign w:val="center"/>
            <w:tcMar>
              <w:top w:w="70" w:type="dxa"/>
              <w:left w:w="70" w:type="dxa"/>
              <w:bottom w:w="70" w:type="dxa"/>
              <w:right w:w="70" w:type="dxa"/>
            </w:tcMar>
          </w:tcPr>
          <w:p>
            <w:pPr>
              <w:pStyle w:val="TableBody"/>
            </w:pPr>
            <w:r>
              <w:t>Состояние cancelling/cancelled</w:t>
            </w:r>
          </w:p>
        </w:tc>
      </w:tr>
      <w:tr>
        <w:trPr>
          <w:cantSplit/>
        </w:trPr>
        <w:tc>
          <w:tcPr>
            <w:tcW w:type="dxa" w:w="3528"/>
            <w:vAlign w:val="center"/>
            <w:shd w:fill="F3F3F3"/>
            <w:tcMar>
              <w:top w:w="70" w:type="dxa"/>
              <w:left w:w="70" w:type="dxa"/>
              <w:bottom w:w="70" w:type="dxa"/>
              <w:right w:w="70" w:type="dxa"/>
            </w:tcMar>
          </w:tcPr>
          <w:p>
            <w:pPr>
              <w:pStyle w:val="TableBody"/>
            </w:pPr>
            <w:r>
              <w:t>GET /results/{id}/manifest</w:t>
            </w:r>
          </w:p>
        </w:tc>
        <w:tc>
          <w:tcPr>
            <w:tcW w:type="dxa" w:w="2592"/>
            <w:vAlign w:val="center"/>
            <w:shd w:fill="F3F3F3"/>
            <w:tcMar>
              <w:top w:w="70" w:type="dxa"/>
              <w:left w:w="70" w:type="dxa"/>
              <w:bottom w:w="70" w:type="dxa"/>
              <w:right w:w="70" w:type="dxa"/>
            </w:tcMar>
          </w:tcPr>
          <w:p>
            <w:pPr>
              <w:pStyle w:val="TableBody"/>
            </w:pPr>
            <w:r>
              <w:t>Получить описание данных</w:t>
            </w:r>
          </w:p>
        </w:tc>
        <w:tc>
          <w:tcPr>
            <w:tcW w:type="dxa" w:w="3960"/>
            <w:vAlign w:val="center"/>
            <w:shd w:fill="F3F3F3"/>
            <w:tcMar>
              <w:top w:w="70" w:type="dxa"/>
              <w:left w:w="70" w:type="dxa"/>
              <w:bottom w:w="70" w:type="dxa"/>
              <w:right w:w="70" w:type="dxa"/>
            </w:tcMar>
          </w:tcPr>
          <w:p>
            <w:pPr>
              <w:pStyle w:val="TableBody"/>
            </w:pPr>
            <w:r>
              <w:t>Частоты, сетки, маски, файлы</w:t>
            </w:r>
          </w:p>
        </w:tc>
      </w:tr>
      <w:tr>
        <w:trPr>
          <w:cantSplit/>
        </w:trPr>
        <w:tc>
          <w:tcPr>
            <w:tcW w:type="dxa" w:w="3528"/>
            <w:vAlign w:val="center"/>
            <w:tcMar>
              <w:top w:w="70" w:type="dxa"/>
              <w:left w:w="70" w:type="dxa"/>
              <w:bottom w:w="70" w:type="dxa"/>
              <w:right w:w="70" w:type="dxa"/>
            </w:tcMar>
          </w:tcPr>
          <w:p>
            <w:pPr>
              <w:pStyle w:val="TableBody"/>
            </w:pPr>
            <w:r>
              <w:t>POST /results/{id}/samples</w:t>
            </w:r>
          </w:p>
        </w:tc>
        <w:tc>
          <w:tcPr>
            <w:tcW w:type="dxa" w:w="2592"/>
            <w:vAlign w:val="center"/>
            <w:tcMar>
              <w:top w:w="70" w:type="dxa"/>
              <w:left w:w="70" w:type="dxa"/>
              <w:bottom w:w="70" w:type="dxa"/>
              <w:right w:w="70" w:type="dxa"/>
            </w:tcMar>
          </w:tcPr>
          <w:p>
            <w:pPr>
              <w:pStyle w:val="TableBody"/>
            </w:pPr>
            <w:r>
              <w:t>Значения в точках</w:t>
            </w:r>
          </w:p>
        </w:tc>
        <w:tc>
          <w:tcPr>
            <w:tcW w:type="dxa" w:w="3960"/>
            <w:vAlign w:val="center"/>
            <w:tcMar>
              <w:top w:w="70" w:type="dxa"/>
              <w:left w:w="70" w:type="dxa"/>
              <w:bottom w:w="70" w:type="dxa"/>
              <w:right w:w="70" w:type="dxa"/>
            </w:tcMar>
          </w:tcPr>
          <w:p>
            <w:pPr>
              <w:pStyle w:val="TableBody"/>
            </w:pPr>
            <w:r>
              <w:t>Значения и способ получения</w:t>
            </w:r>
          </w:p>
        </w:tc>
      </w:tr>
      <w:tr>
        <w:trPr>
          <w:cantSplit/>
        </w:trPr>
        <w:tc>
          <w:tcPr>
            <w:tcW w:type="dxa" w:w="3528"/>
            <w:vAlign w:val="center"/>
            <w:shd w:fill="F3F3F3"/>
            <w:tcMar>
              <w:top w:w="70" w:type="dxa"/>
              <w:left w:w="70" w:type="dxa"/>
              <w:bottom w:w="70" w:type="dxa"/>
              <w:right w:w="70" w:type="dxa"/>
            </w:tcMar>
          </w:tcPr>
          <w:p>
            <w:pPr>
              <w:pStyle w:val="TableBody"/>
            </w:pPr>
            <w:r>
              <w:t>POST /results/{id}/slices</w:t>
            </w:r>
          </w:p>
        </w:tc>
        <w:tc>
          <w:tcPr>
            <w:tcW w:type="dxa" w:w="2592"/>
            <w:vAlign w:val="center"/>
            <w:shd w:fill="F3F3F3"/>
            <w:tcMar>
              <w:top w:w="70" w:type="dxa"/>
              <w:left w:w="70" w:type="dxa"/>
              <w:bottom w:w="70" w:type="dxa"/>
              <w:right w:w="70" w:type="dxa"/>
            </w:tcMar>
          </w:tcPr>
          <w:p>
            <w:pPr>
              <w:pStyle w:val="TableBody"/>
            </w:pPr>
            <w:r>
              <w:t>Получить или заказать сечение</w:t>
            </w:r>
          </w:p>
        </w:tc>
        <w:tc>
          <w:tcPr>
            <w:tcW w:type="dxa" w:w="3960"/>
            <w:vAlign w:val="center"/>
            <w:shd w:fill="F3F3F3"/>
            <w:tcMar>
              <w:top w:w="70" w:type="dxa"/>
              <w:left w:w="70" w:type="dxa"/>
              <w:bottom w:w="70" w:type="dxa"/>
              <w:right w:w="70" w:type="dxa"/>
            </w:tcMar>
          </w:tcPr>
          <w:p>
            <w:pPr>
              <w:pStyle w:val="TableBody"/>
            </w:pPr>
            <w:r>
              <w:t>Данные либо дополнительное задание</w:t>
            </w:r>
          </w:p>
        </w:tc>
      </w:tr>
      <w:tr>
        <w:trPr>
          <w:cantSplit/>
        </w:trPr>
        <w:tc>
          <w:tcPr>
            <w:tcW w:type="dxa" w:w="3528"/>
            <w:vAlign w:val="center"/>
            <w:tcMar>
              <w:top w:w="70" w:type="dxa"/>
              <w:left w:w="70" w:type="dxa"/>
              <w:bottom w:w="70" w:type="dxa"/>
              <w:right w:w="70" w:type="dxa"/>
            </w:tcMar>
          </w:tcPr>
          <w:p>
            <w:pPr>
              <w:pStyle w:val="TableBody"/>
            </w:pPr>
            <w:r>
              <w:t>POST /comparisons</w:t>
            </w:r>
          </w:p>
        </w:tc>
        <w:tc>
          <w:tcPr>
            <w:tcW w:type="dxa" w:w="2592"/>
            <w:vAlign w:val="center"/>
            <w:tcMar>
              <w:top w:w="70" w:type="dxa"/>
              <w:left w:w="70" w:type="dxa"/>
              <w:bottom w:w="70" w:type="dxa"/>
              <w:right w:w="70" w:type="dxa"/>
            </w:tcMar>
          </w:tcPr>
          <w:p>
            <w:pPr>
              <w:pStyle w:val="TableBody"/>
            </w:pPr>
            <w:r>
              <w:t>Сравнить результаты</w:t>
            </w:r>
          </w:p>
        </w:tc>
        <w:tc>
          <w:tcPr>
            <w:tcW w:type="dxa" w:w="3960"/>
            <w:vAlign w:val="center"/>
            <w:tcMar>
              <w:top w:w="70" w:type="dxa"/>
              <w:left w:w="70" w:type="dxa"/>
              <w:bottom w:w="70" w:type="dxa"/>
              <w:right w:w="70" w:type="dxa"/>
            </w:tcMar>
          </w:tcPr>
          <w:p>
            <w:pPr>
              <w:pStyle w:val="TableBody"/>
            </w:pPr>
            <w:r>
              <w:t>Совместимость, таблица и поля разницы</w:t>
            </w:r>
          </w:p>
        </w:tc>
      </w:tr>
      <w:tr>
        <w:trPr>
          <w:cantSplit/>
        </w:trPr>
        <w:tc>
          <w:tcPr>
            <w:tcW w:type="dxa" w:w="3528"/>
            <w:vAlign w:val="center"/>
            <w:shd w:fill="F3F3F3"/>
            <w:tcMar>
              <w:top w:w="70" w:type="dxa"/>
              <w:left w:w="70" w:type="dxa"/>
              <w:bottom w:w="70" w:type="dxa"/>
              <w:right w:w="70" w:type="dxa"/>
            </w:tcMar>
          </w:tcPr>
          <w:p>
            <w:pPr>
              <w:pStyle w:val="TableBody"/>
            </w:pPr>
            <w:r>
              <w:t>POST /optimizations</w:t>
            </w:r>
          </w:p>
        </w:tc>
        <w:tc>
          <w:tcPr>
            <w:tcW w:type="dxa" w:w="2592"/>
            <w:vAlign w:val="center"/>
            <w:shd w:fill="F3F3F3"/>
            <w:tcMar>
              <w:top w:w="70" w:type="dxa"/>
              <w:left w:w="70" w:type="dxa"/>
              <w:bottom w:w="70" w:type="dxa"/>
              <w:right w:w="70" w:type="dxa"/>
            </w:tcMar>
          </w:tcPr>
          <w:p>
            <w:pPr>
              <w:pStyle w:val="TableBody"/>
            </w:pPr>
            <w:r>
              <w:t>Запустить подбор</w:t>
            </w:r>
          </w:p>
        </w:tc>
        <w:tc>
          <w:tcPr>
            <w:tcW w:type="dxa" w:w="3960"/>
            <w:vAlign w:val="center"/>
            <w:shd w:fill="F3F3F3"/>
            <w:tcMar>
              <w:top w:w="70" w:type="dxa"/>
              <w:left w:w="70" w:type="dxa"/>
              <w:bottom w:w="70" w:type="dxa"/>
              <w:right w:w="70" w:type="dxa"/>
            </w:tcMar>
          </w:tcPr>
          <w:p>
            <w:pPr>
              <w:pStyle w:val="TableBody"/>
            </w:pPr>
            <w:r>
              <w:t>Задание, бюджет и ограничения</w:t>
            </w:r>
          </w:p>
        </w:tc>
      </w:tr>
      <w:tr>
        <w:trPr>
          <w:cantSplit/>
        </w:trPr>
        <w:tc>
          <w:tcPr>
            <w:tcW w:type="dxa" w:w="3528"/>
            <w:vAlign w:val="center"/>
            <w:tcMar>
              <w:top w:w="70" w:type="dxa"/>
              <w:left w:w="70" w:type="dxa"/>
              <w:bottom w:w="70" w:type="dxa"/>
              <w:right w:w="70" w:type="dxa"/>
            </w:tcMar>
          </w:tcPr>
          <w:p>
            <w:pPr>
              <w:pStyle w:val="TableBody"/>
            </w:pPr>
            <w:r>
              <w:t>POST /reports</w:t>
            </w:r>
          </w:p>
        </w:tc>
        <w:tc>
          <w:tcPr>
            <w:tcW w:type="dxa" w:w="2592"/>
            <w:vAlign w:val="center"/>
            <w:tcMar>
              <w:top w:w="70" w:type="dxa"/>
              <w:left w:w="70" w:type="dxa"/>
              <w:bottom w:w="70" w:type="dxa"/>
              <w:right w:w="70" w:type="dxa"/>
            </w:tcMar>
          </w:tcPr>
          <w:p>
            <w:pPr>
              <w:pStyle w:val="TableBody"/>
            </w:pPr>
            <w:r>
              <w:t>Подготовить отчёт</w:t>
            </w:r>
          </w:p>
        </w:tc>
        <w:tc>
          <w:tcPr>
            <w:tcW w:type="dxa" w:w="3960"/>
            <w:vAlign w:val="center"/>
            <w:tcMar>
              <w:top w:w="70" w:type="dxa"/>
              <w:left w:w="70" w:type="dxa"/>
              <w:bottom w:w="70" w:type="dxa"/>
              <w:right w:w="70" w:type="dxa"/>
            </w:tcMar>
          </w:tcPr>
          <w:p>
            <w:pPr>
              <w:pStyle w:val="TableBody"/>
            </w:pPr>
            <w:r>
              <w:t>Задание генерации документа</w:t>
            </w:r>
          </w:p>
        </w:tc>
      </w:tr>
      <w:tr>
        <w:trPr>
          <w:cantSplit/>
        </w:trPr>
        <w:tc>
          <w:tcPr>
            <w:tcW w:type="dxa" w:w="3528"/>
            <w:vAlign w:val="center"/>
            <w:shd w:fill="F3F3F3"/>
            <w:tcMar>
              <w:top w:w="70" w:type="dxa"/>
              <w:left w:w="70" w:type="dxa"/>
              <w:bottom w:w="70" w:type="dxa"/>
              <w:right w:w="70" w:type="dxa"/>
            </w:tcMar>
          </w:tcPr>
          <w:p>
            <w:pPr>
              <w:pStyle w:val="TableBody"/>
            </w:pPr>
            <w:r>
              <w:t>POST /imports и GET /exports/{id}</w:t>
            </w:r>
          </w:p>
        </w:tc>
        <w:tc>
          <w:tcPr>
            <w:tcW w:type="dxa" w:w="2592"/>
            <w:vAlign w:val="center"/>
            <w:shd w:fill="F3F3F3"/>
            <w:tcMar>
              <w:top w:w="70" w:type="dxa"/>
              <w:left w:w="70" w:type="dxa"/>
              <w:bottom w:w="70" w:type="dxa"/>
              <w:right w:w="70" w:type="dxa"/>
            </w:tcMar>
          </w:tcPr>
          <w:p>
            <w:pPr>
              <w:pStyle w:val="TableBody"/>
            </w:pPr>
            <w:r>
              <w:t>Перенос проекта</w:t>
            </w:r>
          </w:p>
        </w:tc>
        <w:tc>
          <w:tcPr>
            <w:tcW w:type="dxa" w:w="3960"/>
            <w:vAlign w:val="center"/>
            <w:shd w:fill="F3F3F3"/>
            <w:tcMar>
              <w:top w:w="70" w:type="dxa"/>
              <w:left w:w="70" w:type="dxa"/>
              <w:bottom w:w="70" w:type="dxa"/>
              <w:right w:w="70" w:type="dxa"/>
            </w:tcMar>
          </w:tcPr>
          <w:p>
            <w:pPr>
              <w:pStyle w:val="TableBody"/>
            </w:pPr>
            <w:r>
              <w:t>Проверенный архив и статус</w:t>
            </w:r>
          </w:p>
        </w:tc>
      </w:tr>
    </w:tbl>
    <w:p>
      <w:pPr>
        <w:spacing w:after="0"/>
      </w:pPr>
    </w:p>
    <w:p>
      <w:r>
        <w:rPr>
          <w:b/>
        </w:rPr>
        <w:t>API-002.</w:t>
      </w:r>
      <w:r>
        <w:t xml:space="preserve"> Идентификаторы в адресах не служат авторизацией. Для каждого объекта проверяется принадлежность организации/проекту и роль. Разрешённые ссылки на большие файлы ограничены по времени и области доступа; секреты и токены не включаются в журналы.</w:t>
      </w:r>
    </w:p>
    <w:p>
      <w:r>
        <w:rPr>
          <w:b/>
        </w:rPr>
        <w:t>API-003.</w:t>
      </w:r>
      <w:r>
        <w:t xml:space="preserve"> PATCH черновика использует If-Match/ETag. Несовпадение даёт 409 или 412 и данные для сравнения; сервер не перезаписывает чужое изменение. Создание расчёта требует Idempotency-Key и хеш тела; повтор с тем же ключом и тем же телом возвращает исходный jobId, с другим телом — конфликт.</w:t>
      </w:r>
    </w:p>
    <w:p>
      <w:r>
        <w:rPr>
          <w:b/>
        </w:rPr>
        <w:t>API-004.</w:t>
      </w:r>
      <w:r>
        <w:t xml:space="preserve"> Ошибка содержит code, понятное message, fieldPath, objectId при наличии, retryable и requestId. Разделить 400 — неверный запрос, 401 — вход, 403 — права, 404 — объект, 409/412 — конфликт, 422 — некорректная модель, 429 — квота, 503 — временная недоступность. Ответы не раскрывают внутренние пути и стек пользователю.</w:t>
      </w:r>
    </w:p>
    <w:p>
      <w:r>
        <w:rPr>
          <w:b/>
        </w:rPr>
        <w:t>API-005.</w:t>
      </w:r>
      <w:r>
        <w:t xml:space="preserve"> Отправка тяжёлой операции возвращает 202 после надёжной записи задания. HTTP-запрос не остаётся открытым до конца расчёта. SSE возобновляется с Last-Event-ID; если поток недоступен, клиент опрашивает состояние с увеличением интервала от 2 до 10 секунд и замедляет запросы в фоне.</w:t>
      </w:r>
    </w:p>
    <w:p>
      <w:r>
        <w:rPr>
          <w:b/>
        </w:rPr>
        <w:t>API-006.</w:t>
      </w:r>
      <w:r>
        <w:t xml:space="preserve"> Событие включает jobId, sequence, stage, progress, timestamp и необязательное предупреждение. Прогресс конкретного этапа отделён от общего. Если ядро не сообщает точный процент, показывать этап и активность без выдуманного «99 %». После восстановления связи окончательное состояние читается из базы.</w:t>
      </w:r>
    </w:p>
    <w:p>
      <w:r>
        <w:rPr>
          <w:b/>
        </w:rPr>
        <w:t>API-007.</w:t>
      </w:r>
      <w:r>
        <w:t xml:space="preserve"> Пагинация обязательна для проектов, расчётов и каталогов. Большие карты разделяются на блоки; поддерживаются сжатие и повторная загрузка отдельных блоков. Сервер не возвращает весь объём в Base64 внутри JSON. Для интерактивных срезов можно выдавать готовые компактные массивы по выбранному диапазону.</w:t>
      </w:r>
    </w:p>
    <w:p>
      <w:bookmarkStart w:id="17" w:name="section_17"/>
      <w:pPr>
        <w:pStyle w:val="Heading1"/>
      </w:pPr>
      <w:r>
        <w:t>17 Технологии и размещение компонентов</w:t>
      </w:r>
      <w:bookmarkEnd w:id="17"/>
    </w:p>
    <w:p>
      <w:r>
        <w:rPr>
          <w:b/>
        </w:rPr>
        <w:t>ARC-001.</w:t>
      </w:r>
      <w:r>
        <w:t xml:space="preserve"> Целевая инфраструктура — обычные Linux-серверы или контейнерный сервис с поддержкой длительных CPU-задач. Расчётный процесс не размещается в короткоживущем обработчике HTTP. Облачный поставщик может быть выбран при реализации без изменения контрактов. Локальная установка на сервер организации также должна быть возможна.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4896"/>
      </w:tblGrid>
      <w:tr>
        <w:trPr>
          <w:cantSplit/>
          <w:tblHeader/>
        </w:trPr>
        <w:tc>
          <w:tcPr>
            <w:tcW w:type="dxa" w:w="1656"/>
            <w:vAlign w:val="center"/>
            <w:shd w:fill="303030"/>
            <w:tcMar>
              <w:top w:w="70" w:type="dxa"/>
              <w:left w:w="70" w:type="dxa"/>
              <w:bottom w:w="70" w:type="dxa"/>
              <w:right w:w="70" w:type="dxa"/>
            </w:tcMar>
          </w:tcPr>
          <w:p>
            <w:pPr>
              <w:pStyle w:val="TableBody"/>
            </w:pPr>
            <w:r>
              <w:rPr>
                <w:b/>
                <w:color w:val="FFFFFF"/>
              </w:rPr>
              <w:t>Слой</w:t>
            </w:r>
          </w:p>
        </w:tc>
        <w:tc>
          <w:tcPr>
            <w:tcW w:type="dxa" w:w="3528"/>
            <w:vAlign w:val="center"/>
            <w:shd w:fill="303030"/>
            <w:tcMar>
              <w:top w:w="70" w:type="dxa"/>
              <w:left w:w="70" w:type="dxa"/>
              <w:bottom w:w="70" w:type="dxa"/>
              <w:right w:w="70" w:type="dxa"/>
            </w:tcMar>
          </w:tcPr>
          <w:p>
            <w:pPr>
              <w:pStyle w:val="TableBody"/>
            </w:pPr>
            <w:r>
              <w:rPr>
                <w:b/>
                <w:color w:val="FFFFFF"/>
              </w:rPr>
              <w:t>Выбранные средства</w:t>
            </w:r>
          </w:p>
        </w:tc>
        <w:tc>
          <w:tcPr>
            <w:tcW w:type="dxa" w:w="4896"/>
            <w:vAlign w:val="center"/>
            <w:shd w:fill="303030"/>
            <w:tcMar>
              <w:top w:w="70" w:type="dxa"/>
              <w:left w:w="70" w:type="dxa"/>
              <w:bottom w:w="70" w:type="dxa"/>
              <w:right w:w="70" w:type="dxa"/>
            </w:tcMar>
          </w:tcPr>
          <w:p>
            <w:pPr>
              <w:pStyle w:val="TableBody"/>
            </w:pPr>
            <w:r>
              <w:rPr>
                <w:b/>
                <w:color w:val="FFFFFF"/>
              </w:rPr>
              <w:t>Причина и граница ответственности</w:t>
            </w:r>
          </w:p>
        </w:tc>
      </w:tr>
      <w:tr>
        <w:trPr>
          <w:cantSplit/>
        </w:trPr>
        <w:tc>
          <w:tcPr>
            <w:tcW w:type="dxa" w:w="1656"/>
            <w:vAlign w:val="center"/>
            <w:tcMar>
              <w:top w:w="70" w:type="dxa"/>
              <w:left w:w="70" w:type="dxa"/>
              <w:bottom w:w="70" w:type="dxa"/>
              <w:right w:w="70" w:type="dxa"/>
            </w:tcMar>
          </w:tcPr>
          <w:p>
            <w:pPr>
              <w:pStyle w:val="TableBody"/>
            </w:pPr>
            <w:r>
              <w:t>Мобильный клиент</w:t>
            </w:r>
          </w:p>
        </w:tc>
        <w:tc>
          <w:tcPr>
            <w:tcW w:type="dxa" w:w="3528"/>
            <w:vAlign w:val="center"/>
            <w:tcMar>
              <w:top w:w="70" w:type="dxa"/>
              <w:left w:w="70" w:type="dxa"/>
              <w:bottom w:w="70" w:type="dxa"/>
              <w:right w:w="70" w:type="dxa"/>
            </w:tcMar>
          </w:tcPr>
          <w:p>
            <w:pPr>
              <w:pStyle w:val="TableBody"/>
            </w:pPr>
            <w:r>
              <w:t>React, TypeScript, Vite</w:t>
            </w:r>
          </w:p>
        </w:tc>
        <w:tc>
          <w:tcPr>
            <w:tcW w:type="dxa" w:w="4896"/>
            <w:vAlign w:val="center"/>
            <w:tcMar>
              <w:top w:w="70" w:type="dxa"/>
              <w:left w:w="70" w:type="dxa"/>
              <w:bottom w:w="70" w:type="dxa"/>
              <w:right w:w="70" w:type="dxa"/>
            </w:tcMar>
          </w:tcPr>
          <w:p>
            <w:pPr>
              <w:pStyle w:val="TableBody"/>
            </w:pPr>
            <w:r>
              <w:t>Формы, навигация, состояние интерфейса</w:t>
            </w:r>
          </w:p>
        </w:tc>
      </w:tr>
      <w:tr>
        <w:trPr>
          <w:cantSplit/>
        </w:trPr>
        <w:tc>
          <w:tcPr>
            <w:tcW w:type="dxa" w:w="1656"/>
            <w:vAlign w:val="center"/>
            <w:shd w:fill="F3F3F3"/>
            <w:tcMar>
              <w:top w:w="70" w:type="dxa"/>
              <w:left w:w="70" w:type="dxa"/>
              <w:bottom w:w="70" w:type="dxa"/>
              <w:right w:w="70" w:type="dxa"/>
            </w:tcMar>
          </w:tcPr>
          <w:p>
            <w:pPr>
              <w:pStyle w:val="TableBody"/>
            </w:pPr>
            <w:r>
              <w:t>План и 3D</w:t>
            </w:r>
          </w:p>
        </w:tc>
        <w:tc>
          <w:tcPr>
            <w:tcW w:type="dxa" w:w="3528"/>
            <w:vAlign w:val="center"/>
            <w:shd w:fill="F3F3F3"/>
            <w:tcMar>
              <w:top w:w="70" w:type="dxa"/>
              <w:left w:w="70" w:type="dxa"/>
              <w:bottom w:w="70" w:type="dxa"/>
              <w:right w:w="70" w:type="dxa"/>
            </w:tcMar>
          </w:tcPr>
          <w:p>
            <w:pPr>
              <w:pStyle w:val="TableBody"/>
            </w:pPr>
            <w:r>
              <w:t>React Konva; Three.js; React Three Fiber; совместимые Drei</w:t>
            </w:r>
          </w:p>
        </w:tc>
        <w:tc>
          <w:tcPr>
            <w:tcW w:type="dxa" w:w="4896"/>
            <w:vAlign w:val="center"/>
            <w:shd w:fill="F3F3F3"/>
            <w:tcMar>
              <w:top w:w="70" w:type="dxa"/>
              <w:left w:w="70" w:type="dxa"/>
              <w:bottom w:w="70" w:type="dxa"/>
              <w:right w:w="70" w:type="dxa"/>
            </w:tcMar>
          </w:tcPr>
          <w:p>
            <w:pPr>
              <w:pStyle w:val="TableBody"/>
            </w:pPr>
            <w:r>
              <w:t>Редактирование и отображение</w:t>
            </w:r>
          </w:p>
        </w:tc>
      </w:tr>
      <w:tr>
        <w:trPr>
          <w:cantSplit/>
        </w:trPr>
        <w:tc>
          <w:tcPr>
            <w:tcW w:type="dxa" w:w="1656"/>
            <w:vAlign w:val="center"/>
            <w:tcMar>
              <w:top w:w="70" w:type="dxa"/>
              <w:left w:w="70" w:type="dxa"/>
              <w:bottom w:w="70" w:type="dxa"/>
              <w:right w:w="70" w:type="dxa"/>
            </w:tcMar>
          </w:tcPr>
          <w:p>
            <w:pPr>
              <w:pStyle w:val="TableBody"/>
            </w:pPr>
            <w:r>
              <w:t>Данные клиента</w:t>
            </w:r>
          </w:p>
        </w:tc>
        <w:tc>
          <w:tcPr>
            <w:tcW w:type="dxa" w:w="3528"/>
            <w:vAlign w:val="center"/>
            <w:tcMar>
              <w:top w:w="70" w:type="dxa"/>
              <w:left w:w="70" w:type="dxa"/>
              <w:bottom w:w="70" w:type="dxa"/>
              <w:right w:w="70" w:type="dxa"/>
            </w:tcMar>
          </w:tcPr>
          <w:p>
            <w:pPr>
              <w:pStyle w:val="TableBody"/>
            </w:pPr>
            <w:r>
              <w:t>Zustand; TanStack Query; Dexie</w:t>
            </w:r>
          </w:p>
        </w:tc>
        <w:tc>
          <w:tcPr>
            <w:tcW w:type="dxa" w:w="4896"/>
            <w:vAlign w:val="center"/>
            <w:tcMar>
              <w:top w:w="70" w:type="dxa"/>
              <w:left w:w="70" w:type="dxa"/>
              <w:bottom w:w="70" w:type="dxa"/>
              <w:right w:w="70" w:type="dxa"/>
            </w:tcMar>
          </w:tcPr>
          <w:p>
            <w:pPr>
              <w:pStyle w:val="TableBody"/>
            </w:pPr>
            <w:r>
              <w:t>Локальное состояние, серверный кэш, IndexedDB</w:t>
            </w:r>
          </w:p>
        </w:tc>
      </w:tr>
      <w:tr>
        <w:trPr>
          <w:cantSplit/>
        </w:trPr>
        <w:tc>
          <w:tcPr>
            <w:tcW w:type="dxa" w:w="1656"/>
            <w:vAlign w:val="center"/>
            <w:shd w:fill="F3F3F3"/>
            <w:tcMar>
              <w:top w:w="70" w:type="dxa"/>
              <w:left w:w="70" w:type="dxa"/>
              <w:bottom w:w="70" w:type="dxa"/>
              <w:right w:w="70" w:type="dxa"/>
            </w:tcMar>
          </w:tcPr>
          <w:p>
            <w:pPr>
              <w:pStyle w:val="TableBody"/>
            </w:pPr>
            <w:r>
              <w:t>Формы и проверка</w:t>
            </w:r>
          </w:p>
        </w:tc>
        <w:tc>
          <w:tcPr>
            <w:tcW w:type="dxa" w:w="3528"/>
            <w:vAlign w:val="center"/>
            <w:shd w:fill="F3F3F3"/>
            <w:tcMar>
              <w:top w:w="70" w:type="dxa"/>
              <w:left w:w="70" w:type="dxa"/>
              <w:bottom w:w="70" w:type="dxa"/>
              <w:right w:w="70" w:type="dxa"/>
            </w:tcMar>
          </w:tcPr>
          <w:p>
            <w:pPr>
              <w:pStyle w:val="TableBody"/>
            </w:pPr>
            <w:r>
              <w:t>React Hook Form и Zod</w:t>
            </w:r>
          </w:p>
        </w:tc>
        <w:tc>
          <w:tcPr>
            <w:tcW w:type="dxa" w:w="4896"/>
            <w:vAlign w:val="center"/>
            <w:shd w:fill="F3F3F3"/>
            <w:tcMar>
              <w:top w:w="70" w:type="dxa"/>
              <w:left w:w="70" w:type="dxa"/>
              <w:bottom w:w="70" w:type="dxa"/>
              <w:right w:w="70" w:type="dxa"/>
            </w:tcMar>
          </w:tcPr>
          <w:p>
            <w:pPr>
              <w:pStyle w:val="TableBody"/>
            </w:pPr>
            <w:r>
              <w:t>Проверка пользовательского ввода</w:t>
            </w:r>
          </w:p>
        </w:tc>
      </w:tr>
      <w:tr>
        <w:trPr>
          <w:cantSplit/>
        </w:trPr>
        <w:tc>
          <w:tcPr>
            <w:tcW w:type="dxa" w:w="1656"/>
            <w:vAlign w:val="center"/>
            <w:tcMar>
              <w:top w:w="70" w:type="dxa"/>
              <w:left w:w="70" w:type="dxa"/>
              <w:bottom w:w="70" w:type="dxa"/>
              <w:right w:w="70" w:type="dxa"/>
            </w:tcMar>
          </w:tcPr>
          <w:p>
            <w:pPr>
              <w:pStyle w:val="TableBody"/>
            </w:pPr>
            <w:r>
              <w:t>PWA</w:t>
            </w:r>
          </w:p>
        </w:tc>
        <w:tc>
          <w:tcPr>
            <w:tcW w:type="dxa" w:w="3528"/>
            <w:vAlign w:val="center"/>
            <w:tcMar>
              <w:top w:w="70" w:type="dxa"/>
              <w:left w:w="70" w:type="dxa"/>
              <w:bottom w:w="70" w:type="dxa"/>
              <w:right w:w="70" w:type="dxa"/>
            </w:tcMar>
          </w:tcPr>
          <w:p>
            <w:pPr>
              <w:pStyle w:val="TableBody"/>
            </w:pPr>
            <w:r>
              <w:t>vite-plugin-pwa и service worker</w:t>
            </w:r>
          </w:p>
        </w:tc>
        <w:tc>
          <w:tcPr>
            <w:tcW w:type="dxa" w:w="4896"/>
            <w:vAlign w:val="center"/>
            <w:tcMar>
              <w:top w:w="70" w:type="dxa"/>
              <w:left w:w="70" w:type="dxa"/>
              <w:bottom w:w="70" w:type="dxa"/>
              <w:right w:w="70" w:type="dxa"/>
            </w:tcMar>
          </w:tcPr>
          <w:p>
            <w:pPr>
              <w:pStyle w:val="TableBody"/>
            </w:pPr>
            <w:r>
              <w:t>Установка, оболочка и автономные черновики</w:t>
            </w:r>
          </w:p>
        </w:tc>
      </w:tr>
      <w:tr>
        <w:trPr>
          <w:cantSplit/>
        </w:trPr>
        <w:tc>
          <w:tcPr>
            <w:tcW w:type="dxa" w:w="1656"/>
            <w:vAlign w:val="center"/>
            <w:shd w:fill="F3F3F3"/>
            <w:tcMar>
              <w:top w:w="70" w:type="dxa"/>
              <w:left w:w="70" w:type="dxa"/>
              <w:bottom w:w="70" w:type="dxa"/>
              <w:right w:w="70" w:type="dxa"/>
            </w:tcMar>
          </w:tcPr>
          <w:p>
            <w:pPr>
              <w:pStyle w:val="TableBody"/>
            </w:pPr>
            <w:r>
              <w:t>API</w:t>
            </w:r>
          </w:p>
        </w:tc>
        <w:tc>
          <w:tcPr>
            <w:tcW w:type="dxa" w:w="3528"/>
            <w:vAlign w:val="center"/>
            <w:shd w:fill="F3F3F3"/>
            <w:tcMar>
              <w:top w:w="70" w:type="dxa"/>
              <w:left w:w="70" w:type="dxa"/>
              <w:bottom w:w="70" w:type="dxa"/>
              <w:right w:w="70" w:type="dxa"/>
            </w:tcMar>
          </w:tcPr>
          <w:p>
            <w:pPr>
              <w:pStyle w:val="TableBody"/>
            </w:pPr>
            <w:r>
              <w:t>FastAPI; Pydantic; SQLAlchemy; Alembic</w:t>
            </w:r>
          </w:p>
        </w:tc>
        <w:tc>
          <w:tcPr>
            <w:tcW w:type="dxa" w:w="4896"/>
            <w:vAlign w:val="center"/>
            <w:shd w:fill="F3F3F3"/>
            <w:tcMar>
              <w:top w:w="70" w:type="dxa"/>
              <w:left w:w="70" w:type="dxa"/>
              <w:bottom w:w="70" w:type="dxa"/>
              <w:right w:w="70" w:type="dxa"/>
            </w:tcMar>
          </w:tcPr>
          <w:p>
            <w:pPr>
              <w:pStyle w:val="TableBody"/>
            </w:pPr>
            <w:r>
              <w:t>Контракты, проверка, работа с базой и миграции</w:t>
            </w:r>
          </w:p>
        </w:tc>
      </w:tr>
      <w:tr>
        <w:trPr>
          <w:cantSplit/>
        </w:trPr>
        <w:tc>
          <w:tcPr>
            <w:tcW w:type="dxa" w:w="1656"/>
            <w:vAlign w:val="center"/>
            <w:tcMar>
              <w:top w:w="70" w:type="dxa"/>
              <w:left w:w="70" w:type="dxa"/>
              <w:bottom w:w="70" w:type="dxa"/>
              <w:right w:w="70" w:type="dxa"/>
            </w:tcMar>
          </w:tcPr>
          <w:p>
            <w:pPr>
              <w:pStyle w:val="TableBody"/>
            </w:pPr>
            <w:r>
              <w:t>Метаданные</w:t>
            </w:r>
          </w:p>
        </w:tc>
        <w:tc>
          <w:tcPr>
            <w:tcW w:type="dxa" w:w="3528"/>
            <w:vAlign w:val="center"/>
            <w:tcMar>
              <w:top w:w="70" w:type="dxa"/>
              <w:left w:w="70" w:type="dxa"/>
              <w:bottom w:w="70" w:type="dxa"/>
              <w:right w:w="70" w:type="dxa"/>
            </w:tcMar>
          </w:tcPr>
          <w:p>
            <w:pPr>
              <w:pStyle w:val="TableBody"/>
            </w:pPr>
            <w:r>
              <w:t>PostgreSQL</w:t>
            </w:r>
          </w:p>
        </w:tc>
        <w:tc>
          <w:tcPr>
            <w:tcW w:type="dxa" w:w="4896"/>
            <w:vAlign w:val="center"/>
            <w:tcMar>
              <w:top w:w="70" w:type="dxa"/>
              <w:left w:w="70" w:type="dxa"/>
              <w:bottom w:w="70" w:type="dxa"/>
              <w:right w:w="70" w:type="dxa"/>
            </w:tcMar>
          </w:tcPr>
          <w:p>
            <w:pPr>
              <w:pStyle w:val="TableBody"/>
            </w:pPr>
            <w:r>
              <w:t>Транзакции, связи, права, задания</w:t>
            </w:r>
          </w:p>
        </w:tc>
      </w:tr>
      <w:tr>
        <w:trPr>
          <w:cantSplit/>
        </w:trPr>
        <w:tc>
          <w:tcPr>
            <w:tcW w:type="dxa" w:w="1656"/>
            <w:vAlign w:val="center"/>
            <w:shd w:fill="F3F3F3"/>
            <w:tcMar>
              <w:top w:w="70" w:type="dxa"/>
              <w:left w:w="70" w:type="dxa"/>
              <w:bottom w:w="70" w:type="dxa"/>
              <w:right w:w="70" w:type="dxa"/>
            </w:tcMar>
          </w:tcPr>
          <w:p>
            <w:pPr>
              <w:pStyle w:val="TableBody"/>
            </w:pPr>
            <w:r>
              <w:t>Задания</w:t>
            </w:r>
          </w:p>
        </w:tc>
        <w:tc>
          <w:tcPr>
            <w:tcW w:type="dxa" w:w="3528"/>
            <w:vAlign w:val="center"/>
            <w:shd w:fill="F3F3F3"/>
            <w:tcMar>
              <w:top w:w="70" w:type="dxa"/>
              <w:left w:w="70" w:type="dxa"/>
              <w:bottom w:w="70" w:type="dxa"/>
              <w:right w:w="70" w:type="dxa"/>
            </w:tcMar>
          </w:tcPr>
          <w:p>
            <w:pPr>
              <w:pStyle w:val="TableBody"/>
            </w:pPr>
            <w:r>
              <w:t>Celery и RabbitMQ</w:t>
            </w:r>
          </w:p>
        </w:tc>
        <w:tc>
          <w:tcPr>
            <w:tcW w:type="dxa" w:w="4896"/>
            <w:vAlign w:val="center"/>
            <w:shd w:fill="F3F3F3"/>
            <w:tcMar>
              <w:top w:w="70" w:type="dxa"/>
              <w:left w:w="70" w:type="dxa"/>
              <w:bottom w:w="70" w:type="dxa"/>
              <w:right w:w="70" w:type="dxa"/>
            </w:tcMar>
          </w:tcPr>
          <w:p>
            <w:pPr>
              <w:pStyle w:val="TableBody"/>
            </w:pPr>
            <w:r>
              <w:t>Доставка заданий и управление исполнителями</w:t>
            </w:r>
          </w:p>
        </w:tc>
      </w:tr>
      <w:tr>
        <w:trPr>
          <w:cantSplit/>
        </w:trPr>
        <w:tc>
          <w:tcPr>
            <w:tcW w:type="dxa" w:w="1656"/>
            <w:vAlign w:val="center"/>
            <w:tcMar>
              <w:top w:w="70" w:type="dxa"/>
              <w:left w:w="70" w:type="dxa"/>
              <w:bottom w:w="70" w:type="dxa"/>
              <w:right w:w="70" w:type="dxa"/>
            </w:tcMar>
          </w:tcPr>
          <w:p>
            <w:pPr>
              <w:pStyle w:val="TableBody"/>
            </w:pPr>
            <w:r>
              <w:t>Расчёт</w:t>
            </w:r>
          </w:p>
        </w:tc>
        <w:tc>
          <w:tcPr>
            <w:tcW w:type="dxa" w:w="3528"/>
            <w:vAlign w:val="center"/>
            <w:tcMar>
              <w:top w:w="70" w:type="dxa"/>
              <w:left w:w="70" w:type="dxa"/>
              <w:bottom w:w="70" w:type="dxa"/>
              <w:right w:w="70" w:type="dxa"/>
            </w:tcMar>
          </w:tcPr>
          <w:p>
            <w:pPr>
              <w:pStyle w:val="TableBody"/>
            </w:pPr>
            <w:r>
              <w:t>SPPS и проверенный адаптер; TetGen в выбранной лицензионной конфигурации</w:t>
            </w:r>
          </w:p>
        </w:tc>
        <w:tc>
          <w:tcPr>
            <w:tcW w:type="dxa" w:w="4896"/>
            <w:vAlign w:val="center"/>
            <w:tcMar>
              <w:top w:w="70" w:type="dxa"/>
              <w:left w:w="70" w:type="dxa"/>
              <w:bottom w:w="70" w:type="dxa"/>
              <w:right w:w="70" w:type="dxa"/>
            </w:tcMar>
          </w:tcPr>
          <w:p>
            <w:pPr>
              <w:pStyle w:val="TableBody"/>
            </w:pPr>
            <w:r>
              <w:t>Геометрическая подготовка и акустика</w:t>
            </w:r>
          </w:p>
        </w:tc>
      </w:tr>
      <w:tr>
        <w:trPr>
          <w:cantSplit/>
        </w:trPr>
        <w:tc>
          <w:tcPr>
            <w:tcW w:type="dxa" w:w="1656"/>
            <w:vAlign w:val="center"/>
            <w:shd w:fill="F3F3F3"/>
            <w:tcMar>
              <w:top w:w="70" w:type="dxa"/>
              <w:left w:w="70" w:type="dxa"/>
              <w:bottom w:w="70" w:type="dxa"/>
              <w:right w:w="70" w:type="dxa"/>
            </w:tcMar>
          </w:tcPr>
          <w:p>
            <w:pPr>
              <w:pStyle w:val="TableBody"/>
            </w:pPr>
            <w:r>
              <w:t>Файлы</w:t>
            </w:r>
          </w:p>
        </w:tc>
        <w:tc>
          <w:tcPr>
            <w:tcW w:type="dxa" w:w="3528"/>
            <w:vAlign w:val="center"/>
            <w:shd w:fill="F3F3F3"/>
            <w:tcMar>
              <w:top w:w="70" w:type="dxa"/>
              <w:left w:w="70" w:type="dxa"/>
              <w:bottom w:w="70" w:type="dxa"/>
              <w:right w:w="70" w:type="dxa"/>
            </w:tcMar>
          </w:tcPr>
          <w:p>
            <w:pPr>
              <w:pStyle w:val="TableBody"/>
            </w:pPr>
            <w:r>
              <w:t>S3-совместимое хранилище</w:t>
            </w:r>
          </w:p>
        </w:tc>
        <w:tc>
          <w:tcPr>
            <w:tcW w:type="dxa" w:w="4896"/>
            <w:vAlign w:val="center"/>
            <w:shd w:fill="F3F3F3"/>
            <w:tcMar>
              <w:top w:w="70" w:type="dxa"/>
              <w:left w:w="70" w:type="dxa"/>
              <w:bottom w:w="70" w:type="dxa"/>
              <w:right w:w="70" w:type="dxa"/>
            </w:tcMar>
          </w:tcPr>
          <w:p>
            <w:pPr>
              <w:pStyle w:val="TableBody"/>
            </w:pPr>
            <w:r>
              <w:t>Модели, массивы, отчёты, архивы</w:t>
            </w:r>
          </w:p>
        </w:tc>
      </w:tr>
      <w:tr>
        <w:trPr>
          <w:cantSplit/>
        </w:trPr>
        <w:tc>
          <w:tcPr>
            <w:tcW w:type="dxa" w:w="1656"/>
            <w:vAlign w:val="center"/>
            <w:tcMar>
              <w:top w:w="70" w:type="dxa"/>
              <w:left w:w="70" w:type="dxa"/>
              <w:bottom w:w="70" w:type="dxa"/>
              <w:right w:w="70" w:type="dxa"/>
            </w:tcMar>
          </w:tcPr>
          <w:p>
            <w:pPr>
              <w:pStyle w:val="TableBody"/>
            </w:pPr>
            <w:r>
              <w:t>Вход</w:t>
            </w:r>
          </w:p>
        </w:tc>
        <w:tc>
          <w:tcPr>
            <w:tcW w:type="dxa" w:w="3528"/>
            <w:vAlign w:val="center"/>
            <w:tcMar>
              <w:top w:w="70" w:type="dxa"/>
              <w:left w:w="70" w:type="dxa"/>
              <w:bottom w:w="70" w:type="dxa"/>
              <w:right w:w="70" w:type="dxa"/>
            </w:tcMar>
          </w:tcPr>
          <w:p>
            <w:pPr>
              <w:pStyle w:val="TableBody"/>
            </w:pPr>
            <w:r>
              <w:t>OIDC-провайдер, базово Keycloak</w:t>
            </w:r>
          </w:p>
        </w:tc>
        <w:tc>
          <w:tcPr>
            <w:tcW w:type="dxa" w:w="4896"/>
            <w:vAlign w:val="center"/>
            <w:tcMar>
              <w:top w:w="70" w:type="dxa"/>
              <w:left w:w="70" w:type="dxa"/>
              <w:bottom w:w="70" w:type="dxa"/>
              <w:right w:w="70" w:type="dxa"/>
            </w:tcMar>
          </w:tcPr>
          <w:p>
            <w:pPr>
              <w:pStyle w:val="TableBody"/>
            </w:pPr>
            <w:r>
              <w:t>Учётные записи и сессии</w:t>
            </w:r>
          </w:p>
        </w:tc>
      </w:tr>
      <w:tr>
        <w:trPr>
          <w:cantSplit/>
        </w:trPr>
        <w:tc>
          <w:tcPr>
            <w:tcW w:type="dxa" w:w="1656"/>
            <w:vAlign w:val="center"/>
            <w:shd w:fill="F3F3F3"/>
            <w:tcMar>
              <w:top w:w="70" w:type="dxa"/>
              <w:left w:w="70" w:type="dxa"/>
              <w:bottom w:w="70" w:type="dxa"/>
              <w:right w:w="70" w:type="dxa"/>
            </w:tcMar>
          </w:tcPr>
          <w:p>
            <w:pPr>
              <w:pStyle w:val="TableBody"/>
            </w:pPr>
            <w:r>
              <w:t>Развёртывание</w:t>
            </w:r>
          </w:p>
        </w:tc>
        <w:tc>
          <w:tcPr>
            <w:tcW w:type="dxa" w:w="3528"/>
            <w:vAlign w:val="center"/>
            <w:shd w:fill="F3F3F3"/>
            <w:tcMar>
              <w:top w:w="70" w:type="dxa"/>
              <w:left w:w="70" w:type="dxa"/>
              <w:bottom w:w="70" w:type="dxa"/>
              <w:right w:w="70" w:type="dxa"/>
            </w:tcMar>
          </w:tcPr>
          <w:p>
            <w:pPr>
              <w:pStyle w:val="TableBody"/>
            </w:pPr>
            <w:r>
              <w:t>Docker Compose для разработки; контейнеры Linux для эксплуатации</w:t>
            </w:r>
          </w:p>
        </w:tc>
        <w:tc>
          <w:tcPr>
            <w:tcW w:type="dxa" w:w="4896"/>
            <w:vAlign w:val="center"/>
            <w:shd w:fill="F3F3F3"/>
            <w:tcMar>
              <w:top w:w="70" w:type="dxa"/>
              <w:left w:w="70" w:type="dxa"/>
              <w:bottom w:w="70" w:type="dxa"/>
              <w:right w:w="70" w:type="dxa"/>
            </w:tcMar>
          </w:tcPr>
          <w:p>
            <w:pPr>
              <w:pStyle w:val="TableBody"/>
            </w:pPr>
            <w:r>
              <w:t>Воспроизводимость и изоляция</w:t>
            </w:r>
          </w:p>
        </w:tc>
      </w:tr>
    </w:tbl>
    <w:p>
      <w:pPr>
        <w:spacing w:after="0"/>
      </w:pPr>
    </w:p>
    <w:p>
      <w:r>
        <w:rPr>
          <w:b/>
        </w:rPr>
        <w:t>ARC-002.</w:t>
      </w:r>
      <w:r>
        <w:t xml:space="preserve"> Выбор перечисленных средств является проектным решением. Версии фиксируются совместимым набором в lock-файлах и образах на момент начала реализации. Нельзя указывать плавающий latest в воспроизводимой сборке. Переход на новую основную версию проходит тесты геометрии, отображения и численных результатов.</w:t>
      </w:r>
    </w:p>
    <w:p>
      <w:r>
        <w:rPr>
          <w:b/>
        </w:rPr>
        <w:t>ARC-003.</w:t>
      </w:r>
      <w:r>
        <w:t xml:space="preserve"> API и рабочие процессы запускаются раздельно. Тяжёлую задачу не помещать в FastAPI BackgroundTasks: официальное руководство рекомендует внешнюю очередь для тяжёлых вычислений. Celery используется с пониманием повторной доставки; состояние результата остаётся в PostgreSQL, а не только в памяти очереди. [S15, S16]</w:t>
      </w:r>
    </w:p>
    <w:p>
      <w:r>
        <w:rPr>
          <w:b/>
        </w:rPr>
        <w:t>ARC-004.</w:t>
      </w:r>
      <w:r>
        <w:t xml:space="preserve"> Веб-сервер обслуживает клиентские файлы и проксирует API/SSE; объектное хранилище выдаёт данные по разрешённым коротким ссылкам. Необходимы отдельные очереди подготовки сетки, акустических расчётов, подбора и отчётов, чтобы длительная оптимизация не задерживала обычный просмотр.</w:t>
      </w:r>
    </w:p>
    <w:p>
      <w:r>
        <w:rPr>
          <w:b/>
        </w:rPr>
        <w:t>ARC-005.</w:t>
      </w:r>
      <w:r>
        <w:t xml:space="preserve"> Минимальная пилотная конфигурация: API и база с резервированием данных; расчётный узел порядка 8 vCPU и 16 ГБ RAM с одним тяжёлым заданием одновременно; отдельное хранилище результатов. Это отправная конфигурация для измерений, а не гарантия времени или достаточности памяти. Реальные лимиты определяются эталонными задачами.</w:t>
      </w:r>
    </w:p>
    <w:p>
      <w:r>
        <w:rPr>
          <w:b/>
        </w:rPr>
        <w:t>ARC-006.</w:t>
      </w:r>
      <w:r>
        <w:t xml:space="preserve"> Вертикальное наращивание памяти требуется большим сеткам; несколько рабочих узлов повышают число одновременно обслуживаемых пользователей. Добавление GPU не предполагается автоматическим ускорением SPPS. Для очереди устанавливаются лимиты на пользователя и организацию, справедливое распределение и отдельная квота подбора.</w:t>
      </w:r>
    </w:p>
    <w:p>
      <w:r>
        <w:rPr>
          <w:b/>
        </w:rPr>
        <w:t>ARC-007.</w:t>
      </w:r>
      <w:r>
        <w:t xml:space="preserve"> Приложение работает без платного AI API. Cursor является инструментом разработки и не нужен пользователю готового сервиса. Автоматический подбор выполняется обычными алгоритмами и расчётами. Если позже добавится помощник на основе языковой модели, он не получает право выдумывать акустические свойства или заменять ядро.</w:t>
      </w:r>
    </w:p>
    <w:p>
      <w:bookmarkStart w:id="18" w:name="section_18"/>
      <w:pPr>
        <w:pStyle w:val="Heading1"/>
      </w:pPr>
      <w:r>
        <w:t>18 Выполнение заданий устойчивость и отмена</w:t>
      </w:r>
      <w:bookmarkEnd w:id="18"/>
    </w:p>
    <w:p>
      <w:r>
        <w:rPr>
          <w:b/>
        </w:rPr>
        <w:t>JOB-001.</w:t>
      </w:r>
      <w:r>
        <w:t xml:space="preserve"> Состояния задания: created, validating, queued, preparing, running, postprocessing, completed, failed, cancelling, cancelled. Дополнительно возможны waiting_for_resources и timed_out. Переходы проверяются сервером; состояние completed возможно только после публикации проверенного манифеста.</w:t>
      </w:r>
    </w:p>
    <w:p>
      <w:r>
        <w:rPr>
          <w:b/>
        </w:rPr>
        <w:t>JOB-002.</w:t>
      </w:r>
      <w:r>
        <w:t xml:space="preserve"> Задание и запись на его отправку создаются одной транзакцией PostgreSQL. Отдельный отправитель переносит запись в очередь и отмечает отправку. Это устраняет потерю задания при сбое между базой и брокером. Повторная доставка безопасна: исполнитель проверяет jobId, номер попытки и уже существующий результат.</w:t>
      </w:r>
    </w:p>
    <w:p>
      <w:r>
        <w:rPr>
          <w:b/>
        </w:rPr>
        <w:t>JOB-003.</w:t>
      </w:r>
      <w:r>
        <w:t xml:space="preserve"> Каждый запуск получает собственную рабочую папку и отдельный процесс с ограничениями CPU, RAM, диска и времени. Процесс работает без root, без внешней сети и без доступа к чужим проектам. Предоставлять контейнеру сокет Docker или произвольный каталог хоста запрещено.</w:t>
      </w:r>
    </w:p>
    <w:p>
      <w:r>
        <w:rPr>
          <w:b/>
        </w:rPr>
        <w:t>JOB-004.</w:t>
      </w:r>
      <w:r>
        <w:t xml:space="preserve"> Исполнитель регулярно продлевает аренду задания и записывает heartbeat. При остановке узла диспетчер обнаруживает просрочку, проверяет наличие дочернего процесса/готовых артефактов и решает, можно ли безопасно повторить. Одновременно публиковать результат одной попытки два процесса не могут.</w:t>
      </w:r>
    </w:p>
    <w:p>
      <w:r>
        <w:rPr>
          <w:b/>
        </w:rPr>
        <w:t>JOB-005.</w:t>
      </w:r>
      <w:r>
        <w:t xml:space="preserve"> Автоматически повторять только временные инфраструктурные ошибки: сеть хранилища, потеря узла, временная база. Ошибки геометрии, нехватка обязательных данных и детерминированный сбой ядра не должны бесконечно перезапускаться. Максимум автоматических попыток — 2 после первой; причина каждой сохраняется.</w:t>
      </w:r>
    </w:p>
    <w:p>
      <w:r>
        <w:rPr>
          <w:b/>
        </w:rPr>
        <w:t>JOB-006.</w:t>
      </w:r>
      <w:r>
        <w:t xml:space="preserve"> Отмена до запуска удаляет возможность исполнения, но сохраняет запись задания. Отмена во время исполнения посылает сигнал всей группе процессов, затем принудительно завершает её после ограниченного ожидания. После подтверждённой отмены расчёт не продолжает потреблять ресурсы. Частичные файлы не выдаются за итог.</w:t>
      </w:r>
    </w:p>
    <w:p>
      <w:r>
        <w:rPr>
          <w:b/>
        </w:rPr>
        <w:t>JOB-007.</w:t>
      </w:r>
      <w:r>
        <w:t xml:space="preserve"> Лимит времени назначается классом задания после испытаний. При достижении лимита система останавливает процесс и предлагает уменьшить объём, изменить настройки или выбрать более мощный класс. Автоматически понижать качество и выдавать результат под названием «уточнённый» запрещено.</w:t>
      </w:r>
    </w:p>
    <w:p>
      <w:r>
        <w:rPr>
          <w:b/>
        </w:rPr>
        <w:t>JOB-008.</w:t>
      </w:r>
      <w:r>
        <w:t xml:space="preserve"> Завершение атомарно: записать файлы во временную область, проверить их контрольные суммы и состав, создать манифест, переключить ссылку на готовую версию, зафиксировать completed. Потеря связи телефона в этот момент не влияет на результат.</w:t>
      </w:r>
    </w:p>
    <w:p>
      <w:r>
        <w:rPr>
          <w:b/>
        </w:rPr>
        <w:t>JOB-009.</w:t>
      </w:r>
      <w:r>
        <w:t xml:space="preserve"> Журнал пользователя показывает этапы и понятные причины. Технический журнал имеет requestId/jobId и очищен от персональных данных, токенов и содержимого чувствительных вложений. Оценка оставшегося времени доступна только после накопления статистики сходных задач и показывается диапазоном.</w:t>
      </w:r>
    </w:p>
    <w:p>
      <w:r>
        <w:rPr>
          <w:b/>
        </w:rPr>
        <w:t>JOB-010.</w:t>
      </w:r>
      <w:r>
        <w:t xml:space="preserve"> Возобновление после сна телефона выполняется по jobId. Фоновая вкладка не обязана поддерживать таймеры, сеть или WebGL. Веб-уведомление о завершении опционально и требует отдельного согласия пользователя; результат всегда доступен в списке расчётов без уведомлений.</w:t>
      </w:r>
    </w:p>
    <w:p>
      <w:bookmarkStart w:id="19" w:name="section_19"/>
      <w:pPr>
        <w:pStyle w:val="Heading1"/>
      </w:pPr>
      <w:r>
        <w:t>19 Сценарии сравнение и автоматический подбор</w:t>
      </w:r>
      <w:bookmarkEnd w:id="19"/>
    </w:p>
    <w:p>
      <w:r>
        <w:rPr>
          <w:b/>
        </w:rPr>
        <w:t>OPT-001.</w:t>
      </w:r>
      <w:r>
        <w:t xml:space="preserve"> Исходный вариант сохраняется неизменяемым. Новый сценарий создаётся копией ревизии с перечнем изменений: материал, площадь облицовки, положение оборудования, режим, кожух, экран, размещение рабочего места или комбинация. Пользователь может назвать вариант и указать стоимость мероприятий.</w:t>
      </w:r>
    </w:p>
    <w:p>
      <w:r>
        <w:rPr>
          <w:b/>
        </w:rPr>
        <w:t>OPT-002.</w:t>
      </w:r>
      <w:r>
        <w:t xml:space="preserve"> Сравнение показывает исходные и новые уровни на одинаковых рабочих местах, изменение ΔL, превышение выбранного целевого значения, число затронутых мест, стоимость и ограничения. Положительное ΔL означает рост шума. В отчёте направление разности всегда подписано.</w:t>
      </w:r>
    </w:p>
    <w:p>
      <w:r>
        <w:rPr>
          <w:b/>
        </w:rPr>
        <w:t>OPT-003.</w:t>
      </w:r>
      <w:r>
        <w:t xml:space="preserve"> Перед вычитанием карт проверять единицы, полосы, состояние работы, высоту/плоскость, координаты и область воздуха. При разных сетках значения сопоставляются на общей сетке с корректной интерполяцией и маской. В точках, где после перестановки возник твёрдый объект, разность не вычисляется. Для перемещённого рабочего места показывать отдельно эффект мероприятия в фиксированной точке и итог на новом месте.</w:t>
      </w:r>
    </w:p>
    <w:p>
      <w:r>
        <w:rPr>
          <w:b/>
        </w:rPr>
        <w:t>OPT-004.</w:t>
      </w:r>
      <w:r>
        <w:t xml:space="preserve"> Одновременно показывать вклад источников, если он рассчитан. Список «главные источники в этом месте» формируется по энергии в выбранной точке; самый громкий по паспортной мощности станок не обязательно является главным на данном рабочем месте.</w:t>
      </w:r>
    </w:p>
    <w:p>
      <w:r>
        <w:rPr>
          <w:b/>
        </w:rPr>
        <w:t>OPT-005.</w:t>
      </w:r>
      <w:r>
        <w:t xml:space="preserve"> Автоматический подбор начинается с выбора изменяемых параметров. Поддержать: варианты облицовки и её площади, разрешённые позиции станков/рабочих мест, документированные кожухи, расписание источников при допустимом производственном режиме и комбинированные мероприятия. Для каждого параметра задаётся конечный список вариантов либо диапазон с шагом.</w:t>
      </w:r>
    </w:p>
    <w:p>
      <w:r>
        <w:rPr>
          <w:b/>
        </w:rPr>
        <w:t>OPT-006.</w:t>
      </w:r>
      <w:r>
        <w:t xml:space="preserve"> Ограничения включают бюджет, фиксированное оборудование, допустимые зоны, проходы, зоны обслуживания, запрет закрывать двери, допустимую площадь отделки и минимальную производительность, если пользователь задаёт её численно. Система не выводит технологическую допустимость режима из акустической выгоды.</w:t>
      </w:r>
    </w:p>
    <w:p>
      <w:r>
        <w:rPr>
          <w:b/>
        </w:rPr>
        <w:t>OPT-007.</w:t>
      </w:r>
      <w:r>
        <w:t xml:space="preserve"> Базовая цель подбора — сначала уменьшить максимальное превышение целевого уровня на выбранных рабочих местах, затем при равных допустимых результатах уменьшить стоимость. Альтернативная цель — минимальный максимум уровня при фиксированном бюджете. Пользователь видит точное определение цели, веса мест и правило разрешения равенства.</w:t>
      </w:r>
    </w:p>
    <w:p>
      <w:r>
        <w:rPr>
          <w:b/>
        </w:rPr>
        <w:t>OPT-008.</w:t>
      </w:r>
      <w:r>
        <w:t xml:space="preserve"> Алгоритм: проверить пространство вариантов; удалить геометрически недопустимые; использовать сохранённые результаты; провести грубый отбор с понятной отметкой; уточнить лучшие кандидаты; проверить сходимость финалистов; показать несколько решений с различным соотношением цены и эффекта. Для малого конечного набора применять полный перебор; для большого — ограниченный поиск с фиксированным seed и журналом исследованных вариантов.</w:t>
      </w:r>
    </w:p>
    <w:p>
      <w:r>
        <w:rPr>
          <w:b/>
        </w:rPr>
        <w:t>OPT-009.</w:t>
      </w:r>
      <w:r>
        <w:t xml:space="preserve"> Пользователь задаёт максимальное число кандидатов, время и допустимый расход вычислений. По достижении лимита выводить «лучший среди проверенных вариантов», число проверенных/пропущенных и причины. Слово «оптимальный» без доказательства полного поиска не использовать.</w:t>
      </w:r>
    </w:p>
    <w:p>
      <w:r>
        <w:rPr>
          <w:b/>
        </w:rPr>
        <w:t>OPT-010.</w:t>
      </w:r>
      <w:r>
        <w:t xml:space="preserve"> Изменение геометрии требует новой подготовки сетки. Изменение только мощностей допускает пересчёт из раздельных вкладов при неизменной физической задаче. Предварительная оценка по формуле помещения может ранжировать простые варианты, но финалисты подтверждаются основным проверенным расчётом.</w:t>
      </w:r>
    </w:p>
    <w:p>
      <w:r>
        <w:rPr>
          <w:b/>
        </w:rPr>
        <w:t>OPT-011.</w:t>
      </w:r>
      <w:r>
        <w:t xml:space="preserve"> Экраны и перестановки, выигрыш которых определяется геометрической тенью, могут входить в исследовательский подбор, однако не получают статус подтверждённого снижения за кромкой в базовом SPPS. Финальная рекомендация для таких случаев требует независимого метода с подходящей физикой или измерений. Интерфейс показывает это ограничение до запуска подбора.</w:t>
      </w:r>
    </w:p>
    <w:p>
      <w:r>
        <w:rPr>
          <w:b/>
        </w:rPr>
        <w:t>OPT-012.</w:t>
      </w:r>
      <w:r>
        <w:t xml:space="preserve"> Для нескольких почти равных вариантов учитывать численный разброс. Различие 0,2 дБ при разбросе 0,5 дБ не объявляется доказанным преимуществом. При наличии диапазонов исходных параметров выполнять анализ чувствительности или несколько сценариев неблагоприятных условий и показывать устойчивость выбора.</w:t>
      </w:r>
    </w:p>
    <w:p>
      <w:r>
        <w:rPr>
          <w:b/>
        </w:rPr>
        <w:t>OPT-013.</w:t>
      </w:r>
      <w:r>
        <w:t xml:space="preserve"> Применение найденного варианта создаёт новую редактируемую ревизию со всеми изменениями и ссылкой на расчёт. Оно не перезаписывает исходный проект. Пользователь может отклонить часть мероприятий; после этого прежний итог не относится к новой комбинации до пересчёта.</w:t>
      </w:r>
    </w:p>
    <w:p>
      <w:bookmarkStart w:id="20" w:name="section_20"/>
      <w:pPr>
        <w:pStyle w:val="Heading1"/>
      </w:pPr>
      <w:r>
        <w:t>20 Проверка достоверности и использование для статьи</w:t>
      </w:r>
      <w:bookmarkEnd w:id="20"/>
    </w:p>
    <w:p>
      <w:r>
        <w:rPr>
          <w:b/>
        </w:rPr>
        <w:t>SCI-001.</w:t>
      </w:r>
      <w:r>
        <w:t xml:space="preserve"> Перед применением к реальному объекту выполнить верификацию реализации и валидацию модели. Верификация отвечает на вопрос, правильно ли программа реализовала метод; валидация — насколько выбранный метод и данные описывают проверяемый реальный случай. В интерфейсе эти понятия объясняются простыми словами.</w:t>
      </w:r>
    </w:p>
    <w:p>
      <w:r>
        <w:rPr>
          <w:b/>
        </w:rPr>
        <w:t>SCI-002.</w:t>
      </w:r>
      <w:r>
        <w:t xml:space="preserve"> Набор эталонов должен включать свободное распространение в допустимой постановке, простое отражающее помещение, поглощающий потолок, несколько независимых источников, разные высоты приёмников, закрытую/открытую связь комнат и заполненные зоны при их включении. Каждый эталон хранит входы, версию ядра и ожидаемый диапазон, а не только снимок цветной карты.</w:t>
      </w:r>
    </w:p>
    <w:p>
      <w:r>
        <w:rPr>
          <w:b/>
        </w:rPr>
        <w:t>SCI-003.</w:t>
      </w:r>
      <w:r>
        <w:t xml:space="preserve"> Сопоставить результаты серверного адаптера с I-Simpa для одинаковых входных файлов, настроек, приёмников и нормирования. Проектный допуск при сравнении одной и той же бинарной выдачи после постобработки — 0,1 дБ; при независимых стохастических прогонах использовать критерий разброса, а не требовать совпадения до последнего знака.</w:t>
      </w:r>
    </w:p>
    <w:p>
      <w:r>
        <w:rPr>
          <w:b/>
        </w:rPr>
        <w:t>SCI-004.</w:t>
      </w:r>
      <w:r>
        <w:t xml:space="preserve"> Калибровка по измерениям допускает изменение только физически обоснованных неизвестных параметров в допустимых пределах. Часть точек/режимов используется для настройки, другая — для независимой проверки. Подгонка всех точек и последующее объявление их независимым подтверждением запрещены.</w:t>
      </w:r>
    </w:p>
    <w:p>
      <w:r>
        <w:rPr>
          <w:b/>
        </w:rPr>
        <w:t>SCI-005.</w:t>
      </w:r>
      <w:r>
        <w:t xml:space="preserve"> Для измерений хранить прибор, калибровку, положение и высоту микрофона, режим оборудования, длительность, показатель, полосы, фон, условия и дату. Если этих данных нет, сравнение обозначается ориентировочным. Приложение не требует персональных данных работника для оценки точки.</w:t>
      </w:r>
    </w:p>
    <w:p>
      <w:r>
        <w:rPr>
          <w:b/>
        </w:rPr>
        <w:t>SCI-006.</w:t>
      </w:r>
      <w:r>
        <w:t xml:space="preserve"> Отчёт проверки содержит отклонения по точкам и полосам, среднее смещение, типичную и максимальную ошибку, численный разброс, исключённые точки и причины. Допуск к применению определяют для конкретного класса задач до сравнения с измерениями. Универсальное утверждение «точность ±3 дБ» не является требованием или готовым свойством программы.</w:t>
      </w:r>
    </w:p>
    <w:p>
      <w:r>
        <w:rPr>
          <w:b/>
        </w:rPr>
        <w:t>SCI-007.</w:t>
      </w:r>
      <w:r>
        <w:t xml:space="preserve"> Пример для будущей статьи: цех 30 × 15 × 6 м, шесть источников, рабочие точки с отступом 1,2 м, исходный вариант, поглощающий потолок и вариант с кожухами. Исходные мощности, спектры, материалы и геометрия должны быть помечены как реальные данные либо предположения. Одних общих уровней дБА недостаточно для однозначного спектрального моделирования.</w:t>
      </w:r>
    </w:p>
    <w:p>
      <w:r>
        <w:rPr>
          <w:b/>
        </w:rPr>
        <w:t>SCI-008.</w:t>
      </w:r>
      <w:r>
        <w:t xml:space="preserve"> Табличные уровни, полученные упрощённой аналитической формулой помещения, не считать экспериментальным эталоном SPPS. Сравнение методов допустимо как исследовательский результат; различия объясняются постановкой, отражениями, геометрией и предположениями. Нельзя выбирать параметры только для воспроизведения заранее желаемых чисел статьи.</w:t>
      </w:r>
    </w:p>
    <w:p>
      <w:r>
        <w:rPr>
          <w:b/>
        </w:rPr>
        <w:t>SCI-009.</w:t>
      </w:r>
      <w:r>
        <w:t xml:space="preserve"> Для научной публикации экспортировать архив воспроизводимости: обезличенную модель, версии каталогов и ядра, настройки, seed, схему приёмников, исходные результаты, метод постобработки, ограничения и скрипт повторного расчёта. Картинка без такого набора недостаточна для проверки.</w:t>
      </w:r>
    </w:p>
    <w:p>
      <w:bookmarkStart w:id="21" w:name="section_21"/>
      <w:pPr>
        <w:pStyle w:val="Heading1"/>
      </w:pPr>
      <w:r>
        <w:t>21 Отчёты экспорт и обмен результатами</w:t>
      </w:r>
      <w:bookmarkEnd w:id="21"/>
    </w:p>
    <w:p>
      <w:r>
        <w:rPr>
          <w:b/>
        </w:rPr>
        <w:t>REP-001.</w:t>
      </w:r>
      <w:r>
        <w:t xml:space="preserve"> Формировать отчёт PDF и DOCX на сервере из неизменяемого снимка результата. Отчёт включает задачу, модель, размеры, оборудование и режимы, материалы и источники их свойств, рабочие места, метод, настройки, качество, карты, таблицы, сравнение и ограничения. Пользователь выбирает состав разделов, но не может незаметно удалить существенную отметку о неполноте данных.</w:t>
      </w:r>
    </w:p>
    <w:p>
      <w:r>
        <w:rPr>
          <w:b/>
        </w:rPr>
        <w:t>REP-002.</w:t>
      </w:r>
      <w:r>
        <w:t xml:space="preserve"> На каждой карте указывать проект, сценарий, показатель, единицу, полосу/взвешивание, плоскость и высоту, легенду, масштаб и версию расчёта. Снимок 3D для отчёта строится из того же состояния отображения и тех же массивов. Оси и геометрические размеры не должны обрезаться кадрированием.</w:t>
      </w:r>
    </w:p>
    <w:p>
      <w:r>
        <w:rPr>
          <w:b/>
        </w:rPr>
        <w:t>REP-003.</w:t>
      </w:r>
      <w:r>
        <w:t xml:space="preserve"> Выгружать CSV UTF-8 с отдельными полями значения и единицы; выбор разделителя и локали явный. CSV включает идентификатор точки, координаты, показатель, полосу, значение, статус и revisionId/resultId. Пустое значение сопровождается причиной. Числа в отчёте и CSV совпадают до заявленного округления.</w:t>
      </w:r>
    </w:p>
    <w:p>
      <w:r>
        <w:rPr>
          <w:b/>
        </w:rPr>
        <w:t>REP-004.</w:t>
      </w:r>
      <w:r>
        <w:t xml:space="preserve"> Поддержать экспорт PNG карты, GLB наглядной модели с пояснением, что он не содержит полного проекта, и архив .acproj. Экспорт сырых результатов и журнала доступен пользователям с соответствующим правом. Файлы называются предсказуемо без персональных сведений в имени по умолчанию.</w:t>
      </w:r>
    </w:p>
    <w:p>
      <w:r>
        <w:rPr>
          <w:b/>
        </w:rPr>
        <w:t>REP-005.</w:t>
      </w:r>
      <w:r>
        <w:t xml:space="preserve"> Показатель превышения формулируется «прогноз выше выбранного целевого значения на …». Юридические выводы и ссылки на нормативную редакцию формируются только из выбранного профиля и с указанием метода. Нельзя автоматически подписывать расчёт как инструментальное измерение или официальную оценку условий труда.</w:t>
      </w:r>
    </w:p>
    <w:p>
      <w:r>
        <w:rPr>
          <w:b/>
        </w:rPr>
        <w:t>REP-006.</w:t>
      </w:r>
      <w:r>
        <w:t xml:space="preserve"> Отчёт фиксирует дату генерации и дату расчёта, хеш снимка, номер версии приложения и ядра. Повторная генерация из того же результата допускает изменение оформления, но не изменение чисел. Пользовательские комментарии отделены от вычисленных выводов.</w:t>
      </w:r>
    </w:p>
    <w:p>
      <w:r>
        <w:rPr>
          <w:b/>
        </w:rPr>
        <w:t>REP-007.</w:t>
      </w:r>
      <w:r>
        <w:t xml:space="preserve"> Доступ по ссылке возможен только после явного действия владельца. Ссылка ограничивается сроком и правом чтения/скачивания; её можно отозвать. Ссылка на отчёт не открывает исходные модели и чужие проекты. По умолчанию проекты закрыты.</w:t>
      </w:r>
    </w:p>
    <w:p>
      <w:bookmarkStart w:id="22" w:name="section_22"/>
      <w:pPr>
        <w:pStyle w:val="Heading1"/>
      </w:pPr>
      <w:r>
        <w:t>22 Автономная работа синхронизация и конфликты</w:t>
      </w:r>
      <w:bookmarkEnd w:id="22"/>
    </w:p>
    <w:p>
      <w:r>
        <w:rPr>
          <w:b/>
        </w:rPr>
        <w:t>OFF-001.</w:t>
      </w:r>
      <w:r>
        <w:t xml:space="preserve"> Service worker сохраняет оболочку приложения; IndexedDB через Dexie хранит выбранные черновики, каталожные снимки и разрешённые кэшированные результаты. PWA не делает серверный SPPS доступным без интернета. Пользователь может редактировать локальную модель и просматривать заранее загруженные результаты. [S13, S14]</w:t>
      </w:r>
    </w:p>
    <w:p>
      <w:r>
        <w:rPr>
          <w:b/>
        </w:rPr>
        <w:t>OFF-002.</w:t>
      </w:r>
      <w:r>
        <w:t xml:space="preserve"> Без сети команда «Рассчитать» сохраняет намерение, но не сообщает о запуске. После восстановления связи пользователь видит актуальную ревизию и оценку расхода; ранее подтверждённый бесплатный запуск можно отправить автоматически при неизменном теле запроса, платный или изменившийся — после подтверждения условий. Повторные попытки используют один ключ идемпотентности.</w:t>
      </w:r>
    </w:p>
    <w:p>
      <w:r>
        <w:rPr>
          <w:b/>
        </w:rPr>
        <w:t>OFF-003.</w:t>
      </w:r>
      <w:r>
        <w:t xml:space="preserve"> Браузерное хранилище может быть очищено системой. Приложение показывает размер кэша, свободную квоту, последнюю серверную синхронизацию и предлагает выгрузить важный черновик. Запрос устойчивого хранения не считается гарантией сохранности. При нехватке места первыми удаляются восстановимые массивы, а не несинхронизированные правки. [S17]</w:t>
      </w:r>
    </w:p>
    <w:p>
      <w:r>
        <w:rPr>
          <w:b/>
        </w:rPr>
        <w:t>OFF-004.</w:t>
      </w:r>
      <w:r>
        <w:t xml:space="preserve"> При расхождении базовой версии локального и серверного черновика автоматическое объединение геометрии не выполняется. Пользователь выбирает серверную версию, сохранение локальной копии отдельным сценарием или ручной перенос изменений. Обе версии сохраняются до завершения выбора.</w:t>
      </w:r>
    </w:p>
    <w:p>
      <w:r>
        <w:rPr>
          <w:b/>
        </w:rPr>
        <w:t>OFF-005.</w:t>
      </w:r>
      <w:r>
        <w:t xml:space="preserve"> Активная блокировка редактора продлевается только при доступном соединении и активности. После истечения блокировки локальные правки сохраняются, но серверная запись проходит проверку ETag. Отсутствие сети не даёт права незаметно перезаписать изменения коллеги.</w:t>
      </w:r>
    </w:p>
    <w:p>
      <w:r>
        <w:rPr>
          <w:b/>
        </w:rPr>
        <w:t>OFF-006.</w:t>
      </w:r>
      <w:r>
        <w:t xml:space="preserve"> Обновление PWA не перезагружает страницу в середине редактирования. Новая оболочка активируется после фиксации черновика. Миграция локальной схемы имеет резервную копию и путь восстановления. При несовместимости API старый клиент переходит в чтение/экспорт до безопасного обновления.</w:t>
      </w:r>
    </w:p>
    <w:p>
      <w:r>
        <w:rPr>
          <w:b/>
        </w:rPr>
        <w:t>OFF-007.</w:t>
      </w:r>
      <w:r>
        <w:t xml:space="preserve"> Выход из аккаунта предлагает удалить локальные данные этого аккаунта. На общем телефоне новый пользователь не видит прошлый проект из кэша. Сохранение данных для автономной работы требует отдельного выбора пользователя, особенно для общих устройств.</w:t>
      </w:r>
    </w:p>
    <w:p>
      <w:bookmarkStart w:id="23" w:name="section_23"/>
      <w:pPr>
        <w:pStyle w:val="Heading1"/>
      </w:pPr>
      <w:r>
        <w:t>23 Безопасность приватность и лицензии</w:t>
      </w:r>
      <w:bookmarkEnd w:id="23"/>
    </w:p>
    <w:p>
      <w:r>
        <w:rPr>
          <w:b/>
        </w:rPr>
        <w:t>SEC-001.</w:t>
      </w:r>
      <w:r>
        <w:t xml:space="preserve"> Использовать HTTPS, безопасные HttpOnly SameSite-cookie для серверной сессии и защиту от CSRF. Токены доступа OIDC не хранить в localStorage. Вход реализуется через серверный посредник и OIDC-провайдера; пароли приложение не получает. Предусмотреть восстановление доступа и завершение сессий. [S18]</w:t>
      </w:r>
    </w:p>
    <w:p>
      <w:r>
        <w:rPr>
          <w:b/>
        </w:rPr>
        <w:t>SEC-002.</w:t>
      </w:r>
      <w:r>
        <w:t xml:space="preserve"> Доступ к каждому проекту, файлу, заданию, приглашению и результату проверяется на сервере. Обязательный тест — пользователь B не может получить сведения или файл пользователя A, изменив идентификатор в URL. Логи отказа не раскрывают существование закрытого проекта постороннему.</w:t>
      </w:r>
    </w:p>
    <w:p>
      <w:r>
        <w:rPr>
          <w:b/>
        </w:rPr>
        <w:t>SEC-003.</w:t>
      </w:r>
      <w:r>
        <w:t xml:space="preserve"> Ограничить размер JSON, вложений, архивов, сеток, число полигонов и стоимость заданий. Проверять тип содержимого, а не только расширение. Для импортируемых файлов использовать отдельный процесс разбора с ограничениями памяти/времени; внешние ссылки из GLTF не загружать автоматически на сервер.</w:t>
      </w:r>
    </w:p>
    <w:p>
      <w:r>
        <w:rPr>
          <w:b/>
        </w:rPr>
        <w:t>SEC-004.</w:t>
      </w:r>
      <w:r>
        <w:t xml:space="preserve"> Рабочие процессы не выполняют команды из модели. Запретить shell-инъекции, XML external entities, обход путей, ZIP-bomb и произвольные обращения по URL из входных файлов. Пользовательские имена и описания выводить как текст; отчёты и HTML-просмотр не исполняют встроенный код.</w:t>
      </w:r>
    </w:p>
    <w:p>
      <w:r>
        <w:rPr>
          <w:b/>
        </w:rPr>
        <w:t>SEC-005.</w:t>
      </w:r>
      <w:r>
        <w:t xml:space="preserve"> Секреты находятся в менеджере секретов или защищённых переменных среды. В репозитории — только примеры без значений. Доступ к боевой базе и хранилищу не требуется Cursor для обычной разработки; тестовые проекты обезличены. Логировать доступ администраторов к производственным данным при аварийной поддержке.</w:t>
      </w:r>
    </w:p>
    <w:p>
      <w:r>
        <w:rPr>
          <w:b/>
        </w:rPr>
        <w:t>SEC-006.</w:t>
      </w:r>
      <w:r>
        <w:t xml:space="preserve"> Вести журнал входа, выдачи прав, запуска расчётов, изменения каталогов, экспорта, удаления и административных действий. Срок хранения согласуется с владельцем сервиса; проектная начальная политика — 90 дней технических журналов и не менее срока жизни проекта для истории инженерных ревизий.</w:t>
      </w:r>
    </w:p>
    <w:p>
      <w:r>
        <w:rPr>
          <w:b/>
        </w:rPr>
        <w:t>LIC-001.</w:t>
      </w:r>
      <w:r>
        <w:t xml:space="preserve"> I-Simpa распространяется под GPLv3; в его репозитории есть компоненты со своими условиями. Проверенный LICENSE TetGen предусматривает AGPLv3 или более позднюю версию либо коммерческий вариант от правообладателя. Размещение на сервере само по себе не отменяет лицензионные обязанности. [S01, S08, S25, S26]</w:t>
      </w:r>
    </w:p>
    <w:p>
      <w:r>
        <w:rPr>
          <w:b/>
        </w:rPr>
        <w:t>LIC-002.</w:t>
      </w:r>
      <w:r>
        <w:t xml:space="preserve"> Базовый путь этого ТЗ — открытая поставка соответствующего приложения и модификаций с совместимой лицензией AGPLv3-or-later для собственного кода, при сохранении исходных лицензий зависимостей. Предусмотреть доступ к соответствующему исходному коду и инструкциям сборки в объёме применимых лицензий, включая сетевое использование там, где это требуется. Пользовательские проекты и секреты не входят в публикуемый исходный код.</w:t>
      </w:r>
    </w:p>
    <w:p>
      <w:r>
        <w:rPr>
          <w:b/>
        </w:rPr>
        <w:t>LIC-003.</w:t>
      </w:r>
      <w:r>
        <w:t xml:space="preserve"> До публичной эксплуатации составить перечень зависимостей и их лицензий, включить уведомления и проверить совместимость конкретной сборки. Если нужен закрытый продукт, отдельно решить лицензирование TetGen и остальных частей либо заменить компоненты и повторить численные испытания. Архитектурное разделение процессов не считать автоматическим юридическим освобождением.</w:t>
      </w:r>
    </w:p>
    <w:p>
      <w:r>
        <w:rPr>
          <w:b/>
        </w:rPr>
        <w:t>LIC-004.</w:t>
      </w:r>
      <w:r>
        <w:t xml:space="preserve"> Каталожные данные, иллюстрации станков и документы производителей также имеют права использования. У каждого опубликованного набора хранить разрешение/лицензию или ссылку на допустимое использование. Возможность читать файл в интернете не означает разрешение распространять его в общей базе.</w:t>
      </w:r>
    </w:p>
    <w:p>
      <w:bookmarkStart w:id="24" w:name="section_24"/>
      <w:pPr>
        <w:pStyle w:val="Heading1"/>
      </w:pPr>
      <w:r>
        <w:t>24 Производительность лимиты и совместимость</w:t>
      </w:r>
      <w:bookmarkEnd w:id="24"/>
    </w:p>
    <w:p>
      <w:r>
        <w:rPr>
          <w:b/>
        </w:rPr>
        <w:t>PERF-001.</w:t>
      </w:r>
      <w:r>
        <w:t xml:space="preserve"> Разделять обещания интерфейса и расчёта. Геометрическая реакция должна быть интерактивной; время SPPS определяется размером задачи, статистикой и оборудованием. До измерения запрещено обещать «любой цех за 10 секунд». Перед запуском показываются лимиты и затем фактическое время по этапам.</w:t>
      </w:r>
    </w:p>
    <w:p>
      <w:r>
        <w:rPr>
          <w:b/>
        </w:rPr>
        <w:t>PERF-002.</w:t>
      </w:r>
      <w:r>
        <w:t xml:space="preserve"> Базовый приёмочный проект: помещение 30 × 15 × 6 м, 6 машин, 18 рабочих/контрольных точек, 50 объектов заполнения, 8 октавных полос, стандартные плоскости и объёмный режим с шагом 0,5 м. Отдельный нагрузочный проект проверяет верхний эксплуатационный предел, заданный ниже. Сложность расчётной сетки измеряется отдельно от числа предметов.</w:t>
      </w:r>
    </w:p>
    <w:p>
      <w:r>
        <w:rPr>
          <w:b/>
        </w:rPr>
        <w:t>PERF-003.</w:t>
      </w:r>
      <w:r>
        <w:t xml:space="preserve"> Проектный функциональный предел одной обычной модели: до 20 связанных помещений, 100 единиц оборудования, 300 точечных подисточников, 200 рабочих мест, 2000 объектов заполнения и 1 миллиона скалярных ячеек итогового объёма. Это конфигурируемые лимиты сервиса, а не доказанная способность ядра уложиться в память. Предварительная оценка может потребовать пакетного задания или отклонить конкретную геометрию.</w:t>
      </w:r>
    </w:p>
    <w:p>
      <w:r>
        <w:rPr>
          <w:b/>
        </w:rPr>
        <w:t>PERF-004.</w:t>
      </w:r>
      <w:r>
        <w:t xml:space="preserve"> Поля объёма и частоты загружаются по необходимости. Проектная цель для видимой мобильной сцены — до 200 тысяч треугольников, до 200 вызовов отрисовки и до 64 МБ активных текстур карты. При превышении включается упрощение картинки. Проверяется память в реальных браузерах; сумма байтов массивов не равна всей памяти вкладки.</w:t>
      </w:r>
    </w:p>
    <w:p>
      <w:r>
        <w:rPr>
          <w:b/>
        </w:rPr>
        <w:t>PERF-005.</w:t>
      </w:r>
      <w:r>
        <w:t xml:space="preserve"> На закреплённом эталонном Android-телефоне среднего класса с 6 ГБ RAM и WebGL2 целевые показатели: не менее 30 кадров/с при вращении базового проекта; открытие локальной карточки до 150 мс в 95 % действий; начальная рабочая оболочка до 3 с при 10 Мбит/с и задержке 80 мс; отображение уже загруженного сечения до 300 мс. Эти цели подтверждаются протоколом с моделью устройства и браузером.</w:t>
      </w:r>
    </w:p>
    <w:p>
      <w:r>
        <w:rPr>
          <w:b/>
        </w:rPr>
        <w:t>PERF-006.</w:t>
      </w:r>
      <w:r>
        <w:t xml:space="preserve"> Сетевые цели: сжатая начальная оболочка до 2 МБ без лениво загружаемого 3D; базовая наглядная модель до 5 МБ; API метаданных до 500 мс в 95 % запросов под согласованной пилотной нагрузкой. Длительный расчёт и загрузка большого результата не включаются в этот показатель API.</w:t>
      </w:r>
    </w:p>
    <w:p>
      <w:r>
        <w:rPr>
          <w:b/>
        </w:rPr>
        <w:t>PERF-007.</w:t>
      </w:r>
      <w:r>
        <w:t xml:space="preserve"> Матрица испытаний: Chrome Android двух последних стабильных выпусков на момент релиза; Samsung Internet актуального выпуска; Safari iOS двух последних основных версий с доступными для них ограничениями PWA. Минимальная ширина 360 px, портрет и альбом. Конкретные версии и устройства записываются в протокол, а не навечно фиксируются словом «современные».</w:t>
      </w:r>
    </w:p>
    <w:p>
      <w:r>
        <w:rPr>
          <w:b/>
        </w:rPr>
        <w:t>PERF-008.</w:t>
      </w:r>
      <w:r>
        <w:t xml:space="preserve"> Подготовить измерения трёх классов: простой проект, базовый производственный проект, нагрузочный проект. Для каждого указать время подготовки/ядра/постобработки, пиковую RAM, диск, размер сетки, число приёмников, частицы, качество и цену ресурсов. По этим данным назначить классы заданий и ограничения очереди.</w:t>
      </w:r>
    </w:p>
    <w:p>
      <w:r>
        <w:rPr>
          <w:b/>
        </w:rPr>
        <w:t>PERF-009.</w:t>
      </w:r>
      <w:r>
        <w:t xml:space="preserve"> Для пилотной многопользовательской проверки принять 20 активных сессий редактирования и 5 одновременно поставленных расчётов; число одновременно исполняемых определяется ресурсами. Приложение обязано честно показывать очередь и сохранять работоспособность метаданных, а не запускать все процессы ценой аварийного исчерпания памяти.</w:t>
      </w:r>
    </w:p>
    <w:p>
      <w:r>
        <w:rPr>
          <w:b/>
        </w:rPr>
        <w:t>PERF-010.</w:t>
      </w:r>
      <w:r>
        <w:t xml:space="preserve"> При перегрузке система ограничивает новые задания и объясняет задержку. Уже сохранённые проекты и завершённые результаты остаются доступны. Понижение качества картинки допустимо; скрытое изменение акустических настроек — нет.</w:t>
      </w:r>
    </w:p>
    <w:p>
      <w:bookmarkStart w:id="25" w:name="section_25"/>
      <w:pPr>
        <w:pStyle w:val="Heading1"/>
      </w:pPr>
      <w:r>
        <w:t>25 Эксплуатация резервирование и сопровождение</w:t>
      </w:r>
      <w:bookmarkEnd w:id="25"/>
    </w:p>
    <w:p>
      <w:r>
        <w:rPr>
          <w:b/>
        </w:rPr>
        <w:t>OPS-001.</w:t>
      </w:r>
      <w:r>
        <w:t xml:space="preserve"> Разделить окружения разработки, испытаний и эксплуатации. У каждого свои учётные записи, база, хранилище и очередь. Тестовые задания не попадают на боевые рабочие узлы. Конфигурация задаётся переменными окружения с проверкой при запуске; секреты не попадают в клиентскую сборку.</w:t>
      </w:r>
    </w:p>
    <w:p>
      <w:r>
        <w:rPr>
          <w:b/>
        </w:rPr>
        <w:t>OPS-002.</w:t>
      </w:r>
      <w:r>
        <w:t xml:space="preserve"> Репозиторий содержит Dockerfile и Compose для локального запуска, миграции базы, загрузку учебных каталогов, проверки готовности сервисов и описание установки. Сервер запускается из чистой Linux-среды по инструкции без ручного копирования неизвестных бинарных файлов. Производственная сборка создаётся CI из зафиксированного коммита. [S29]</w:t>
      </w:r>
    </w:p>
    <w:p>
      <w:r>
        <w:rPr>
          <w:b/>
        </w:rPr>
        <w:t>OPS-003.</w:t>
      </w:r>
      <w:r>
        <w:t xml:space="preserve"> Обновление API выполняется совместимо с текущим клиентом или с управляемым переходом. При обновлении ядра старые задания завершаются прежним образом, а новые используют новую версию. Результаты разных версий не объединяются незаметно. Поддержать откат приложения и сохранение работоспособности уже опубликованных результатов.</w:t>
      </w:r>
    </w:p>
    <w:p>
      <w:r>
        <w:rPr>
          <w:b/>
        </w:rPr>
        <w:t>OPS-004.</w:t>
      </w:r>
      <w:r>
        <w:t xml:space="preserve"> Резервирование: регулярные копии PostgreSQL и восстановление по журналу, версионирование важных объектов хранилища, отдельное хранение конфигурации и ключей по защищённой процедуре. Проектные цели пилота — потеря не более 1 часа подтверждённых серверных данных и восстановление сервиса в пределах 8 часов. Цели подтверждаются практическим восстановлением, а не фактом наличия файлов копии.</w:t>
      </w:r>
    </w:p>
    <w:p>
      <w:r>
        <w:rPr>
          <w:b/>
        </w:rPr>
        <w:t>OPS-005.</w:t>
      </w:r>
      <w:r>
        <w:t xml:space="preserve"> Раз в квартал либо перед значимым релизом проверять восстановление выбранного проекта с моделью, каталогами, результатами и правами. Протокол включает фактическую точку восстановления, время и недостающие элементы. Несинхронизированные локальные данные телефона не входят в серверную гарантию.</w:t>
      </w:r>
    </w:p>
    <w:p>
      <w:r>
        <w:rPr>
          <w:b/>
        </w:rPr>
        <w:t>OPS-006.</w:t>
      </w:r>
      <w:r>
        <w:t xml:space="preserve"> Наблюдаемость включает доступность API, длину и возраст очередей, число неудачных заданий, отсутствие heartbeat, память/диск рабочих узлов, свободное хранилище и время этапов. Для анализа использовать структурированные журналы, метрики Prometheus и панели Grafana либо функционально эквивалентные средства. Ошибки клиента можно собирать через Sentry после очистки содержимого проектов.</w:t>
      </w:r>
    </w:p>
    <w:p>
      <w:r>
        <w:rPr>
          <w:b/>
        </w:rPr>
        <w:t>OPS-007.</w:t>
      </w:r>
      <w:r>
        <w:t xml:space="preserve"> Административный экран показывает состояние очередей, ресурсы, версии ядра, квоты, ошибки импортов и каталогов. Администратор может остановить зависшее задание и повторить допустимую операцию с записанной причиной. Он не редактирует завершённый результат вручную.</w:t>
      </w:r>
    </w:p>
    <w:p>
      <w:r>
        <w:rPr>
          <w:b/>
        </w:rPr>
        <w:t>OPS-008.</w:t>
      </w:r>
      <w:r>
        <w:t xml:space="preserve"> Политика хранения разделяет исходные проекты, финальные карты, сырые траектории/эхо-граммы и временные файлы. Начальные сроки: временные файлы неудачных запусков 7 дней; большие сырые данные 30 дней при отсутствии закрепления; модель и итоговый манифест — до удаления проекта. Пользователь заранее видит, какие данные могут быть удалены, и может выгрузить архив воспроизводимости.</w:t>
      </w:r>
    </w:p>
    <w:p>
      <w:r>
        <w:rPr>
          <w:b/>
        </w:rPr>
        <w:t>OPS-009.</w:t>
      </w:r>
      <w:r>
        <w:t xml:space="preserve"> Стоимость эксплуатации состоит из постоянно работающей инфраструктуры, CPU-времени, памяти, хранения и исходящего трафика. В панели проекта показывать потребление по заданиям. Денежные тарифы определяются после нагрузочных измерений; это ТЗ не закладывает выдуманную фиксированную цену одного расчёта.</w:t>
      </w:r>
    </w:p>
    <w:p>
      <w:bookmarkStart w:id="26" w:name="section_26"/>
      <w:pPr>
        <w:pStyle w:val="Heading1"/>
      </w:pPr>
      <w:r>
        <w:t>26 Рабочая среда Cursor и правила разработки</w:t>
      </w:r>
      <w:bookmarkEnd w:id="26"/>
    </w:p>
    <w:p>
      <w:r>
        <w:rPr>
          <w:b/>
        </w:rPr>
        <w:t>DEV-001.</w:t>
      </w:r>
      <w:r>
        <w:t xml:space="preserve"> Разработка ведётся на компьютере в Cursor. Телефон используется для испытаний готового интерфейса. Нужны Git, актуальная совместимая версия Node.js LTS, pnpm, Python с управляемым окружением, CMake и C++-компилятор для ядра, Docker Engine/Compose. На Windows предпочтителен WSL2 для Linux-сборки SPPS. Точные версии фиксируются после первого успешного сквозного прогона.</w:t>
      </w:r>
    </w:p>
    <w:p>
      <w:r>
        <w:rPr>
          <w:b/>
        </w:rPr>
        <w:t>DEV-002.</w:t>
      </w:r>
      <w:r>
        <w:t xml:space="preserve"> Предлагаемая структура репозитория:</w:t>
      </w:r>
    </w:p>
    <w:p>
      <w:pPr>
        <w:pStyle w:val="Code"/>
      </w:pPr>
      <w:r>
        <w:t>apps/web/                  мобильный интерфейс</w:t>
      </w:r>
    </w:p>
    <w:p>
      <w:pPr>
        <w:pStyle w:val="Code"/>
      </w:pPr>
      <w:r>
        <w:t>services/api/              API и доступ к данным</w:t>
      </w:r>
    </w:p>
    <w:p>
      <w:pPr>
        <w:pStyle w:val="Code"/>
      </w:pPr>
      <w:r>
        <w:t>services/worker/           задания и управление процессами</w:t>
      </w:r>
    </w:p>
    <w:p>
      <w:pPr>
        <w:pStyle w:val="Code"/>
      </w:pPr>
      <w:r>
        <w:t>packages/domain/           типы и команды модели</w:t>
      </w:r>
    </w:p>
    <w:p>
      <w:pPr>
        <w:pStyle w:val="Code"/>
      </w:pPr>
      <w:r>
        <w:t>packages/contracts/        схемы и API-контракты</w:t>
      </w:r>
    </w:p>
    <w:p>
      <w:pPr>
        <w:pStyle w:val="Code"/>
      </w:pPr>
      <w:r>
        <w:t>engine/adapter/            перевод модели и разбор результатов</w:t>
      </w:r>
    </w:p>
    <w:p>
      <w:pPr>
        <w:pStyle w:val="Code"/>
      </w:pPr>
      <w:r>
        <w:t>engine/patches/            минимальные патчи SPPS</w:t>
      </w:r>
    </w:p>
    <w:p>
      <w:pPr>
        <w:pStyle w:val="Code"/>
      </w:pPr>
      <w:r>
        <w:t>engine/fixtures/           эталонные входы и выходы</w:t>
      </w:r>
    </w:p>
    <w:p>
      <w:pPr>
        <w:pStyle w:val="Code"/>
      </w:pPr>
      <w:r>
        <w:t>infra/                     контейнеры и развёртывание</w:t>
      </w:r>
    </w:p>
    <w:p>
      <w:pPr>
        <w:pStyle w:val="Code"/>
      </w:pPr>
      <w:r>
        <w:t>tests/e2e/                 сквозные сценарии</w:t>
      </w:r>
    </w:p>
    <w:p>
      <w:pPr>
        <w:pStyle w:val="Code"/>
      </w:pPr>
      <w:r>
        <w:t>docs/                      ТЗ, решения, инструкции, методика</w:t>
      </w:r>
    </w:p>
    <w:p>
      <w:pPr>
        <w:pStyle w:val="Code"/>
      </w:pPr>
      <w:r>
        <w:t>.cursor/rules/             правила работы Cursor</w:t>
      </w:r>
    </w:p>
    <w:p>
      <w:pPr>
        <w:spacing w:after="0"/>
      </w:pPr>
    </w:p>
    <w:p>
      <w:r>
        <w:rPr>
          <w:b/>
        </w:rPr>
        <w:t>DEV-003.</w:t>
      </w:r>
      <w:r>
        <w:t xml:space="preserve"> Для Cursor установить расширения по назначению, проверив издателя и доступность в его каталоге. Расширение редактирования не является зависимостью готового приложения. Не ставить несколько одновременно конфликтующих средств форматирования одного языка.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888"/>
        <w:gridCol w:w="3600"/>
      </w:tblGrid>
      <w:tr>
        <w:trPr>
          <w:cantSplit/>
          <w:tblHeader/>
        </w:trPr>
        <w:tc>
          <w:tcPr>
            <w:tcW w:type="dxa" w:w="2592"/>
            <w:vAlign w:val="center"/>
            <w:shd w:fill="303030"/>
            <w:tcMar>
              <w:top w:w="70" w:type="dxa"/>
              <w:left w:w="70" w:type="dxa"/>
              <w:bottom w:w="70" w:type="dxa"/>
              <w:right w:w="70" w:type="dxa"/>
            </w:tcMar>
          </w:tcPr>
          <w:p>
            <w:pPr>
              <w:pStyle w:val="TableBody"/>
            </w:pPr>
            <w:r>
              <w:rPr>
                <w:b/>
                <w:color w:val="FFFFFF"/>
              </w:rPr>
              <w:t>Средство</w:t>
            </w:r>
          </w:p>
        </w:tc>
        <w:tc>
          <w:tcPr>
            <w:tcW w:type="dxa" w:w="3888"/>
            <w:vAlign w:val="center"/>
            <w:shd w:fill="303030"/>
            <w:tcMar>
              <w:top w:w="70" w:type="dxa"/>
              <w:left w:w="70" w:type="dxa"/>
              <w:bottom w:w="70" w:type="dxa"/>
              <w:right w:w="70" w:type="dxa"/>
            </w:tcMar>
          </w:tcPr>
          <w:p>
            <w:pPr>
              <w:pStyle w:val="TableBody"/>
            </w:pPr>
            <w:r>
              <w:rPr>
                <w:b/>
                <w:color w:val="FFFFFF"/>
              </w:rPr>
              <w:t>Роль</w:t>
            </w:r>
          </w:p>
        </w:tc>
        <w:tc>
          <w:tcPr>
            <w:tcW w:type="dxa" w:w="3600"/>
            <w:vAlign w:val="center"/>
            <w:shd w:fill="303030"/>
            <w:tcMar>
              <w:top w:w="70" w:type="dxa"/>
              <w:left w:w="70" w:type="dxa"/>
              <w:bottom w:w="70" w:type="dxa"/>
              <w:right w:w="70" w:type="dxa"/>
            </w:tcMar>
          </w:tcPr>
          <w:p>
            <w:pPr>
              <w:pStyle w:val="TableBody"/>
            </w:pPr>
            <w:r>
              <w:rPr>
                <w:b/>
                <w:color w:val="FFFFFF"/>
              </w:rPr>
              <w:t>Статус</w:t>
            </w:r>
          </w:p>
        </w:tc>
      </w:tr>
      <w:tr>
        <w:trPr>
          <w:cantSplit/>
        </w:trPr>
        <w:tc>
          <w:tcPr>
            <w:tcW w:type="dxa" w:w="2592"/>
            <w:vAlign w:val="center"/>
            <w:tcMar>
              <w:top w:w="70" w:type="dxa"/>
              <w:left w:w="70" w:type="dxa"/>
              <w:bottom w:w="70" w:type="dxa"/>
              <w:right w:w="70" w:type="dxa"/>
            </w:tcMar>
          </w:tcPr>
          <w:p>
            <w:pPr>
              <w:pStyle w:val="TableBody"/>
            </w:pPr>
            <w:r>
              <w:t>Встроенная поддержка TypeScript</w:t>
            </w:r>
          </w:p>
        </w:tc>
        <w:tc>
          <w:tcPr>
            <w:tcW w:type="dxa" w:w="3888"/>
            <w:vAlign w:val="center"/>
            <w:tcMar>
              <w:top w:w="70" w:type="dxa"/>
              <w:left w:w="70" w:type="dxa"/>
              <w:bottom w:w="70" w:type="dxa"/>
              <w:right w:w="70" w:type="dxa"/>
            </w:tcMar>
          </w:tcPr>
          <w:p>
            <w:pPr>
              <w:pStyle w:val="TableBody"/>
            </w:pPr>
            <w:r>
              <w:t>Типы и навигация веб-кода</w:t>
            </w:r>
          </w:p>
        </w:tc>
        <w:tc>
          <w:tcPr>
            <w:tcW w:type="dxa" w:w="3600"/>
            <w:vAlign w:val="center"/>
            <w:tcMar>
              <w:top w:w="70" w:type="dxa"/>
              <w:left w:w="70" w:type="dxa"/>
              <w:bottom w:w="70" w:type="dxa"/>
              <w:right w:w="70" w:type="dxa"/>
            </w:tcMar>
          </w:tcPr>
          <w:p>
            <w:pPr>
              <w:pStyle w:val="TableBody"/>
            </w:pPr>
            <w:r>
              <w:t>Обязательна</w:t>
            </w:r>
          </w:p>
        </w:tc>
      </w:tr>
      <w:tr>
        <w:trPr>
          <w:cantSplit/>
        </w:trPr>
        <w:tc>
          <w:tcPr>
            <w:tcW w:type="dxa" w:w="2592"/>
            <w:vAlign w:val="center"/>
            <w:shd w:fill="F3F3F3"/>
            <w:tcMar>
              <w:top w:w="70" w:type="dxa"/>
              <w:left w:w="70" w:type="dxa"/>
              <w:bottom w:w="70" w:type="dxa"/>
              <w:right w:w="70" w:type="dxa"/>
            </w:tcMar>
          </w:tcPr>
          <w:p>
            <w:pPr>
              <w:pStyle w:val="TableBody"/>
            </w:pPr>
            <w:r>
              <w:t>ESLint</w:t>
            </w:r>
          </w:p>
        </w:tc>
        <w:tc>
          <w:tcPr>
            <w:tcW w:type="dxa" w:w="3888"/>
            <w:vAlign w:val="center"/>
            <w:shd w:fill="F3F3F3"/>
            <w:tcMar>
              <w:top w:w="70" w:type="dxa"/>
              <w:left w:w="70" w:type="dxa"/>
              <w:bottom w:w="70" w:type="dxa"/>
              <w:right w:w="70" w:type="dxa"/>
            </w:tcMar>
          </w:tcPr>
          <w:p>
            <w:pPr>
              <w:pStyle w:val="TableBody"/>
            </w:pPr>
            <w:r>
              <w:t>Проверка ошибок JavaScript/TypeScript</w:t>
            </w:r>
          </w:p>
        </w:tc>
        <w:tc>
          <w:tcPr>
            <w:tcW w:type="dxa" w:w="3600"/>
            <w:vAlign w:val="center"/>
            <w:shd w:fill="F3F3F3"/>
            <w:tcMar>
              <w:top w:w="70" w:type="dxa"/>
              <w:left w:w="70" w:type="dxa"/>
              <w:bottom w:w="70" w:type="dxa"/>
              <w:right w:w="70" w:type="dxa"/>
            </w:tcMar>
          </w:tcPr>
          <w:p>
            <w:pPr>
              <w:pStyle w:val="TableBody"/>
            </w:pPr>
            <w:r>
              <w:t>Обязательно в CI; расширение удобно</w:t>
            </w:r>
          </w:p>
        </w:tc>
      </w:tr>
      <w:tr>
        <w:trPr>
          <w:cantSplit/>
        </w:trPr>
        <w:tc>
          <w:tcPr>
            <w:tcW w:type="dxa" w:w="2592"/>
            <w:vAlign w:val="center"/>
            <w:tcMar>
              <w:top w:w="70" w:type="dxa"/>
              <w:left w:w="70" w:type="dxa"/>
              <w:bottom w:w="70" w:type="dxa"/>
              <w:right w:w="70" w:type="dxa"/>
            </w:tcMar>
          </w:tcPr>
          <w:p>
            <w:pPr>
              <w:pStyle w:val="TableBody"/>
            </w:pPr>
            <w:r>
              <w:t>Prettier</w:t>
            </w:r>
          </w:p>
        </w:tc>
        <w:tc>
          <w:tcPr>
            <w:tcW w:type="dxa" w:w="3888"/>
            <w:vAlign w:val="center"/>
            <w:tcMar>
              <w:top w:w="70" w:type="dxa"/>
              <w:left w:w="70" w:type="dxa"/>
              <w:bottom w:w="70" w:type="dxa"/>
              <w:right w:w="70" w:type="dxa"/>
            </w:tcMar>
          </w:tcPr>
          <w:p>
            <w:pPr>
              <w:pStyle w:val="TableBody"/>
            </w:pPr>
            <w:r>
              <w:t>Единый формат TS/JSON/CSS</w:t>
            </w:r>
          </w:p>
        </w:tc>
        <w:tc>
          <w:tcPr>
            <w:tcW w:type="dxa" w:w="3600"/>
            <w:vAlign w:val="center"/>
            <w:tcMar>
              <w:top w:w="70" w:type="dxa"/>
              <w:left w:w="70" w:type="dxa"/>
              <w:bottom w:w="70" w:type="dxa"/>
              <w:right w:w="70" w:type="dxa"/>
            </w:tcMar>
          </w:tcPr>
          <w:p>
            <w:pPr>
              <w:pStyle w:val="TableBody"/>
            </w:pPr>
            <w:r>
              <w:t>Обязателен в проекте; расширение по необходимости</w:t>
            </w:r>
          </w:p>
        </w:tc>
      </w:tr>
      <w:tr>
        <w:trPr>
          <w:cantSplit/>
        </w:trPr>
        <w:tc>
          <w:tcPr>
            <w:tcW w:type="dxa" w:w="2592"/>
            <w:vAlign w:val="center"/>
            <w:shd w:fill="F3F3F3"/>
            <w:tcMar>
              <w:top w:w="70" w:type="dxa"/>
              <w:left w:w="70" w:type="dxa"/>
              <w:bottom w:w="70" w:type="dxa"/>
              <w:right w:w="70" w:type="dxa"/>
            </w:tcMar>
          </w:tcPr>
          <w:p>
            <w:pPr>
              <w:pStyle w:val="TableBody"/>
            </w:pPr>
            <w:r>
              <w:t>Ruff от Astral</w:t>
            </w:r>
          </w:p>
        </w:tc>
        <w:tc>
          <w:tcPr>
            <w:tcW w:type="dxa" w:w="3888"/>
            <w:vAlign w:val="center"/>
            <w:shd w:fill="F3F3F3"/>
            <w:tcMar>
              <w:top w:w="70" w:type="dxa"/>
              <w:left w:w="70" w:type="dxa"/>
              <w:bottom w:w="70" w:type="dxa"/>
              <w:right w:w="70" w:type="dxa"/>
            </w:tcMar>
          </w:tcPr>
          <w:p>
            <w:pPr>
              <w:pStyle w:val="TableBody"/>
            </w:pPr>
            <w:r>
              <w:t>Проверка и форматирование Python</w:t>
            </w:r>
          </w:p>
        </w:tc>
        <w:tc>
          <w:tcPr>
            <w:tcW w:type="dxa" w:w="3600"/>
            <w:vAlign w:val="center"/>
            <w:shd w:fill="F3F3F3"/>
            <w:tcMar>
              <w:top w:w="70" w:type="dxa"/>
              <w:left w:w="70" w:type="dxa"/>
              <w:bottom w:w="70" w:type="dxa"/>
              <w:right w:w="70" w:type="dxa"/>
            </w:tcMar>
          </w:tcPr>
          <w:p>
            <w:pPr>
              <w:pStyle w:val="TableBody"/>
            </w:pPr>
            <w:r>
              <w:t>Обязателен в CI; расширение удобно</w:t>
            </w:r>
          </w:p>
        </w:tc>
      </w:tr>
      <w:tr>
        <w:trPr>
          <w:cantSplit/>
        </w:trPr>
        <w:tc>
          <w:tcPr>
            <w:tcW w:type="dxa" w:w="2592"/>
            <w:vAlign w:val="center"/>
            <w:tcMar>
              <w:top w:w="70" w:type="dxa"/>
              <w:left w:w="70" w:type="dxa"/>
              <w:bottom w:w="70" w:type="dxa"/>
              <w:right w:w="70" w:type="dxa"/>
            </w:tcMar>
          </w:tcPr>
          <w:p>
            <w:pPr>
              <w:pStyle w:val="TableBody"/>
            </w:pPr>
            <w:r>
              <w:t>Python от Microsoft</w:t>
            </w:r>
          </w:p>
        </w:tc>
        <w:tc>
          <w:tcPr>
            <w:tcW w:type="dxa" w:w="3888"/>
            <w:vAlign w:val="center"/>
            <w:tcMar>
              <w:top w:w="70" w:type="dxa"/>
              <w:left w:w="70" w:type="dxa"/>
              <w:bottom w:w="70" w:type="dxa"/>
              <w:right w:w="70" w:type="dxa"/>
            </w:tcMar>
          </w:tcPr>
          <w:p>
            <w:pPr>
              <w:pStyle w:val="TableBody"/>
            </w:pPr>
            <w:r>
              <w:t>Окружение и отладка Python</w:t>
            </w:r>
          </w:p>
        </w:tc>
        <w:tc>
          <w:tcPr>
            <w:tcW w:type="dxa" w:w="3600"/>
            <w:vAlign w:val="center"/>
            <w:tcMar>
              <w:top w:w="70" w:type="dxa"/>
              <w:left w:w="70" w:type="dxa"/>
              <w:bottom w:w="70" w:type="dxa"/>
              <w:right w:w="70" w:type="dxa"/>
            </w:tcMar>
          </w:tcPr>
          <w:p>
            <w:pPr>
              <w:pStyle w:val="TableBody"/>
            </w:pPr>
            <w:r>
              <w:t>Рекомендуется при совместимости с Cursor</w:t>
            </w:r>
          </w:p>
        </w:tc>
      </w:tr>
      <w:tr>
        <w:trPr>
          <w:cantSplit/>
        </w:trPr>
        <w:tc>
          <w:tcPr>
            <w:tcW w:type="dxa" w:w="2592"/>
            <w:vAlign w:val="center"/>
            <w:shd w:fill="F3F3F3"/>
            <w:tcMar>
              <w:top w:w="70" w:type="dxa"/>
              <w:left w:w="70" w:type="dxa"/>
              <w:bottom w:w="70" w:type="dxa"/>
              <w:right w:w="70" w:type="dxa"/>
            </w:tcMar>
          </w:tcPr>
          <w:p>
            <w:pPr>
              <w:pStyle w:val="TableBody"/>
            </w:pPr>
            <w:r>
              <w:t>CMake Tools и clangd</w:t>
            </w:r>
          </w:p>
        </w:tc>
        <w:tc>
          <w:tcPr>
            <w:tcW w:type="dxa" w:w="3888"/>
            <w:vAlign w:val="center"/>
            <w:shd w:fill="F3F3F3"/>
            <w:tcMar>
              <w:top w:w="70" w:type="dxa"/>
              <w:left w:w="70" w:type="dxa"/>
              <w:bottom w:w="70" w:type="dxa"/>
              <w:right w:w="70" w:type="dxa"/>
            </w:tcMar>
          </w:tcPr>
          <w:p>
            <w:pPr>
              <w:pStyle w:val="TableBody"/>
            </w:pPr>
            <w:r>
              <w:t>Сборка и анализ C++ ядра</w:t>
            </w:r>
          </w:p>
        </w:tc>
        <w:tc>
          <w:tcPr>
            <w:tcW w:type="dxa" w:w="3600"/>
            <w:vAlign w:val="center"/>
            <w:shd w:fill="F3F3F3"/>
            <w:tcMar>
              <w:top w:w="70" w:type="dxa"/>
              <w:left w:w="70" w:type="dxa"/>
              <w:bottom w:w="70" w:type="dxa"/>
              <w:right w:w="70" w:type="dxa"/>
            </w:tcMar>
          </w:tcPr>
          <w:p>
            <w:pPr>
              <w:pStyle w:val="TableBody"/>
            </w:pPr>
            <w:r>
              <w:t>Для работы над ядром</w:t>
            </w:r>
          </w:p>
        </w:tc>
      </w:tr>
      <w:tr>
        <w:trPr>
          <w:cantSplit/>
        </w:trPr>
        <w:tc>
          <w:tcPr>
            <w:tcW w:type="dxa" w:w="2592"/>
            <w:vAlign w:val="center"/>
            <w:tcMar>
              <w:top w:w="70" w:type="dxa"/>
              <w:left w:w="70" w:type="dxa"/>
              <w:bottom w:w="70" w:type="dxa"/>
              <w:right w:w="70" w:type="dxa"/>
            </w:tcMar>
          </w:tcPr>
          <w:p>
            <w:pPr>
              <w:pStyle w:val="TableBody"/>
            </w:pPr>
            <w:r>
              <w:t>Git и интерфейс Cursor</w:t>
            </w:r>
          </w:p>
        </w:tc>
        <w:tc>
          <w:tcPr>
            <w:tcW w:type="dxa" w:w="3888"/>
            <w:vAlign w:val="center"/>
            <w:tcMar>
              <w:top w:w="70" w:type="dxa"/>
              <w:left w:w="70" w:type="dxa"/>
              <w:bottom w:w="70" w:type="dxa"/>
              <w:right w:w="70" w:type="dxa"/>
            </w:tcMar>
          </w:tcPr>
          <w:p>
            <w:pPr>
              <w:pStyle w:val="TableBody"/>
            </w:pPr>
            <w:r>
              <w:t>История, ветви, просмотр изменений</w:t>
            </w:r>
          </w:p>
        </w:tc>
        <w:tc>
          <w:tcPr>
            <w:tcW w:type="dxa" w:w="3600"/>
            <w:vAlign w:val="center"/>
            <w:tcMar>
              <w:top w:w="70" w:type="dxa"/>
              <w:left w:w="70" w:type="dxa"/>
              <w:bottom w:w="70" w:type="dxa"/>
              <w:right w:w="70" w:type="dxa"/>
            </w:tcMar>
          </w:tcPr>
          <w:p>
            <w:pPr>
              <w:pStyle w:val="TableBody"/>
            </w:pPr>
            <w:r>
              <w:t>Обязательны</w:t>
            </w:r>
          </w:p>
        </w:tc>
      </w:tr>
      <w:tr>
        <w:trPr>
          <w:cantSplit/>
        </w:trPr>
        <w:tc>
          <w:tcPr>
            <w:tcW w:type="dxa" w:w="2592"/>
            <w:vAlign w:val="center"/>
            <w:shd w:fill="F3F3F3"/>
            <w:tcMar>
              <w:top w:w="70" w:type="dxa"/>
              <w:left w:w="70" w:type="dxa"/>
              <w:bottom w:w="70" w:type="dxa"/>
              <w:right w:w="70" w:type="dxa"/>
            </w:tcMar>
          </w:tcPr>
          <w:p>
            <w:pPr>
              <w:pStyle w:val="TableBody"/>
            </w:pPr>
            <w:r>
              <w:t>Docker CLI и Compose</w:t>
            </w:r>
          </w:p>
        </w:tc>
        <w:tc>
          <w:tcPr>
            <w:tcW w:type="dxa" w:w="3888"/>
            <w:vAlign w:val="center"/>
            <w:shd w:fill="F3F3F3"/>
            <w:tcMar>
              <w:top w:w="70" w:type="dxa"/>
              <w:left w:w="70" w:type="dxa"/>
              <w:bottom w:w="70" w:type="dxa"/>
              <w:right w:w="70" w:type="dxa"/>
            </w:tcMar>
          </w:tcPr>
          <w:p>
            <w:pPr>
              <w:pStyle w:val="TableBody"/>
            </w:pPr>
            <w:r>
              <w:t>Повторяемый запуск сервисов</w:t>
            </w:r>
          </w:p>
        </w:tc>
        <w:tc>
          <w:tcPr>
            <w:tcW w:type="dxa" w:w="3600"/>
            <w:vAlign w:val="center"/>
            <w:shd w:fill="F3F3F3"/>
            <w:tcMar>
              <w:top w:w="70" w:type="dxa"/>
              <w:left w:w="70" w:type="dxa"/>
              <w:bottom w:w="70" w:type="dxa"/>
              <w:right w:w="70" w:type="dxa"/>
            </w:tcMar>
          </w:tcPr>
          <w:p>
            <w:pPr>
              <w:pStyle w:val="TableBody"/>
            </w:pPr>
            <w:r>
              <w:t>Обязательны; графическое расширение необязательно</w:t>
            </w:r>
          </w:p>
        </w:tc>
      </w:tr>
    </w:tbl>
    <w:p>
      <w:pPr>
        <w:spacing w:after="0"/>
      </w:pPr>
    </w:p>
    <w:p>
      <w:r>
        <w:rPr>
          <w:b/>
        </w:rPr>
        <w:t>DEV-004.</w:t>
      </w:r>
      <w:r>
        <w:t xml:space="preserve"> Настроить правила </w:t>
      </w:r>
      <w:r>
        <w:rPr>
          <w:rFonts w:ascii="DejaVu Sans Mono" w:hAnsi="DejaVu Sans Mono"/>
          <w:sz w:val="18"/>
        </w:rPr>
        <w:t>.cursor/rules/*.mdc</w:t>
      </w:r>
      <w:r>
        <w:t xml:space="preserve"> с областью применения, а общие правила репозитория продублировать в AGENTS.md при необходимости. Официальная документация Cursor описывает формат правил и MCP. Не рассчитывать, что большой чат заменит версионируемое ТЗ. [S19, S20]</w:t>
      </w:r>
    </w:p>
    <w:p>
      <w:r>
        <w:rPr>
          <w:b/>
        </w:rPr>
        <w:t>DEV-005.</w:t>
      </w:r>
      <w:r>
        <w:t xml:space="preserve"> Общие правила для Cursor: сначала читать затронутый раздел ТЗ и код; указывать номера требований в задаче; сохранять единицы и координаты; не смешивать Lw/Lp; не генерировать фиктивный результат под видом расчёта; не менять эталоны ради прохождения теста; не обновлять зависимости без причины; не помещать секреты в код; не выполнять публикацию и миграцию боевой базы как побочный шаг.</w:t>
      </w:r>
    </w:p>
    <w:p>
      <w:r>
        <w:rPr>
          <w:b/>
        </w:rPr>
        <w:t>DEV-006.</w:t>
      </w:r>
      <w:r>
        <w:t xml:space="preserve"> Отдельные правила нужны для клиента, сервера, геометрии и адаптера ядра. Для ядра обязательно: до изменения поведения создать воспроизводящий пример; сохранить исходные входы; сравнить до/после; зафиксировать численные отличия и причины. Для интерфейса — реальные мобильные размеры, состояния загрузки/ошибки/пустоты и доступность управления.</w:t>
      </w:r>
    </w:p>
    <w:p>
      <w:r>
        <w:rPr>
          <w:b/>
        </w:rPr>
        <w:t>DEV-007.</w:t>
      </w:r>
      <w:r>
        <w:t xml:space="preserve"> MCP — способ дать Cursor дополнительные инструменты. Подключать только необходимые официальные серверы с минимальными правами и закреплённой версией. Данные боевых проектов не передаются внешнему MCP без отдельного разрешения владельца.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888"/>
        <w:gridCol w:w="3600"/>
      </w:tblGrid>
      <w:tr>
        <w:trPr>
          <w:cantSplit/>
          <w:tblHeader/>
        </w:trPr>
        <w:tc>
          <w:tcPr>
            <w:tcW w:type="dxa" w:w="2592"/>
            <w:vAlign w:val="center"/>
            <w:shd w:fill="303030"/>
            <w:tcMar>
              <w:top w:w="70" w:type="dxa"/>
              <w:left w:w="70" w:type="dxa"/>
              <w:bottom w:w="70" w:type="dxa"/>
              <w:right w:w="70" w:type="dxa"/>
            </w:tcMar>
          </w:tcPr>
          <w:p>
            <w:pPr>
              <w:pStyle w:val="TableBody"/>
            </w:pPr>
            <w:r>
              <w:rPr>
                <w:b/>
                <w:color w:val="FFFFFF"/>
              </w:rPr>
              <w:t>MCP или инструмент</w:t>
            </w:r>
          </w:p>
        </w:tc>
        <w:tc>
          <w:tcPr>
            <w:tcW w:type="dxa" w:w="3888"/>
            <w:vAlign w:val="center"/>
            <w:shd w:fill="303030"/>
            <w:tcMar>
              <w:top w:w="70" w:type="dxa"/>
              <w:left w:w="70" w:type="dxa"/>
              <w:bottom w:w="70" w:type="dxa"/>
              <w:right w:w="70" w:type="dxa"/>
            </w:tcMar>
          </w:tcPr>
          <w:p>
            <w:pPr>
              <w:pStyle w:val="TableBody"/>
            </w:pPr>
            <w:r>
              <w:rPr>
                <w:b/>
                <w:color w:val="FFFFFF"/>
              </w:rPr>
              <w:t>Для чего использовать</w:t>
            </w:r>
          </w:p>
        </w:tc>
        <w:tc>
          <w:tcPr>
            <w:tcW w:type="dxa" w:w="3600"/>
            <w:vAlign w:val="center"/>
            <w:shd w:fill="303030"/>
            <w:tcMar>
              <w:top w:w="70" w:type="dxa"/>
              <w:left w:w="70" w:type="dxa"/>
              <w:bottom w:w="70" w:type="dxa"/>
              <w:right w:w="70" w:type="dxa"/>
            </w:tcMar>
          </w:tcPr>
          <w:p>
            <w:pPr>
              <w:pStyle w:val="TableBody"/>
            </w:pPr>
            <w:r>
              <w:rPr>
                <w:b/>
                <w:color w:val="FFFFFF"/>
              </w:rPr>
              <w:t>Ограничение</w:t>
            </w:r>
          </w:p>
        </w:tc>
      </w:tr>
      <w:tr>
        <w:trPr>
          <w:cantSplit/>
        </w:trPr>
        <w:tc>
          <w:tcPr>
            <w:tcW w:type="dxa" w:w="2592"/>
            <w:vAlign w:val="center"/>
            <w:tcMar>
              <w:top w:w="70" w:type="dxa"/>
              <w:left w:w="70" w:type="dxa"/>
              <w:bottom w:w="70" w:type="dxa"/>
              <w:right w:w="70" w:type="dxa"/>
            </w:tcMar>
          </w:tcPr>
          <w:p>
            <w:pPr>
              <w:pStyle w:val="TableBody"/>
            </w:pPr>
            <w:r>
              <w:t>Официальный GitHub MCP</w:t>
            </w:r>
          </w:p>
        </w:tc>
        <w:tc>
          <w:tcPr>
            <w:tcW w:type="dxa" w:w="3888"/>
            <w:vAlign w:val="center"/>
            <w:tcMar>
              <w:top w:w="70" w:type="dxa"/>
              <w:left w:w="70" w:type="dxa"/>
              <w:bottom w:w="70" w:type="dxa"/>
              <w:right w:w="70" w:type="dxa"/>
            </w:tcMar>
          </w:tcPr>
          <w:p>
            <w:pPr>
              <w:pStyle w:val="TableBody"/>
            </w:pPr>
            <w:r>
              <w:t>Читать задачи, код и запросы изменений</w:t>
            </w:r>
          </w:p>
        </w:tc>
        <w:tc>
          <w:tcPr>
            <w:tcW w:type="dxa" w:w="3600"/>
            <w:vAlign w:val="center"/>
            <w:tcMar>
              <w:top w:w="70" w:type="dxa"/>
              <w:left w:w="70" w:type="dxa"/>
              <w:bottom w:w="70" w:type="dxa"/>
              <w:right w:w="70" w:type="dxa"/>
            </w:tcMar>
          </w:tcPr>
          <w:p>
            <w:pPr>
              <w:pStyle w:val="TableBody"/>
            </w:pPr>
            <w:r>
              <w:t>Минимальные права; обычного Git достаточно для локальной работы</w:t>
            </w:r>
          </w:p>
        </w:tc>
      </w:tr>
      <w:tr>
        <w:trPr>
          <w:cantSplit/>
        </w:trPr>
        <w:tc>
          <w:tcPr>
            <w:tcW w:type="dxa" w:w="2592"/>
            <w:vAlign w:val="center"/>
            <w:shd w:fill="F3F3F3"/>
            <w:tcMar>
              <w:top w:w="70" w:type="dxa"/>
              <w:left w:w="70" w:type="dxa"/>
              <w:bottom w:w="70" w:type="dxa"/>
              <w:right w:w="70" w:type="dxa"/>
            </w:tcMar>
          </w:tcPr>
          <w:p>
            <w:pPr>
              <w:pStyle w:val="TableBody"/>
            </w:pPr>
            <w:r>
              <w:t>Microsoft Playwright MCP</w:t>
            </w:r>
          </w:p>
        </w:tc>
        <w:tc>
          <w:tcPr>
            <w:tcW w:type="dxa" w:w="3888"/>
            <w:vAlign w:val="center"/>
            <w:shd w:fill="F3F3F3"/>
            <w:tcMar>
              <w:top w:w="70" w:type="dxa"/>
              <w:left w:w="70" w:type="dxa"/>
              <w:bottom w:w="70" w:type="dxa"/>
              <w:right w:w="70" w:type="dxa"/>
            </w:tcMar>
          </w:tcPr>
          <w:p>
            <w:pPr>
              <w:pStyle w:val="TableBody"/>
            </w:pPr>
            <w:r>
              <w:t>Открывать локальное приложение и проверять сценарии</w:t>
            </w:r>
          </w:p>
        </w:tc>
        <w:tc>
          <w:tcPr>
            <w:tcW w:type="dxa" w:w="3600"/>
            <w:vAlign w:val="center"/>
            <w:shd w:fill="F3F3F3"/>
            <w:tcMar>
              <w:top w:w="70" w:type="dxa"/>
              <w:left w:w="70" w:type="dxa"/>
              <w:bottom w:w="70" w:type="dxa"/>
              <w:right w:w="70" w:type="dxa"/>
            </w:tcMar>
          </w:tcPr>
          <w:p>
            <w:pPr>
              <w:pStyle w:val="TableBody"/>
            </w:pPr>
            <w:r>
              <w:t>Только тестовые аккаунты и окружение</w:t>
            </w:r>
          </w:p>
        </w:tc>
      </w:tr>
      <w:tr>
        <w:trPr>
          <w:cantSplit/>
        </w:trPr>
        <w:tc>
          <w:tcPr>
            <w:tcW w:type="dxa" w:w="2592"/>
            <w:vAlign w:val="center"/>
            <w:tcMar>
              <w:top w:w="70" w:type="dxa"/>
              <w:left w:w="70" w:type="dxa"/>
              <w:bottom w:w="70" w:type="dxa"/>
              <w:right w:w="70" w:type="dxa"/>
            </w:tcMar>
          </w:tcPr>
          <w:p>
            <w:pPr>
              <w:pStyle w:val="TableBody"/>
            </w:pPr>
            <w:r>
              <w:t>Chrome DevTools MCP</w:t>
            </w:r>
          </w:p>
        </w:tc>
        <w:tc>
          <w:tcPr>
            <w:tcW w:type="dxa" w:w="3888"/>
            <w:vAlign w:val="center"/>
            <w:tcMar>
              <w:top w:w="70" w:type="dxa"/>
              <w:left w:w="70" w:type="dxa"/>
              <w:bottom w:w="70" w:type="dxa"/>
              <w:right w:w="70" w:type="dxa"/>
            </w:tcMar>
          </w:tcPr>
          <w:p>
            <w:pPr>
              <w:pStyle w:val="TableBody"/>
            </w:pPr>
            <w:r>
              <w:t>Искать ошибки браузера, профилировать память и рендер</w:t>
            </w:r>
          </w:p>
        </w:tc>
        <w:tc>
          <w:tcPr>
            <w:tcW w:type="dxa" w:w="3600"/>
            <w:vAlign w:val="center"/>
            <w:tcMar>
              <w:top w:w="70" w:type="dxa"/>
              <w:left w:w="70" w:type="dxa"/>
              <w:bottom w:w="70" w:type="dxa"/>
              <w:right w:w="70" w:type="dxa"/>
            </w:tcMar>
          </w:tcPr>
          <w:p>
            <w:pPr>
              <w:pStyle w:val="TableBody"/>
            </w:pPr>
            <w:r>
              <w:t>Не считать эмуляцию доказательством работы на реальном телефоне</w:t>
            </w:r>
          </w:p>
        </w:tc>
      </w:tr>
      <w:tr>
        <w:trPr>
          <w:cantSplit/>
        </w:trPr>
        <w:tc>
          <w:tcPr>
            <w:tcW w:type="dxa" w:w="2592"/>
            <w:vAlign w:val="center"/>
            <w:shd w:fill="F3F3F3"/>
            <w:tcMar>
              <w:top w:w="70" w:type="dxa"/>
              <w:left w:w="70" w:type="dxa"/>
              <w:bottom w:w="70" w:type="dxa"/>
              <w:right w:w="70" w:type="dxa"/>
            </w:tcMar>
          </w:tcPr>
          <w:p>
            <w:pPr>
              <w:pStyle w:val="TableBody"/>
            </w:pPr>
            <w:r>
              <w:t>Playwright как библиотека тестов</w:t>
            </w:r>
          </w:p>
        </w:tc>
        <w:tc>
          <w:tcPr>
            <w:tcW w:type="dxa" w:w="3888"/>
            <w:vAlign w:val="center"/>
            <w:shd w:fill="F3F3F3"/>
            <w:tcMar>
              <w:top w:w="70" w:type="dxa"/>
              <w:left w:w="70" w:type="dxa"/>
              <w:bottom w:w="70" w:type="dxa"/>
              <w:right w:w="70" w:type="dxa"/>
            </w:tcMar>
          </w:tcPr>
          <w:p>
            <w:pPr>
              <w:pStyle w:val="TableBody"/>
            </w:pPr>
            <w:r>
              <w:t>Автоматические сценарии в CI</w:t>
            </w:r>
          </w:p>
        </w:tc>
        <w:tc>
          <w:tcPr>
            <w:tcW w:type="dxa" w:w="3600"/>
            <w:vAlign w:val="center"/>
            <w:shd w:fill="F3F3F3"/>
            <w:tcMar>
              <w:top w:w="70" w:type="dxa"/>
              <w:left w:w="70" w:type="dxa"/>
              <w:bottom w:w="70" w:type="dxa"/>
              <w:right w:w="70" w:type="dxa"/>
            </w:tcMar>
          </w:tcPr>
          <w:p>
            <w:pPr>
              <w:pStyle w:val="TableBody"/>
            </w:pPr>
            <w:r>
              <w:t>Тесты хранятся в репозитории, а не только в истории MCP</w:t>
            </w:r>
          </w:p>
        </w:tc>
      </w:tr>
      <w:tr>
        <w:trPr>
          <w:cantSplit/>
        </w:trPr>
        <w:tc>
          <w:tcPr>
            <w:tcW w:type="dxa" w:w="2592"/>
            <w:vAlign w:val="center"/>
            <w:tcMar>
              <w:top w:w="70" w:type="dxa"/>
              <w:left w:w="70" w:type="dxa"/>
              <w:bottom w:w="70" w:type="dxa"/>
              <w:right w:w="70" w:type="dxa"/>
            </w:tcMar>
          </w:tcPr>
          <w:p>
            <w:pPr>
              <w:pStyle w:val="TableBody"/>
            </w:pPr>
            <w:r>
              <w:t>Удалённая отладка Chrome Android</w:t>
            </w:r>
          </w:p>
        </w:tc>
        <w:tc>
          <w:tcPr>
            <w:tcW w:type="dxa" w:w="3888"/>
            <w:vAlign w:val="center"/>
            <w:tcMar>
              <w:top w:w="70" w:type="dxa"/>
              <w:left w:w="70" w:type="dxa"/>
              <w:bottom w:w="70" w:type="dxa"/>
              <w:right w:w="70" w:type="dxa"/>
            </w:tcMar>
          </w:tcPr>
          <w:p>
            <w:pPr>
              <w:pStyle w:val="TableBody"/>
            </w:pPr>
            <w:r>
              <w:t>Проверять настоящий телефон</w:t>
            </w:r>
          </w:p>
        </w:tc>
        <w:tc>
          <w:tcPr>
            <w:tcW w:type="dxa" w:w="3600"/>
            <w:vAlign w:val="center"/>
            <w:tcMar>
              <w:top w:w="70" w:type="dxa"/>
              <w:left w:w="70" w:type="dxa"/>
              <w:bottom w:w="70" w:type="dxa"/>
              <w:right w:w="70" w:type="dxa"/>
            </w:tcMar>
          </w:tcPr>
          <w:p>
            <w:pPr>
              <w:pStyle w:val="TableBody"/>
            </w:pPr>
            <w:r>
              <w:t>Используется разработчиком через разрешённое подключение</w:t>
            </w:r>
          </w:p>
        </w:tc>
      </w:tr>
    </w:tbl>
    <w:p>
      <w:pPr>
        <w:spacing w:after="0"/>
      </w:pPr>
    </w:p>
    <w:p>
      <w:r>
        <w:rPr>
          <w:b/>
        </w:rPr>
        <w:t>DEV-008.</w:t>
      </w:r>
      <w:r>
        <w:t xml:space="preserve"> Playwright MCP и DevTools MCP не должны одновременно управлять одной вкладкой без координации. Учётные данные хранятся в переменных окружения/защищённом хранилище, не в общедоступном </w:t>
      </w:r>
      <w:r>
        <w:rPr>
          <w:rFonts w:ascii="DejaVu Sans Mono" w:hAnsi="DejaVu Sans Mono"/>
          <w:sz w:val="18"/>
        </w:rPr>
        <w:t>.cursor/mcp.json</w:t>
      </w:r>
      <w:r>
        <w:t>. Подключение инструмента не заменяет написание воспроизводимого теста. [S20–S24, S28]</w:t>
      </w:r>
    </w:p>
    <w:p>
      <w:r>
        <w:rPr>
          <w:b/>
        </w:rPr>
        <w:t>DEV-009.</w:t>
      </w:r>
      <w:r>
        <w:t xml:space="preserve"> Стандартный цикл задачи: выбрать небольшую законченную функцию; определить входы, выходы и критерий; попросить Cursor внести изменения; проверить diff; запустить относящиеся к функции тесты; проверить мобильный сценарий; сохранить коммит с кодами требований. «Сделай всё приложение по ТЗ» одним запросом не является проверяемым планом разработки.</w:t>
      </w:r>
    </w:p>
    <w:p>
      <w:r>
        <w:rPr>
          <w:b/>
        </w:rPr>
        <w:t>DEV-010.</w:t>
      </w:r>
      <w:r>
        <w:t xml:space="preserve"> Пример задания Cursor: «Реализуй GEO-001–GEO-004: редактор замкнутого контура и числовых размеров. Не меняй серверный расчёт. Используй общую модель координат. Покрой тестами самопересечение, незамкнутый контур, фиксированные длины и десятичную запятую. Покажи, какие критерии выполнены и какие файлы изменены». Такие задания последовательно связываются в сквозные функции.</w:t>
      </w:r>
    </w:p>
    <w:p>
      <w:r>
        <w:rPr>
          <w:b/>
        </w:rPr>
        <w:t>DEV-011.</w:t>
      </w:r>
      <w:r>
        <w:t xml:space="preserve"> Базовые команды проекта должны быть единообразными: установка зависимостей; запуск локального окружения; lint; проверка типов; unit; API integration; e2e; engine regression; сборка. Сценарии CI используют те же команды. Успешное открытие главной страницы не считается успешной сборкой всего продукта.</w:t>
      </w:r>
    </w:p>
    <w:p>
      <w:r>
        <w:rPr>
          <w:b/>
        </w:rPr>
        <w:t>DEV-012.</w:t>
      </w:r>
      <w:r>
        <w:t xml:space="preserve"> В поставку включить README запуска, OpenAPI, JSON Schema, решения по архитектуре, каталог единиц, методику расчёта, реестр ограничений, набор эталонов, инструкции резервирования/восстановления и лицензии. Пользователь без знаний внутреннего чата Cursor должен суметь установить сервис и повторить контрольный расчёт.</w:t>
      </w:r>
    </w:p>
    <w:p>
      <w:bookmarkStart w:id="27" w:name="section_27"/>
      <w:pPr>
        <w:pStyle w:val="Heading1"/>
      </w:pPr>
      <w:r>
        <w:t>27 Испытания и проверяемые критерии приёмки</w:t>
      </w:r>
      <w:bookmarkEnd w:id="27"/>
    </w:p>
    <w:p>
      <w:r>
        <w:rPr>
          <w:b/>
        </w:rPr>
        <w:t>QA-001.</w:t>
      </w:r>
      <w:r>
        <w:t xml:space="preserve"> Каждое требование связано минимум с проверкой: автоматическим тестом, протоколом ручного сценария, проверкой документации или нагрузочным измерением. Матрица содержит код требования, способ, результат, версию и ссылку на доказательство. Наличие экрана без работающего поведения не закрывает требование.</w:t>
      </w:r>
    </w:p>
    <w:p>
      <w:r>
        <w:rPr>
          <w:b/>
        </w:rPr>
        <w:t>QA-002.</w:t>
      </w:r>
      <w:r>
        <w:t xml:space="preserve"> Модульные тесты проверяют геометрию, единицы, спектры, энергетические суммы, координаты, маски и версии. Интеграционные проверяют API, базу, очередь, хранилище и адаптер. Сквозные проходят весь путь с мобильного экрана до реального результата. Регрессия ядра выполняется отдельно из-за стоимости.</w:t>
      </w:r>
    </w:p>
    <w:p>
      <w:r>
        <w:rPr>
          <w:b/>
        </w:rPr>
        <w:t>QA-003.</w:t>
      </w:r>
      <w:r>
        <w:t xml:space="preserve"> Минимальные математические проверки: два равных независимых уровня дают прибавку 3,0103 дБ; удвоение расстояния в соответствующих условиях свободного поля даёт уменьшение 6,0206 дБ; разделение источника на N точек сохраняет мощность; A-коррекция применяется один раз; уменьшение всех мощностей на 10 дБ при неизменной линейной задаче уменьшает итог на 10 дБ.</w:t>
      </w:r>
    </w:p>
    <w:p>
      <w:r>
        <w:rPr>
          <w:b/>
        </w:rPr>
        <w:t>QA-004.</w:t>
      </w:r>
      <w:r>
        <w:t xml:space="preserve"> Проверки воздействия: при постоянном уровне нормирование 8-часового пребывания возвращает тот же уровень; удвоение времени даёт +3,0103 дБ для LEX,8h; одинаковые интервалы можно объединить без изменения результата. Маршрут и несколько одновременно работающих машин не удваивают время смены.</w:t>
      </w:r>
    </w:p>
    <w:p>
      <w:r>
        <w:rPr>
          <w:b/>
        </w:rPr>
        <w:t>QA-005.</w:t>
      </w:r>
      <w:r>
        <w:t xml:space="preserve"> Геометрические тесты включают вогнутый контур, внутреннее помещение, общую стену, проём, наклонную крышу, почти совпавшие грани, объект на границе, источник внутри твёрдого тела и перемещение рабочей точки вместе со станком. После сериализации и импорта координаты и связи сохраняются.</w:t>
      </w:r>
    </w:p>
    <w:p>
      <w:r>
        <w:rPr>
          <w:b/>
        </w:rPr>
        <w:t>QA-006.</w:t>
      </w:r>
      <w:r>
        <w:t xml:space="preserve"> Для 3D проверить совпадение положения источника и приёмника на плане, сбоку, в перспективе и на карте. Сечение не должно зеркалиться при преобразовании осей. Скрытие потолка для камеры не меняет snapshotHash физических данных. Подпись материала и его фактическое назначение совпадают.</w:t>
      </w:r>
    </w:p>
    <w:p>
      <w:r>
        <w:rPr>
          <w:b/>
        </w:rPr>
        <w:t>QA-007.</w:t>
      </w:r>
      <w:r>
        <w:t xml:space="preserve"> Для результатов проверить неизвестную/нулевую статистику, запрещённую интерполяцию через стену, разные воздушные области, режимы палитры и шкалы, единицы, экспорт, округление и совпадение контрольной точки с рассчитанным приёмником. Изменение высоты сечения действительно меняет выборку по Z.</w:t>
      </w:r>
    </w:p>
    <w:p>
      <w:r>
        <w:rPr>
          <w:b/>
        </w:rPr>
        <w:t>QA-008.</w:t>
      </w:r>
      <w:r>
        <w:t xml:space="preserve"> Отказоустойчивость проверяется принудительным завершением рабочего процесса, перезапуском брокера, временным отказом хранилища, потерей сети телефона, повторной отправкой, отменой и истечением лимита. Не должно появляться двух списаний, двух финальных результатов одной попытки или навечно зависшего статуса без объяснения.</w:t>
      </w:r>
    </w:p>
    <w:p>
      <w:pPr>
        <w:pStyle w:val="Heading2"/>
      </w:pPr>
      <w:r>
        <w:t>Обязательные сквозные сценарии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5760"/>
      </w:tblGrid>
      <w:tr>
        <w:trPr>
          <w:cantSplit/>
          <w:tblHeader/>
        </w:trPr>
        <w:tc>
          <w:tcPr>
            <w:tcW w:type="dxa" w:w="936"/>
            <w:vAlign w:val="center"/>
            <w:shd w:fill="303030"/>
            <w:tcMar>
              <w:top w:w="70" w:type="dxa"/>
              <w:left w:w="70" w:type="dxa"/>
              <w:bottom w:w="70" w:type="dxa"/>
              <w:right w:w="70" w:type="dxa"/>
            </w:tcMar>
          </w:tcPr>
          <w:p>
            <w:pPr>
              <w:pStyle w:val="TableBody"/>
            </w:pPr>
            <w:r>
              <w:rPr>
                <w:b/>
                <w:color w:val="FFFFFF"/>
              </w:rPr>
              <w:t>Код</w:t>
            </w:r>
          </w:p>
        </w:tc>
        <w:tc>
          <w:tcPr>
            <w:tcW w:type="dxa" w:w="3384"/>
            <w:vAlign w:val="center"/>
            <w:shd w:fill="303030"/>
            <w:tcMar>
              <w:top w:w="70" w:type="dxa"/>
              <w:left w:w="70" w:type="dxa"/>
              <w:bottom w:w="70" w:type="dxa"/>
              <w:right w:w="70" w:type="dxa"/>
            </w:tcMar>
          </w:tcPr>
          <w:p>
            <w:pPr>
              <w:pStyle w:val="TableBody"/>
            </w:pPr>
            <w:r>
              <w:rPr>
                <w:b/>
                <w:color w:val="FFFFFF"/>
              </w:rPr>
              <w:t>Действие</w:t>
            </w:r>
          </w:p>
        </w:tc>
        <w:tc>
          <w:tcPr>
            <w:tcW w:type="dxa" w:w="5760"/>
            <w:vAlign w:val="center"/>
            <w:shd w:fill="303030"/>
            <w:tcMar>
              <w:top w:w="70" w:type="dxa"/>
              <w:left w:w="70" w:type="dxa"/>
              <w:bottom w:w="70" w:type="dxa"/>
              <w:right w:w="70" w:type="dxa"/>
            </w:tcMar>
          </w:tcPr>
          <w:p>
            <w:pPr>
              <w:pStyle w:val="TableBody"/>
            </w:pPr>
            <w:r>
              <w:rPr>
                <w:b/>
                <w:color w:val="FFFFFF"/>
              </w:rPr>
              <w:t>Условие успешной приёмки</w:t>
            </w:r>
          </w:p>
        </w:tc>
      </w:tr>
      <w:tr>
        <w:trPr>
          <w:cantSplit/>
        </w:trPr>
        <w:tc>
          <w:tcPr>
            <w:tcW w:type="dxa" w:w="936"/>
            <w:vAlign w:val="center"/>
            <w:tcMar>
              <w:top w:w="70" w:type="dxa"/>
              <w:left w:w="70" w:type="dxa"/>
              <w:bottom w:w="70" w:type="dxa"/>
              <w:right w:w="70" w:type="dxa"/>
            </w:tcMar>
          </w:tcPr>
          <w:p>
            <w:pPr>
              <w:pStyle w:val="TableBody"/>
            </w:pPr>
            <w:r>
              <w:t>AC-01</w:t>
            </w:r>
          </w:p>
        </w:tc>
        <w:tc>
          <w:tcPr>
            <w:tcW w:type="dxa" w:w="3384"/>
            <w:vAlign w:val="center"/>
            <w:tcMar>
              <w:top w:w="70" w:type="dxa"/>
              <w:left w:w="70" w:type="dxa"/>
              <w:bottom w:w="70" w:type="dxa"/>
              <w:right w:w="70" w:type="dxa"/>
            </w:tcMar>
          </w:tcPr>
          <w:p>
            <w:pPr>
              <w:pStyle w:val="TableBody"/>
            </w:pPr>
            <w:r>
              <w:t>Создать неправильное помещение с телефона</w:t>
            </w:r>
          </w:p>
        </w:tc>
        <w:tc>
          <w:tcPr>
            <w:tcW w:type="dxa" w:w="5760"/>
            <w:vAlign w:val="center"/>
            <w:tcMar>
              <w:top w:w="70" w:type="dxa"/>
              <w:left w:w="70" w:type="dxa"/>
              <w:bottom w:w="70" w:type="dxa"/>
              <w:right w:w="70" w:type="dxa"/>
            </w:tcMar>
          </w:tcPr>
          <w:p>
            <w:pPr>
              <w:pStyle w:val="TableBody"/>
            </w:pPr>
            <w:r>
              <w:t>Контур замкнут, размеры проверены, 3D соответствует плану; неопределённые углы не угаданы</w:t>
            </w:r>
          </w:p>
        </w:tc>
      </w:tr>
      <w:tr>
        <w:trPr>
          <w:cantSplit/>
        </w:trPr>
        <w:tc>
          <w:tcPr>
            <w:tcW w:type="dxa" w:w="936"/>
            <w:vAlign w:val="center"/>
            <w:shd w:fill="F3F3F3"/>
            <w:tcMar>
              <w:top w:w="70" w:type="dxa"/>
              <w:left w:w="70" w:type="dxa"/>
              <w:bottom w:w="70" w:type="dxa"/>
              <w:right w:w="70" w:type="dxa"/>
            </w:tcMar>
          </w:tcPr>
          <w:p>
            <w:pPr>
              <w:pStyle w:val="TableBody"/>
            </w:pPr>
            <w:r>
              <w:t>AC-02</w:t>
            </w:r>
          </w:p>
        </w:tc>
        <w:tc>
          <w:tcPr>
            <w:tcW w:type="dxa" w:w="3384"/>
            <w:vAlign w:val="center"/>
            <w:shd w:fill="F3F3F3"/>
            <w:tcMar>
              <w:top w:w="70" w:type="dxa"/>
              <w:left w:w="70" w:type="dxa"/>
              <w:bottom w:w="70" w:type="dxa"/>
              <w:right w:w="70" w:type="dxa"/>
            </w:tcMar>
          </w:tcPr>
          <w:p>
            <w:pPr>
              <w:pStyle w:val="TableBody"/>
            </w:pPr>
            <w:r>
              <w:t>Ввести только длины недостаточно определённого контура</w:t>
            </w:r>
          </w:p>
        </w:tc>
        <w:tc>
          <w:tcPr>
            <w:tcW w:type="dxa" w:w="5760"/>
            <w:vAlign w:val="center"/>
            <w:shd w:fill="F3F3F3"/>
            <w:tcMar>
              <w:top w:w="70" w:type="dxa"/>
              <w:left w:w="70" w:type="dxa"/>
              <w:bottom w:w="70" w:type="dxa"/>
              <w:right w:w="70" w:type="dxa"/>
            </w:tcMar>
          </w:tcPr>
          <w:p>
            <w:pPr>
              <w:pStyle w:val="TableBody"/>
            </w:pPr>
            <w:r>
              <w:t>Запрошено недостающее направление/диагональ; расчёт невозможен до определения формы</w:t>
            </w:r>
          </w:p>
        </w:tc>
      </w:tr>
      <w:tr>
        <w:trPr>
          <w:cantSplit/>
        </w:trPr>
        <w:tc>
          <w:tcPr>
            <w:tcW w:type="dxa" w:w="936"/>
            <w:vAlign w:val="center"/>
            <w:tcMar>
              <w:top w:w="70" w:type="dxa"/>
              <w:left w:w="70" w:type="dxa"/>
              <w:bottom w:w="70" w:type="dxa"/>
              <w:right w:w="70" w:type="dxa"/>
            </w:tcMar>
          </w:tcPr>
          <w:p>
            <w:pPr>
              <w:pStyle w:val="TableBody"/>
            </w:pPr>
            <w:r>
              <w:t>AC-03</w:t>
            </w:r>
          </w:p>
        </w:tc>
        <w:tc>
          <w:tcPr>
            <w:tcW w:type="dxa" w:w="3384"/>
            <w:vAlign w:val="center"/>
            <w:tcMar>
              <w:top w:w="70" w:type="dxa"/>
              <w:left w:w="70" w:type="dxa"/>
              <w:bottom w:w="70" w:type="dxa"/>
              <w:right w:w="70" w:type="dxa"/>
            </w:tcMar>
          </w:tcPr>
          <w:p>
            <w:pPr>
              <w:pStyle w:val="TableBody"/>
            </w:pPr>
            <w:r>
              <w:t>Добавить стеллаж и заполненную зону</w:t>
            </w:r>
          </w:p>
        </w:tc>
        <w:tc>
          <w:tcPr>
            <w:tcW w:type="dxa" w:w="5760"/>
            <w:vAlign w:val="center"/>
            <w:tcMar>
              <w:top w:w="70" w:type="dxa"/>
              <w:left w:w="70" w:type="dxa"/>
              <w:bottom w:w="70" w:type="dxa"/>
              <w:right w:w="70" w:type="dxa"/>
            </w:tcMar>
          </w:tcPr>
          <w:p>
            <w:pPr>
              <w:pStyle w:val="TableBody"/>
            </w:pPr>
            <w:r>
              <w:t>Двойной учёт выявлен; после выбора режима модель проходит проверку</w:t>
            </w:r>
          </w:p>
        </w:tc>
      </w:tr>
      <w:tr>
        <w:trPr>
          <w:cantSplit/>
        </w:trPr>
        <w:tc>
          <w:tcPr>
            <w:tcW w:type="dxa" w:w="936"/>
            <w:vAlign w:val="center"/>
            <w:shd w:fill="F3F3F3"/>
            <w:tcMar>
              <w:top w:w="70" w:type="dxa"/>
              <w:left w:w="70" w:type="dxa"/>
              <w:bottom w:w="70" w:type="dxa"/>
              <w:right w:w="70" w:type="dxa"/>
            </w:tcMar>
          </w:tcPr>
          <w:p>
            <w:pPr>
              <w:pStyle w:val="TableBody"/>
            </w:pPr>
            <w:r>
              <w:t>AC-04</w:t>
            </w:r>
          </w:p>
        </w:tc>
        <w:tc>
          <w:tcPr>
            <w:tcW w:type="dxa" w:w="3384"/>
            <w:vAlign w:val="center"/>
            <w:shd w:fill="F3F3F3"/>
            <w:tcMar>
              <w:top w:w="70" w:type="dxa"/>
              <w:left w:w="70" w:type="dxa"/>
              <w:bottom w:w="70" w:type="dxa"/>
              <w:right w:w="70" w:type="dxa"/>
            </w:tcMar>
          </w:tcPr>
          <w:p>
            <w:pPr>
              <w:pStyle w:val="TableBody"/>
            </w:pPr>
            <w:r>
              <w:t>Ввести станок с неизвестным типом «90 дБ»</w:t>
            </w:r>
          </w:p>
        </w:tc>
        <w:tc>
          <w:tcPr>
            <w:tcW w:type="dxa" w:w="5760"/>
            <w:vAlign w:val="center"/>
            <w:shd w:fill="F3F3F3"/>
            <w:tcMar>
              <w:top w:w="70" w:type="dxa"/>
              <w:left w:w="70" w:type="dxa"/>
              <w:bottom w:w="70" w:type="dxa"/>
              <w:right w:w="70" w:type="dxa"/>
            </w:tcMar>
          </w:tcPr>
          <w:p>
            <w:pPr>
              <w:pStyle w:val="TableBody"/>
            </w:pPr>
            <w:r>
              <w:t>Программа требует определить величину и условия; не использует число как Lw</w:t>
            </w:r>
          </w:p>
        </w:tc>
      </w:tr>
      <w:tr>
        <w:trPr>
          <w:cantSplit/>
        </w:trPr>
        <w:tc>
          <w:tcPr>
            <w:tcW w:type="dxa" w:w="936"/>
            <w:vAlign w:val="center"/>
            <w:tcMar>
              <w:top w:w="70" w:type="dxa"/>
              <w:left w:w="70" w:type="dxa"/>
              <w:bottom w:w="70" w:type="dxa"/>
              <w:right w:w="70" w:type="dxa"/>
            </w:tcMar>
          </w:tcPr>
          <w:p>
            <w:pPr>
              <w:pStyle w:val="TableBody"/>
            </w:pPr>
            <w:r>
              <w:t>AC-05</w:t>
            </w:r>
          </w:p>
        </w:tc>
        <w:tc>
          <w:tcPr>
            <w:tcW w:type="dxa" w:w="3384"/>
            <w:vAlign w:val="center"/>
            <w:tcMar>
              <w:top w:w="70" w:type="dxa"/>
              <w:left w:w="70" w:type="dxa"/>
              <w:bottom w:w="70" w:type="dxa"/>
              <w:right w:w="70" w:type="dxa"/>
            </w:tcMar>
          </w:tcPr>
          <w:p>
            <w:pPr>
              <w:pStyle w:val="TableBody"/>
            </w:pPr>
            <w:r>
              <w:t>Задать рабочее место на 1,2 м и повернуть станок</w:t>
            </w:r>
          </w:p>
        </w:tc>
        <w:tc>
          <w:tcPr>
            <w:tcW w:type="dxa" w:w="5760"/>
            <w:vAlign w:val="center"/>
            <w:tcMar>
              <w:top w:w="70" w:type="dxa"/>
              <w:left w:w="70" w:type="dxa"/>
              <w:bottom w:w="70" w:type="dxa"/>
              <w:right w:w="70" w:type="dxa"/>
            </w:tcMar>
          </w:tcPr>
          <w:p>
            <w:pPr>
              <w:pStyle w:val="TableBody"/>
            </w:pPr>
            <w:r>
              <w:t>Расстояние, выбранная сторона, высота и режим привязки соблюдены</w:t>
            </w:r>
          </w:p>
        </w:tc>
      </w:tr>
      <w:tr>
        <w:trPr>
          <w:cantSplit/>
        </w:trPr>
        <w:tc>
          <w:tcPr>
            <w:tcW w:type="dxa" w:w="936"/>
            <w:vAlign w:val="center"/>
            <w:shd w:fill="F3F3F3"/>
            <w:tcMar>
              <w:top w:w="70" w:type="dxa"/>
              <w:left w:w="70" w:type="dxa"/>
              <w:bottom w:w="70" w:type="dxa"/>
              <w:right w:w="70" w:type="dxa"/>
            </w:tcMar>
          </w:tcPr>
          <w:p>
            <w:pPr>
              <w:pStyle w:val="TableBody"/>
            </w:pPr>
            <w:r>
              <w:t>AC-06</w:t>
            </w:r>
          </w:p>
        </w:tc>
        <w:tc>
          <w:tcPr>
            <w:tcW w:type="dxa" w:w="3384"/>
            <w:vAlign w:val="center"/>
            <w:shd w:fill="F3F3F3"/>
            <w:tcMar>
              <w:top w:w="70" w:type="dxa"/>
              <w:left w:w="70" w:type="dxa"/>
              <w:bottom w:w="70" w:type="dxa"/>
              <w:right w:w="70" w:type="dxa"/>
            </w:tcMar>
          </w:tcPr>
          <w:p>
            <w:pPr>
              <w:pStyle w:val="TableBody"/>
            </w:pPr>
            <w:r>
              <w:t>Отправить реальный расчёт и закрыть браузер</w:t>
            </w:r>
          </w:p>
        </w:tc>
        <w:tc>
          <w:tcPr>
            <w:tcW w:type="dxa" w:w="5760"/>
            <w:vAlign w:val="center"/>
            <w:shd w:fill="F3F3F3"/>
            <w:tcMar>
              <w:top w:w="70" w:type="dxa"/>
              <w:left w:w="70" w:type="dxa"/>
              <w:bottom w:w="70" w:type="dxa"/>
              <w:right w:w="70" w:type="dxa"/>
            </w:tcMar>
          </w:tcPr>
          <w:p>
            <w:pPr>
              <w:pStyle w:val="TableBody"/>
            </w:pPr>
            <w:r>
              <w:t>После входа виден завершённый jobId и результат той же ревизии</w:t>
            </w:r>
          </w:p>
        </w:tc>
      </w:tr>
      <w:tr>
        <w:trPr>
          <w:cantSplit/>
        </w:trPr>
        <w:tc>
          <w:tcPr>
            <w:tcW w:type="dxa" w:w="936"/>
            <w:vAlign w:val="center"/>
            <w:tcMar>
              <w:top w:w="70" w:type="dxa"/>
              <w:left w:w="70" w:type="dxa"/>
              <w:bottom w:w="70" w:type="dxa"/>
              <w:right w:w="70" w:type="dxa"/>
            </w:tcMar>
          </w:tcPr>
          <w:p>
            <w:pPr>
              <w:pStyle w:val="TableBody"/>
            </w:pPr>
            <w:r>
              <w:t>AC-07</w:t>
            </w:r>
          </w:p>
        </w:tc>
        <w:tc>
          <w:tcPr>
            <w:tcW w:type="dxa" w:w="3384"/>
            <w:vAlign w:val="center"/>
            <w:tcMar>
              <w:top w:w="70" w:type="dxa"/>
              <w:left w:w="70" w:type="dxa"/>
              <w:bottom w:w="70" w:type="dxa"/>
              <w:right w:w="70" w:type="dxa"/>
            </w:tcMar>
          </w:tcPr>
          <w:p>
            <w:pPr>
              <w:pStyle w:val="TableBody"/>
            </w:pPr>
            <w:r>
              <w:t>Изменить стену во время расчёта</w:t>
            </w:r>
          </w:p>
        </w:tc>
        <w:tc>
          <w:tcPr>
            <w:tcW w:type="dxa" w:w="5760"/>
            <w:vAlign w:val="center"/>
            <w:tcMar>
              <w:top w:w="70" w:type="dxa"/>
              <w:left w:w="70" w:type="dxa"/>
              <w:bottom w:w="70" w:type="dxa"/>
              <w:right w:w="70" w:type="dxa"/>
            </w:tcMar>
          </w:tcPr>
          <w:p>
            <w:pPr>
              <w:pStyle w:val="TableBody"/>
            </w:pPr>
            <w:r>
              <w:t>Старый результат привязан к старой ревизии и помечен неактуальным для новой</w:t>
            </w:r>
          </w:p>
        </w:tc>
      </w:tr>
      <w:tr>
        <w:trPr>
          <w:cantSplit/>
        </w:trPr>
        <w:tc>
          <w:tcPr>
            <w:tcW w:type="dxa" w:w="936"/>
            <w:vAlign w:val="center"/>
            <w:shd w:fill="F3F3F3"/>
            <w:tcMar>
              <w:top w:w="70" w:type="dxa"/>
              <w:left w:w="70" w:type="dxa"/>
              <w:bottom w:w="70" w:type="dxa"/>
              <w:right w:w="70" w:type="dxa"/>
            </w:tcMar>
          </w:tcPr>
          <w:p>
            <w:pPr>
              <w:pStyle w:val="TableBody"/>
            </w:pPr>
            <w:r>
              <w:t>AC-08</w:t>
            </w:r>
          </w:p>
        </w:tc>
        <w:tc>
          <w:tcPr>
            <w:tcW w:type="dxa" w:w="3384"/>
            <w:vAlign w:val="center"/>
            <w:shd w:fill="F3F3F3"/>
            <w:tcMar>
              <w:top w:w="70" w:type="dxa"/>
              <w:left w:w="70" w:type="dxa"/>
              <w:bottom w:w="70" w:type="dxa"/>
              <w:right w:w="70" w:type="dxa"/>
            </w:tcMar>
          </w:tcPr>
          <w:p>
            <w:pPr>
              <w:pStyle w:val="TableBody"/>
            </w:pPr>
            <w:r>
              <w:t>Повернуть камеру и скрыть крышу</w:t>
            </w:r>
          </w:p>
        </w:tc>
        <w:tc>
          <w:tcPr>
            <w:tcW w:type="dxa" w:w="5760"/>
            <w:vAlign w:val="center"/>
            <w:shd w:fill="F3F3F3"/>
            <w:tcMar>
              <w:top w:w="70" w:type="dxa"/>
              <w:left w:w="70" w:type="dxa"/>
              <w:bottom w:w="70" w:type="dxa"/>
              <w:right w:w="70" w:type="dxa"/>
            </w:tcMar>
          </w:tcPr>
          <w:p>
            <w:pPr>
              <w:pStyle w:val="TableBody"/>
            </w:pPr>
            <w:r>
              <w:t>Нет нового акустического задания; результаты не меняются</w:t>
            </w:r>
          </w:p>
        </w:tc>
      </w:tr>
      <w:tr>
        <w:trPr>
          <w:cantSplit/>
        </w:trPr>
        <w:tc>
          <w:tcPr>
            <w:tcW w:type="dxa" w:w="936"/>
            <w:vAlign w:val="center"/>
            <w:tcMar>
              <w:top w:w="70" w:type="dxa"/>
              <w:left w:w="70" w:type="dxa"/>
              <w:bottom w:w="70" w:type="dxa"/>
              <w:right w:w="70" w:type="dxa"/>
            </w:tcMar>
          </w:tcPr>
          <w:p>
            <w:pPr>
              <w:pStyle w:val="TableBody"/>
            </w:pPr>
            <w:r>
              <w:t>AC-09</w:t>
            </w:r>
          </w:p>
        </w:tc>
        <w:tc>
          <w:tcPr>
            <w:tcW w:type="dxa" w:w="3384"/>
            <w:vAlign w:val="center"/>
            <w:tcMar>
              <w:top w:w="70" w:type="dxa"/>
              <w:left w:w="70" w:type="dxa"/>
              <w:bottom w:w="70" w:type="dxa"/>
              <w:right w:w="70" w:type="dxa"/>
            </w:tcMar>
          </w:tcPr>
          <w:p>
            <w:pPr>
              <w:pStyle w:val="TableBody"/>
            </w:pPr>
            <w:r>
              <w:t>Открыть горизонтальный и вертикальный срезы</w:t>
            </w:r>
          </w:p>
        </w:tc>
        <w:tc>
          <w:tcPr>
            <w:tcW w:type="dxa" w:w="5760"/>
            <w:vAlign w:val="center"/>
            <w:tcMar>
              <w:top w:w="70" w:type="dxa"/>
              <w:left w:w="70" w:type="dxa"/>
              <w:bottom w:w="70" w:type="dxa"/>
              <w:right w:w="70" w:type="dxa"/>
            </w:tcMar>
          </w:tcPr>
          <w:p>
            <w:pPr>
              <w:pStyle w:val="TableBody"/>
            </w:pPr>
            <w:r>
              <w:t>Числа извлечены из соответствующих 3D-данных, положение среза видно</w:t>
            </w:r>
          </w:p>
        </w:tc>
      </w:tr>
      <w:tr>
        <w:trPr>
          <w:cantSplit/>
        </w:trPr>
        <w:tc>
          <w:tcPr>
            <w:tcW w:type="dxa" w:w="936"/>
            <w:vAlign w:val="center"/>
            <w:shd w:fill="F3F3F3"/>
            <w:tcMar>
              <w:top w:w="70" w:type="dxa"/>
              <w:left w:w="70" w:type="dxa"/>
              <w:bottom w:w="70" w:type="dxa"/>
              <w:right w:w="70" w:type="dxa"/>
            </w:tcMar>
          </w:tcPr>
          <w:p>
            <w:pPr>
              <w:pStyle w:val="TableBody"/>
            </w:pPr>
            <w:r>
              <w:t>AC-10</w:t>
            </w:r>
          </w:p>
        </w:tc>
        <w:tc>
          <w:tcPr>
            <w:tcW w:type="dxa" w:w="3384"/>
            <w:vAlign w:val="center"/>
            <w:shd w:fill="F3F3F3"/>
            <w:tcMar>
              <w:top w:w="70" w:type="dxa"/>
              <w:left w:w="70" w:type="dxa"/>
              <w:bottom w:w="70" w:type="dxa"/>
              <w:right w:w="70" w:type="dxa"/>
            </w:tcMar>
          </w:tcPr>
          <w:p>
            <w:pPr>
              <w:pStyle w:val="TableBody"/>
            </w:pPr>
            <w:r>
              <w:t>Запросить нерассчитанный участок объёма</w:t>
            </w:r>
          </w:p>
        </w:tc>
        <w:tc>
          <w:tcPr>
            <w:tcW w:type="dxa" w:w="5760"/>
            <w:vAlign w:val="center"/>
            <w:shd w:fill="F3F3F3"/>
            <w:tcMar>
              <w:top w:w="70" w:type="dxa"/>
              <w:left w:w="70" w:type="dxa"/>
              <w:bottom w:w="70" w:type="dxa"/>
              <w:right w:w="70" w:type="dxa"/>
            </w:tcMar>
          </w:tcPr>
          <w:p>
            <w:pPr>
              <w:pStyle w:val="TableBody"/>
            </w:pPr>
            <w:r>
              <w:t>Предложен дополнительный расчёт; нет выдуманной интерполяции</w:t>
            </w:r>
          </w:p>
        </w:tc>
      </w:tr>
      <w:tr>
        <w:trPr>
          <w:cantSplit/>
        </w:trPr>
        <w:tc>
          <w:tcPr>
            <w:tcW w:type="dxa" w:w="936"/>
            <w:vAlign w:val="center"/>
            <w:tcMar>
              <w:top w:w="70" w:type="dxa"/>
              <w:left w:w="70" w:type="dxa"/>
              <w:bottom w:w="70" w:type="dxa"/>
              <w:right w:w="70" w:type="dxa"/>
            </w:tcMar>
          </w:tcPr>
          <w:p>
            <w:pPr>
              <w:pStyle w:val="TableBody"/>
            </w:pPr>
            <w:r>
              <w:t>AC-11</w:t>
            </w:r>
          </w:p>
        </w:tc>
        <w:tc>
          <w:tcPr>
            <w:tcW w:type="dxa" w:w="3384"/>
            <w:vAlign w:val="center"/>
            <w:tcMar>
              <w:top w:w="70" w:type="dxa"/>
              <w:left w:w="70" w:type="dxa"/>
              <w:bottom w:w="70" w:type="dxa"/>
              <w:right w:w="70" w:type="dxa"/>
            </w:tcMar>
          </w:tcPr>
          <w:p>
            <w:pPr>
              <w:pStyle w:val="TableBody"/>
            </w:pPr>
            <w:r>
              <w:t>Сравнить потолок до и после облицовки</w:t>
            </w:r>
          </w:p>
        </w:tc>
        <w:tc>
          <w:tcPr>
            <w:tcW w:type="dxa" w:w="5760"/>
            <w:vAlign w:val="center"/>
            <w:tcMar>
              <w:top w:w="70" w:type="dxa"/>
              <w:left w:w="70" w:type="dxa"/>
              <w:bottom w:w="70" w:type="dxa"/>
              <w:right w:w="70" w:type="dxa"/>
            </w:tcMar>
          </w:tcPr>
          <w:p>
            <w:pPr>
              <w:pStyle w:val="TableBody"/>
            </w:pPr>
            <w:r>
              <w:t>Одинаковая шкала, общие точки, корректная ΔL и сведения о свойствах</w:t>
            </w:r>
          </w:p>
        </w:tc>
      </w:tr>
      <w:tr>
        <w:trPr>
          <w:cantSplit/>
        </w:trPr>
        <w:tc>
          <w:tcPr>
            <w:tcW w:type="dxa" w:w="936"/>
            <w:vAlign w:val="center"/>
            <w:shd w:fill="F3F3F3"/>
            <w:tcMar>
              <w:top w:w="70" w:type="dxa"/>
              <w:left w:w="70" w:type="dxa"/>
              <w:bottom w:w="70" w:type="dxa"/>
              <w:right w:w="70" w:type="dxa"/>
            </w:tcMar>
          </w:tcPr>
          <w:p>
            <w:pPr>
              <w:pStyle w:val="TableBody"/>
            </w:pPr>
            <w:r>
              <w:t>AC-12</w:t>
            </w:r>
          </w:p>
        </w:tc>
        <w:tc>
          <w:tcPr>
            <w:tcW w:type="dxa" w:w="3384"/>
            <w:vAlign w:val="center"/>
            <w:shd w:fill="F3F3F3"/>
            <w:tcMar>
              <w:top w:w="70" w:type="dxa"/>
              <w:left w:w="70" w:type="dxa"/>
              <w:bottom w:w="70" w:type="dxa"/>
              <w:right w:w="70" w:type="dxa"/>
            </w:tcMar>
          </w:tcPr>
          <w:p>
            <w:pPr>
              <w:pStyle w:val="TableBody"/>
            </w:pPr>
            <w:r>
              <w:t>Подобрать мероприятия с ограниченным бюджетом</w:t>
            </w:r>
          </w:p>
        </w:tc>
        <w:tc>
          <w:tcPr>
            <w:tcW w:type="dxa" w:w="5760"/>
            <w:vAlign w:val="center"/>
            <w:shd w:fill="F3F3F3"/>
            <w:tcMar>
              <w:top w:w="70" w:type="dxa"/>
              <w:left w:w="70" w:type="dxa"/>
              <w:bottom w:w="70" w:type="dxa"/>
              <w:right w:w="70" w:type="dxa"/>
            </w:tcMar>
          </w:tcPr>
          <w:p>
            <w:pPr>
              <w:pStyle w:val="TableBody"/>
            </w:pPr>
            <w:r>
              <w:t>Все кандидаты соблюдают ограничения; финалисты пересчитаны и названы лучшими среди проверенных</w:t>
            </w:r>
          </w:p>
        </w:tc>
      </w:tr>
      <w:tr>
        <w:trPr>
          <w:cantSplit/>
        </w:trPr>
        <w:tc>
          <w:tcPr>
            <w:tcW w:type="dxa" w:w="936"/>
            <w:vAlign w:val="center"/>
            <w:tcMar>
              <w:top w:w="70" w:type="dxa"/>
              <w:left w:w="70" w:type="dxa"/>
              <w:bottom w:w="70" w:type="dxa"/>
              <w:right w:w="70" w:type="dxa"/>
            </w:tcMar>
          </w:tcPr>
          <w:p>
            <w:pPr>
              <w:pStyle w:val="TableBody"/>
            </w:pPr>
            <w:r>
              <w:t>AC-13</w:t>
            </w:r>
          </w:p>
        </w:tc>
        <w:tc>
          <w:tcPr>
            <w:tcW w:type="dxa" w:w="3384"/>
            <w:vAlign w:val="center"/>
            <w:tcMar>
              <w:top w:w="70" w:type="dxa"/>
              <w:left w:w="70" w:type="dxa"/>
              <w:bottom w:w="70" w:type="dxa"/>
              <w:right w:w="70" w:type="dxa"/>
            </w:tcMar>
          </w:tcPr>
          <w:p>
            <w:pPr>
              <w:pStyle w:val="TableBody"/>
            </w:pPr>
            <w:r>
              <w:t>Получить малые уровни за экраном</w:t>
            </w:r>
          </w:p>
        </w:tc>
        <w:tc>
          <w:tcPr>
            <w:tcW w:type="dxa" w:w="5760"/>
            <w:vAlign w:val="center"/>
            <w:tcMar>
              <w:top w:w="70" w:type="dxa"/>
              <w:left w:w="70" w:type="dxa"/>
              <w:bottom w:w="70" w:type="dxa"/>
              <w:right w:w="70" w:type="dxa"/>
            </w:tcMar>
          </w:tcPr>
          <w:p>
            <w:pPr>
              <w:pStyle w:val="TableBody"/>
            </w:pPr>
            <w:r>
              <w:t>Ограничение дифракции заметно; нет автоматического утверждения гарантированной защиты</w:t>
            </w:r>
          </w:p>
        </w:tc>
      </w:tr>
      <w:tr>
        <w:trPr>
          <w:cantSplit/>
        </w:trPr>
        <w:tc>
          <w:tcPr>
            <w:tcW w:type="dxa" w:w="936"/>
            <w:vAlign w:val="center"/>
            <w:shd w:fill="F3F3F3"/>
            <w:tcMar>
              <w:top w:w="70" w:type="dxa"/>
              <w:left w:w="70" w:type="dxa"/>
              <w:bottom w:w="70" w:type="dxa"/>
              <w:right w:w="70" w:type="dxa"/>
            </w:tcMar>
          </w:tcPr>
          <w:p>
            <w:pPr>
              <w:pStyle w:val="TableBody"/>
            </w:pPr>
            <w:r>
              <w:t>AC-14</w:t>
            </w:r>
          </w:p>
        </w:tc>
        <w:tc>
          <w:tcPr>
            <w:tcW w:type="dxa" w:w="3384"/>
            <w:vAlign w:val="center"/>
            <w:shd w:fill="F3F3F3"/>
            <w:tcMar>
              <w:top w:w="70" w:type="dxa"/>
              <w:left w:w="70" w:type="dxa"/>
              <w:bottom w:w="70" w:type="dxa"/>
              <w:right w:w="70" w:type="dxa"/>
            </w:tcMar>
          </w:tcPr>
          <w:p>
            <w:pPr>
              <w:pStyle w:val="TableBody"/>
            </w:pPr>
            <w:r>
              <w:t>Получить пустой/повреждённый выход SPPS при коде 0</w:t>
            </w:r>
          </w:p>
        </w:tc>
        <w:tc>
          <w:tcPr>
            <w:tcW w:type="dxa" w:w="5760"/>
            <w:vAlign w:val="center"/>
            <w:shd w:fill="F3F3F3"/>
            <w:tcMar>
              <w:top w:w="70" w:type="dxa"/>
              <w:left w:w="70" w:type="dxa"/>
              <w:bottom w:w="70" w:type="dxa"/>
              <w:right w:w="70" w:type="dxa"/>
            </w:tcMar>
          </w:tcPr>
          <w:p>
            <w:pPr>
              <w:pStyle w:val="TableBody"/>
            </w:pPr>
            <w:r>
              <w:t>Задание завершается ошибкой, карта не публикуется</w:t>
            </w:r>
          </w:p>
        </w:tc>
      </w:tr>
      <w:tr>
        <w:trPr>
          <w:cantSplit/>
        </w:trPr>
        <w:tc>
          <w:tcPr>
            <w:tcW w:type="dxa" w:w="936"/>
            <w:vAlign w:val="center"/>
            <w:tcMar>
              <w:top w:w="70" w:type="dxa"/>
              <w:left w:w="70" w:type="dxa"/>
              <w:bottom w:w="70" w:type="dxa"/>
              <w:right w:w="70" w:type="dxa"/>
            </w:tcMar>
          </w:tcPr>
          <w:p>
            <w:pPr>
              <w:pStyle w:val="TableBody"/>
            </w:pPr>
            <w:r>
              <w:t>AC-15</w:t>
            </w:r>
          </w:p>
        </w:tc>
        <w:tc>
          <w:tcPr>
            <w:tcW w:type="dxa" w:w="3384"/>
            <w:vAlign w:val="center"/>
            <w:tcMar>
              <w:top w:w="70" w:type="dxa"/>
              <w:left w:w="70" w:type="dxa"/>
              <w:bottom w:w="70" w:type="dxa"/>
              <w:right w:w="70" w:type="dxa"/>
            </w:tcMar>
          </w:tcPr>
          <w:p>
            <w:pPr>
              <w:pStyle w:val="TableBody"/>
            </w:pPr>
            <w:r>
              <w:t>Потерять связь после отправки POST /jobs</w:t>
            </w:r>
          </w:p>
        </w:tc>
        <w:tc>
          <w:tcPr>
            <w:tcW w:type="dxa" w:w="5760"/>
            <w:vAlign w:val="center"/>
            <w:tcMar>
              <w:top w:w="70" w:type="dxa"/>
              <w:left w:w="70" w:type="dxa"/>
              <w:bottom w:w="70" w:type="dxa"/>
              <w:right w:w="70" w:type="dxa"/>
            </w:tcMar>
          </w:tcPr>
          <w:p>
            <w:pPr>
              <w:pStyle w:val="TableBody"/>
            </w:pPr>
            <w:r>
              <w:t>Повтор с тем же ключом возвращает тот же jobId</w:t>
            </w:r>
          </w:p>
        </w:tc>
      </w:tr>
      <w:tr>
        <w:trPr>
          <w:cantSplit/>
        </w:trPr>
        <w:tc>
          <w:tcPr>
            <w:tcW w:type="dxa" w:w="936"/>
            <w:vAlign w:val="center"/>
            <w:shd w:fill="F3F3F3"/>
            <w:tcMar>
              <w:top w:w="70" w:type="dxa"/>
              <w:left w:w="70" w:type="dxa"/>
              <w:bottom w:w="70" w:type="dxa"/>
              <w:right w:w="70" w:type="dxa"/>
            </w:tcMar>
          </w:tcPr>
          <w:p>
            <w:pPr>
              <w:pStyle w:val="TableBody"/>
            </w:pPr>
            <w:r>
              <w:t>AC-16</w:t>
            </w:r>
          </w:p>
        </w:tc>
        <w:tc>
          <w:tcPr>
            <w:tcW w:type="dxa" w:w="3384"/>
            <w:vAlign w:val="center"/>
            <w:shd w:fill="F3F3F3"/>
            <w:tcMar>
              <w:top w:w="70" w:type="dxa"/>
              <w:left w:w="70" w:type="dxa"/>
              <w:bottom w:w="70" w:type="dxa"/>
              <w:right w:w="70" w:type="dxa"/>
            </w:tcMar>
          </w:tcPr>
          <w:p>
            <w:pPr>
              <w:pStyle w:val="TableBody"/>
            </w:pPr>
            <w:r>
              <w:t>Редактировать автономно при чужом изменении</w:t>
            </w:r>
          </w:p>
        </w:tc>
        <w:tc>
          <w:tcPr>
            <w:tcW w:type="dxa" w:w="5760"/>
            <w:vAlign w:val="center"/>
            <w:shd w:fill="F3F3F3"/>
            <w:tcMar>
              <w:top w:w="70" w:type="dxa"/>
              <w:left w:w="70" w:type="dxa"/>
              <w:bottom w:w="70" w:type="dxa"/>
              <w:right w:w="70" w:type="dxa"/>
            </w:tcMar>
          </w:tcPr>
          <w:p>
            <w:pPr>
              <w:pStyle w:val="TableBody"/>
            </w:pPr>
            <w:r>
              <w:t>Конфликт показан; обе версии доступны; нет молчаливой перезаписи</w:t>
            </w:r>
          </w:p>
        </w:tc>
      </w:tr>
      <w:tr>
        <w:trPr>
          <w:cantSplit/>
        </w:trPr>
        <w:tc>
          <w:tcPr>
            <w:tcW w:type="dxa" w:w="936"/>
            <w:vAlign w:val="center"/>
            <w:tcMar>
              <w:top w:w="70" w:type="dxa"/>
              <w:left w:w="70" w:type="dxa"/>
              <w:bottom w:w="70" w:type="dxa"/>
              <w:right w:w="70" w:type="dxa"/>
            </w:tcMar>
          </w:tcPr>
          <w:p>
            <w:pPr>
              <w:pStyle w:val="TableBody"/>
            </w:pPr>
            <w:r>
              <w:t>AC-17</w:t>
            </w:r>
          </w:p>
        </w:tc>
        <w:tc>
          <w:tcPr>
            <w:tcW w:type="dxa" w:w="3384"/>
            <w:vAlign w:val="center"/>
            <w:tcMar>
              <w:top w:w="70" w:type="dxa"/>
              <w:left w:w="70" w:type="dxa"/>
              <w:bottom w:w="70" w:type="dxa"/>
              <w:right w:w="70" w:type="dxa"/>
            </w:tcMar>
          </w:tcPr>
          <w:p>
            <w:pPr>
              <w:pStyle w:val="TableBody"/>
            </w:pPr>
            <w:r>
              <w:t>Открыть результат другого пользователя по id</w:t>
            </w:r>
          </w:p>
        </w:tc>
        <w:tc>
          <w:tcPr>
            <w:tcW w:type="dxa" w:w="5760"/>
            <w:vAlign w:val="center"/>
            <w:tcMar>
              <w:top w:w="70" w:type="dxa"/>
              <w:left w:w="70" w:type="dxa"/>
              <w:bottom w:w="70" w:type="dxa"/>
              <w:right w:w="70" w:type="dxa"/>
            </w:tcMar>
          </w:tcPr>
          <w:p>
            <w:pPr>
              <w:pStyle w:val="TableBody"/>
            </w:pPr>
            <w:r>
              <w:t>Доступ запрещён без раскрытия данных</w:t>
            </w:r>
          </w:p>
        </w:tc>
      </w:tr>
      <w:tr>
        <w:trPr>
          <w:cantSplit/>
        </w:trPr>
        <w:tc>
          <w:tcPr>
            <w:tcW w:type="dxa" w:w="936"/>
            <w:vAlign w:val="center"/>
            <w:shd w:fill="F3F3F3"/>
            <w:tcMar>
              <w:top w:w="70" w:type="dxa"/>
              <w:left w:w="70" w:type="dxa"/>
              <w:bottom w:w="70" w:type="dxa"/>
              <w:right w:w="70" w:type="dxa"/>
            </w:tcMar>
          </w:tcPr>
          <w:p>
            <w:pPr>
              <w:pStyle w:val="TableBody"/>
            </w:pPr>
            <w:r>
              <w:t>AC-18</w:t>
            </w:r>
          </w:p>
        </w:tc>
        <w:tc>
          <w:tcPr>
            <w:tcW w:type="dxa" w:w="3384"/>
            <w:vAlign w:val="center"/>
            <w:shd w:fill="F3F3F3"/>
            <w:tcMar>
              <w:top w:w="70" w:type="dxa"/>
              <w:left w:w="70" w:type="dxa"/>
              <w:bottom w:w="70" w:type="dxa"/>
              <w:right w:w="70" w:type="dxa"/>
            </w:tcMar>
          </w:tcPr>
          <w:p>
            <w:pPr>
              <w:pStyle w:val="TableBody"/>
            </w:pPr>
            <w:r>
              <w:t>Экспортировать отчёт и CSV</w:t>
            </w:r>
          </w:p>
        </w:tc>
        <w:tc>
          <w:tcPr>
            <w:tcW w:type="dxa" w:w="5760"/>
            <w:vAlign w:val="center"/>
            <w:shd w:fill="F3F3F3"/>
            <w:tcMar>
              <w:top w:w="70" w:type="dxa"/>
              <w:left w:w="70" w:type="dxa"/>
              <w:bottom w:w="70" w:type="dxa"/>
              <w:right w:w="70" w:type="dxa"/>
            </w:tcMar>
          </w:tcPr>
          <w:p>
            <w:pPr>
              <w:pStyle w:val="TableBody"/>
            </w:pPr>
            <w:r>
              <w:t>Числа, единицы, версия, шкала и ограничения совпадают</w:t>
            </w:r>
          </w:p>
        </w:tc>
      </w:tr>
      <w:tr>
        <w:trPr>
          <w:cantSplit/>
        </w:trPr>
        <w:tc>
          <w:tcPr>
            <w:tcW w:type="dxa" w:w="936"/>
            <w:vAlign w:val="center"/>
            <w:tcMar>
              <w:top w:w="70" w:type="dxa"/>
              <w:left w:w="70" w:type="dxa"/>
              <w:bottom w:w="70" w:type="dxa"/>
              <w:right w:w="70" w:type="dxa"/>
            </w:tcMar>
          </w:tcPr>
          <w:p>
            <w:pPr>
              <w:pStyle w:val="TableBody"/>
            </w:pPr>
            <w:r>
              <w:t>AC-19</w:t>
            </w:r>
          </w:p>
        </w:tc>
        <w:tc>
          <w:tcPr>
            <w:tcW w:type="dxa" w:w="3384"/>
            <w:vAlign w:val="center"/>
            <w:tcMar>
              <w:top w:w="70" w:type="dxa"/>
              <w:left w:w="70" w:type="dxa"/>
              <w:bottom w:w="70" w:type="dxa"/>
              <w:right w:w="70" w:type="dxa"/>
            </w:tcMar>
          </w:tcPr>
          <w:p>
            <w:pPr>
              <w:pStyle w:val="TableBody"/>
            </w:pPr>
            <w:r>
              <w:t>Восстановить проект из резервной копии</w:t>
            </w:r>
          </w:p>
        </w:tc>
        <w:tc>
          <w:tcPr>
            <w:tcW w:type="dxa" w:w="5760"/>
            <w:vAlign w:val="center"/>
            <w:tcMar>
              <w:top w:w="70" w:type="dxa"/>
              <w:left w:w="70" w:type="dxa"/>
              <w:bottom w:w="70" w:type="dxa"/>
              <w:right w:w="70" w:type="dxa"/>
            </w:tcMar>
          </w:tcPr>
          <w:p>
            <w:pPr>
              <w:pStyle w:val="TableBody"/>
            </w:pPr>
            <w:r>
              <w:t>Сохранены связи, каталоги, права, модель и финальные результаты</w:t>
            </w:r>
          </w:p>
        </w:tc>
      </w:tr>
      <w:tr>
        <w:trPr>
          <w:cantSplit/>
        </w:trPr>
        <w:tc>
          <w:tcPr>
            <w:tcW w:type="dxa" w:w="936"/>
            <w:vAlign w:val="center"/>
            <w:shd w:fill="F3F3F3"/>
            <w:tcMar>
              <w:top w:w="70" w:type="dxa"/>
              <w:left w:w="70" w:type="dxa"/>
              <w:bottom w:w="70" w:type="dxa"/>
              <w:right w:w="70" w:type="dxa"/>
            </w:tcMar>
          </w:tcPr>
          <w:p>
            <w:pPr>
              <w:pStyle w:val="TableBody"/>
            </w:pPr>
            <w:r>
              <w:t>AC-20</w:t>
            </w:r>
          </w:p>
        </w:tc>
        <w:tc>
          <w:tcPr>
            <w:tcW w:type="dxa" w:w="3384"/>
            <w:vAlign w:val="center"/>
            <w:shd w:fill="F3F3F3"/>
            <w:tcMar>
              <w:top w:w="70" w:type="dxa"/>
              <w:left w:w="70" w:type="dxa"/>
              <w:bottom w:w="70" w:type="dxa"/>
              <w:right w:w="70" w:type="dxa"/>
            </w:tcMar>
          </w:tcPr>
          <w:p>
            <w:pPr>
              <w:pStyle w:val="TableBody"/>
            </w:pPr>
            <w:r>
              <w:t>Повторить расчёт из архива воспроизводимости</w:t>
            </w:r>
          </w:p>
        </w:tc>
        <w:tc>
          <w:tcPr>
            <w:tcW w:type="dxa" w:w="5760"/>
            <w:vAlign w:val="center"/>
            <w:shd w:fill="F3F3F3"/>
            <w:tcMar>
              <w:top w:w="70" w:type="dxa"/>
              <w:left w:w="70" w:type="dxa"/>
              <w:bottom w:w="70" w:type="dxa"/>
              <w:right w:w="70" w:type="dxa"/>
            </w:tcMar>
          </w:tcPr>
          <w:p>
            <w:pPr>
              <w:pStyle w:val="TableBody"/>
            </w:pPr>
            <w:r>
              <w:t>Сборка и запуск документированы; расхождение в установленном допуске</w:t>
            </w:r>
          </w:p>
        </w:tc>
      </w:tr>
    </w:tbl>
    <w:p>
      <w:pPr>
        <w:spacing w:after="0"/>
      </w:pPr>
    </w:p>
    <w:p>
      <w:r>
        <w:rPr>
          <w:b/>
        </w:rPr>
        <w:t>QA-009.</w:t>
      </w:r>
      <w:r>
        <w:t xml:space="preserve"> Проверить доступность: чтение подписей экранным диктором, фокус форм, масштабирование текста, управление без сложного жеста и различимость состояний без цвета. Сложную 3D-сцену дополняют список объектов и таблица результатов, доступные обычными элементами интерфейса.</w:t>
      </w:r>
    </w:p>
    <w:p>
      <w:r>
        <w:rPr>
          <w:b/>
        </w:rPr>
        <w:t>QA-010.</w:t>
      </w:r>
      <w:r>
        <w:t xml:space="preserve"> Проверять на реальном Android и iPhone; эмуляция Playwright нужна для автоматизации, но не заменяет проверку WebGL, памяти, сенсорных жестов, клавиатуры, сна вкладки и установки PWA на устройствах. В протоколе фиксируются версии. [S23, S28]</w:t>
      </w:r>
    </w:p>
    <w:p>
      <w:bookmarkStart w:id="28" w:name="section_28"/>
      <w:pPr>
        <w:pStyle w:val="Heading1"/>
      </w:pPr>
      <w:r>
        <w:t>28 Порядок реализации полной версии</w:t>
      </w:r>
      <w:bookmarkEnd w:id="28"/>
    </w:p>
    <w:p>
      <w:r>
        <w:t>Порядок задан зависимостями и рисками. Сроки не фиксируются до первого сквозного расчёта и измерения сложности редактора. Каждая стадия заканчивается работающим проверяемым результатом; последующие стадии расширяют его до всего объёма ТЗ.</w:t>
      </w:r>
    </w:p>
    <w:p>
      <w:r>
        <w:rPr>
          <w:b/>
        </w:rPr>
        <w:t>STG-01 — доказать расчётный путь.</w:t>
      </w:r>
      <w:r>
        <w:t xml:space="preserve"> Собрать SPPS без GUI в Linux-контейнере; подготовить простой реальный проект; прочитать выходы; воспроизвести контрольные значения I-Simpa; проверить обработку ошибки и лицензии. Выход: воспроизводимая команда и проверенный преобразователь. Если этап не пройден, не начинать строить обещания интерфейса вокруг неподтверждённого ядра.</w:t>
      </w:r>
    </w:p>
    <w:p>
      <w:r>
        <w:rPr>
          <w:b/>
        </w:rPr>
        <w:t>STG-02 — закрепить данные и геометрию.</w:t>
      </w:r>
      <w:r>
        <w:t xml:space="preserve"> Реализовать схему проекта, единицы, координаты, ревизии, валидатор и минимальную связку API/базы. Проверить прямоугольную и неправильную комнаты, материалы, источник и приёмник. Выход: модель, которую можно сериализовать, проверить и повторно открыть без потерь.</w:t>
      </w:r>
    </w:p>
    <w:p>
      <w:r>
        <w:rPr>
          <w:b/>
        </w:rPr>
        <w:t>STG-03 — сделать мобильный редактор.</w:t>
      </w:r>
      <w:r>
        <w:t xml:space="preserve"> Добавить план, размеры, боковые виды, 3D, карточки, объекты, рабочие места, отмену, локальное сохранение и импорт. Выход: пользователь на телефоне самостоятельно создаёт полный базовый цех без редактирования JSON.</w:t>
      </w:r>
    </w:p>
    <w:p>
      <w:r>
        <w:rPr>
          <w:b/>
        </w:rPr>
        <w:t>STG-04 — соединить редактор с расчётом.</w:t>
      </w:r>
      <w:r>
        <w:t xml:space="preserve"> Реализовать снимок, очередь, изоляцию, отмену, состояние и публикацию результата. Выход: модель с телефона превращается в настоящий результат SPPS, сохраняющий происхождение. Отработать перезапуски и потерю сети до добавления красивых карт.</w:t>
      </w:r>
    </w:p>
    <w:p>
      <w:r>
        <w:rPr>
          <w:b/>
        </w:rPr>
        <w:t>STG-05 — реализовать пространственные результаты.</w:t>
      </w:r>
      <w:r>
        <w:t xml:space="preserve"> Добавить плоскости, точки, маски, шкалы, произвольные сечения и пакетный объём, затем объёмное отображение и изоповерхности. Выход: контрольные координаты и значения согласованы на всех видах; слабый телефон имеет работающий 2D-режим.</w:t>
      </w:r>
    </w:p>
    <w:p>
      <w:r>
        <w:rPr>
          <w:b/>
        </w:rPr>
        <w:t>STG-06 — расширить физические входы.</w:t>
      </w:r>
      <w:r>
        <w:t xml:space="preserve"> Добавить направленность, несколько режимов, раздельные вклады, передачу в поддерживаемом объёме, заполненные зоны и связанные помещения. Каждый механизм вводится только вместе с эталоном и понятным ограничением. Выход: заявленный реестр возможностей подтверждён.</w:t>
      </w:r>
    </w:p>
    <w:p>
      <w:r>
        <w:rPr>
          <w:b/>
        </w:rPr>
        <w:t>STG-07 — сравнение и подбор.</w:t>
      </w:r>
      <w:r>
        <w:t xml:space="preserve"> Добавить сценарии, стоимость, ограничения, очередь кандидатов, грубый отбор и уточнение финалистов. Выход: выбранный сценарий создаётся как обычная воспроизводимая ревизия, а результат не содержит неподтверждённого обещания глобального оптимума.</w:t>
      </w:r>
    </w:p>
    <w:p>
      <w:r>
        <w:rPr>
          <w:b/>
        </w:rPr>
        <w:t>STG-08 — выпуск исследовательских материалов.</w:t>
      </w:r>
      <w:r>
        <w:t xml:space="preserve"> Реализовать воздействие за смену, отчёты, экспорт, проверку по измерениям и архив воспроизводимости. Выход: из проекта можно подготовить проверяемые данные для статьи, различая расчёт и эксперимент.</w:t>
      </w:r>
    </w:p>
    <w:p>
      <w:r>
        <w:rPr>
          <w:b/>
        </w:rPr>
        <w:t>STG-09 — завершить сервис.</w:t>
      </w:r>
      <w:r>
        <w:t xml:space="preserve"> Добавить роли, приглашения, автономные конфликты, квоты, администрирование, резервирование, мониторинг, обновления и лицензионные уведомления. Проверить все AC-сценарии, нагрузку, реальные телефоны и восстановление.</w:t>
      </w:r>
    </w:p>
    <w:p>
      <w:r>
        <w:rPr>
          <w:b/>
        </w:rPr>
        <w:t>STG-10 — приёмка полной версии.</w:t>
      </w:r>
      <w:r>
        <w:t xml:space="preserve"> Закрыть матрицу требований, устранить блокирующие дефекты, передать исходники, документацию, инфраструктурную конфигурацию и протоколы. Неисполненные требования перечисляются как отклонения; наличие списка будущих задач не означает готовность полной версии.</w:t>
      </w:r>
    </w:p>
    <w:p>
      <w:bookmarkStart w:id="29" w:name="section_29"/>
      <w:pPr>
        <w:pStyle w:val="Heading1"/>
      </w:pPr>
      <w:r>
        <w:t>29 Условия готовности и состав поставки</w:t>
      </w:r>
      <w:bookmarkEnd w:id="29"/>
    </w:p>
    <w:p>
      <w:r>
        <w:rPr>
          <w:b/>
        </w:rPr>
        <w:t>DONE-001.</w:t>
      </w:r>
      <w:r>
        <w:t xml:space="preserve"> Полная версия готова, когда все обязательные требования данного ТЗ реализованы либо изменены отдельным согласованным решением; все AC-сценарии пройдены; нет дефектов, приводящих к потере данных, неверным единицам, ложной актуальности карты, утечке данных или тихой подмене расчёта.</w:t>
      </w:r>
    </w:p>
    <w:p>
      <w:r>
        <w:rPr>
          <w:b/>
        </w:rPr>
        <w:t>DONE-002.</w:t>
      </w:r>
      <w:r>
        <w:t xml:space="preserve"> Для научной/производственной применимости дополнительно требуется протокол проверки конкретного класса задач и документированные ограничения. Техническая готовность интерфейса и успешная сборка сами по себе не дают право объявлять инструмент валидированным для любого цеха.</w:t>
      </w:r>
    </w:p>
    <w:p>
      <w:r>
        <w:rPr>
          <w:b/>
        </w:rPr>
        <w:t>DONE-003.</w:t>
      </w:r>
      <w:r>
        <w:t xml:space="preserve"> Передаваемый комплект: исходный код; зафиксированные зависимости; сборка и патчи ядра; контейнеры; схема базы и миграции; каталоги с происхождением; API и схемы; тесты и эталоны; матрица требований; отчёт нагрузочных измерений; инструкция администратора; руководство пользователя; методика моделирования; архив контрольного проекта; лицензии и перечень компонентов.</w:t>
      </w:r>
    </w:p>
    <w:p>
      <w:r>
        <w:rPr>
          <w:b/>
        </w:rPr>
        <w:t>DONE-004.</w:t>
      </w:r>
      <w:r>
        <w:t xml:space="preserve"> Руководство пользователя должно отвечать на практические вопросы: какие данные взять из паспорта станка, чем Lw отличается от Lp, как ввести неправильную комнату, как представить стеллаж, как задать 1,2 м до рабочего места, почему нужен пересчёт, как читать срезы, что означает недостаточно данных и почему нельзя доверять эффекту экрана без проверки дифракции.</w:t>
      </w:r>
    </w:p>
    <w:p>
      <w:r>
        <w:rPr>
          <w:b/>
        </w:rPr>
        <w:t>DONE-005.</w:t>
      </w:r>
      <w:r>
        <w:t xml:space="preserve"> Исключения из обязательной поставки: нативное Android-приложение, автоматическое построение цеха по одной фотографии, полная поддержка BIM, волновой расчёт интерференции/мод/дифракции, вибрация конструкций, официальная оценка условий труда и универсальный каталог акустических данных всех станков. Их отсутствие должно быть видно в описании продукта; оно не скрывается за кнопкой, которая ничего не делает.</w:t>
      </w:r>
    </w:p>
    <w:p>
      <w:r>
        <w:rPr>
          <w:b/>
        </w:rPr>
        <w:t>DONE-006.</w:t>
      </w:r>
      <w:r>
        <w:t xml:space="preserve"> Для функций, зависящих от данных, требуется работающий механизм и проверенный учебный набор: каталог допускает расширение, но не обязан содержать любой существующий станок. Если конкретная характеристика неизвестна, программа помогает корректно её ввести или помечает ограничение, а не генерирует паспортные числа.</w:t>
      </w:r>
    </w:p>
    <w:p>
      <w:bookmarkStart w:id="30" w:name="section_30"/>
      <w:pPr>
        <w:pStyle w:val="Heading1"/>
      </w:pPr>
      <w:r>
        <w:t>30 Примеры контрактов и контрольных данных</w:t>
      </w:r>
      <w:bookmarkEnd w:id="30"/>
    </w:p>
    <w:p>
      <w:r>
        <w:t>Ниже приведены структурные примеры для разработчика. Это не законченные входные файлы SPPS и не измеренная модель предприятия. При реализации они заменяются полными файлами эталонов с реальными UUID и проверкой схемы. Неуказанные в примере свойства нельзя молча додумывать в расчёте.</w:t>
      </w:r>
    </w:p>
    <w:p>
      <w:pPr>
        <w:pStyle w:val="Heading2"/>
      </w:pPr>
      <w:r>
        <w:t>Снимок проекта</w:t>
      </w:r>
    </w:p>
    <w:p>
      <w:pPr>
        <w:pStyle w:val="Code"/>
      </w:pPr>
      <w:r>
        <w:t>{</w:t>
      </w:r>
    </w:p>
    <w:p>
      <w:pPr>
        <w:pStyle w:val="Code"/>
      </w:pPr>
      <w:r>
        <w:t xml:space="preserve">  "schemaVersion": "1.0",</w:t>
      </w:r>
    </w:p>
    <w:p>
      <w:pPr>
        <w:pStyle w:val="Code"/>
      </w:pPr>
      <w:r>
        <w:t xml:space="preserve">  "units": {"length": "m", "time": "s"},</w:t>
      </w:r>
    </w:p>
    <w:p>
      <w:pPr>
        <w:pStyle w:val="Code"/>
      </w:pPr>
      <w:r>
        <w:t xml:space="preserve">  "coordinates": "right-handed-XY-floor-Z-up",</w:t>
      </w:r>
    </w:p>
    <w:p>
      <w:pPr>
        <w:pStyle w:val="Code"/>
      </w:pPr>
      <w:r>
        <w:t xml:space="preserve">  "environment": {</w:t>
      </w:r>
    </w:p>
    <w:p>
      <w:pPr>
        <w:pStyle w:val="Code"/>
      </w:pPr>
      <w:r>
        <w:t xml:space="preserve">    "temperatureC": 20,</w:t>
      </w:r>
    </w:p>
    <w:p>
      <w:pPr>
        <w:pStyle w:val="Code"/>
      </w:pPr>
      <w:r>
        <w:t xml:space="preserve">    "relativeHumidityPct": 50,</w:t>
      </w:r>
    </w:p>
    <w:p>
      <w:pPr>
        <w:pStyle w:val="Code"/>
      </w:pPr>
      <w:r>
        <w:t xml:space="preserve">    "pressurePa": 101325,</w:t>
      </w:r>
    </w:p>
    <w:p>
      <w:pPr>
        <w:pStyle w:val="Code"/>
      </w:pPr>
      <w:r>
        <w:t xml:space="preserve">    "provenance": "assumed"</w:t>
      </w:r>
    </w:p>
    <w:p>
      <w:pPr>
        <w:pStyle w:val="Code"/>
      </w:pPr>
      <w:r>
        <w:t xml:space="preserve">  },</w:t>
      </w:r>
    </w:p>
    <w:p>
      <w:pPr>
        <w:pStyle w:val="Code"/>
      </w:pPr>
      <w:r>
        <w:t xml:space="preserve">  "bandsHz": [63, 125, 250, 500, 1000, 2000, 4000, 8000],</w:t>
      </w:r>
    </w:p>
    <w:p>
      <w:pPr>
        <w:pStyle w:val="Code"/>
      </w:pPr>
      <w:r>
        <w:t xml:space="preserve">  "room": {</w:t>
      </w:r>
    </w:p>
    <w:p>
      <w:pPr>
        <w:pStyle w:val="Code"/>
      </w:pPr>
      <w:r>
        <w:t xml:space="preserve">    "id": "room-example",</w:t>
      </w:r>
    </w:p>
    <w:p>
      <w:pPr>
        <w:pStyle w:val="Code"/>
      </w:pPr>
      <w:r>
        <w:t xml:space="preserve">    "floorContourM": [[0,0], [30,0], [30,15], [0,15]],</w:t>
      </w:r>
    </w:p>
    <w:p>
      <w:pPr>
        <w:pStyle w:val="Code"/>
      </w:pPr>
      <w:r>
        <w:t xml:space="preserve">    "heightM": 6,</w:t>
      </w:r>
    </w:p>
    <w:p>
      <w:pPr>
        <w:pStyle w:val="Code"/>
      </w:pPr>
      <w:r>
        <w:t xml:space="preserve">    "surfaceAssignments": "separate-required-entities"</w:t>
      </w:r>
    </w:p>
    <w:p>
      <w:pPr>
        <w:pStyle w:val="Code"/>
      </w:pPr>
      <w:r>
        <w:t xml:space="preserve">  },</w:t>
      </w:r>
    </w:p>
    <w:p>
      <w:pPr>
        <w:pStyle w:val="Code"/>
      </w:pPr>
      <w:r>
        <w:t xml:space="preserve">  "source": {</w:t>
      </w:r>
    </w:p>
    <w:p>
      <w:pPr>
        <w:pStyle w:val="Code"/>
      </w:pPr>
      <w:r>
        <w:t xml:space="preserve">    "id": "source-example",</w:t>
      </w:r>
    </w:p>
    <w:p>
      <w:pPr>
        <w:pStyle w:val="Code"/>
      </w:pPr>
      <w:r>
        <w:t xml:space="preserve">    "positionM": [5, 4, 1.2],</w:t>
      </w:r>
    </w:p>
    <w:p>
      <w:pPr>
        <w:pStyle w:val="Code"/>
      </w:pPr>
      <w:r>
        <w:t xml:space="preserve">    "quantity": "sound_power_level",</w:t>
      </w:r>
    </w:p>
    <w:p>
      <w:pPr>
        <w:pStyle w:val="Code"/>
      </w:pPr>
      <w:r>
        <w:t xml:space="preserve">    "weighting": "Z",</w:t>
      </w:r>
    </w:p>
    <w:p>
      <w:pPr>
        <w:pStyle w:val="Code"/>
      </w:pPr>
      <w:r>
        <w:t xml:space="preserve">    "lwDbByBand": [80, 84, 88, 91, 89, 86, 82, 77],</w:t>
      </w:r>
    </w:p>
    <w:p>
      <w:pPr>
        <w:pStyle w:val="Code"/>
      </w:pPr>
      <w:r>
        <w:t xml:space="preserve">    "directivity": "omnidirectional",</w:t>
      </w:r>
    </w:p>
    <w:p>
      <w:pPr>
        <w:pStyle w:val="Code"/>
      </w:pPr>
      <w:r>
        <w:t xml:space="preserve">    "provenance": "synthetic-test-data"</w:t>
      </w:r>
    </w:p>
    <w:p>
      <w:pPr>
        <w:pStyle w:val="Code"/>
      </w:pPr>
      <w:r>
        <w:t xml:space="preserve">  },</w:t>
      </w:r>
    </w:p>
    <w:p>
      <w:pPr>
        <w:pStyle w:val="Code"/>
      </w:pPr>
      <w:r>
        <w:t xml:space="preserve">  "workplace": {</w:t>
      </w:r>
    </w:p>
    <w:p>
      <w:pPr>
        <w:pStyle w:val="Code"/>
      </w:pPr>
      <w:r>
        <w:t xml:space="preserve">    "id": "workplace-example",</w:t>
      </w:r>
    </w:p>
    <w:p>
      <w:pPr>
        <w:pStyle w:val="Code"/>
      </w:pPr>
      <w:r>
        <w:t xml:space="preserve">    "positionM": [6.2, 4, 1.5],</w:t>
      </w:r>
    </w:p>
    <w:p>
      <w:pPr>
        <w:pStyle w:val="Code"/>
      </w:pPr>
      <w:r>
        <w:t xml:space="preserve">    "anchorMode": "world",</w:t>
      </w:r>
    </w:p>
    <w:p>
      <w:pPr>
        <w:pStyle w:val="Code"/>
      </w:pPr>
      <w:r>
        <w:t xml:space="preserve">    "distanceReference": "source-horizontal-projection"</w:t>
      </w:r>
    </w:p>
    <w:p>
      <w:pPr>
        <w:pStyle w:val="Code"/>
      </w:pPr>
      <w:r>
        <w:t xml:space="preserve">  }</w:t>
      </w:r>
    </w:p>
    <w:p>
      <w:pPr>
        <w:pStyle w:val="Code"/>
      </w:pPr>
      <w:r>
        <w:t>}</w:t>
      </w:r>
    </w:p>
    <w:p>
      <w:pPr>
        <w:spacing w:after="0"/>
      </w:pPr>
    </w:p>
    <w:p>
      <w:r>
        <w:rPr>
          <w:b/>
        </w:rPr>
        <w:t>CON-001.</w:t>
      </w:r>
      <w:r>
        <w:t xml:space="preserve"> В этом примере 1,2 м — горизонтальное расстояние от проекции источника, а не расстояние от корпуса станка и не пространственная длина до уха. Если выбран отступ от корпуса, хранить идентификатор грани, локальную точку, направление и величину; итоговые мировые координаты вычисляются из этих данных и проверяются.</w:t>
      </w:r>
    </w:p>
    <w:p>
      <w:pPr>
        <w:pStyle w:val="Heading2"/>
      </w:pPr>
      <w:r>
        <w:t>Запрос задания</w:t>
      </w:r>
    </w:p>
    <w:p>
      <w:pPr>
        <w:pStyle w:val="Code"/>
      </w:pPr>
      <w:r>
        <w:t>{</w:t>
      </w:r>
    </w:p>
    <w:p>
      <w:pPr>
        <w:pStyle w:val="Code"/>
      </w:pPr>
      <w:r>
        <w:t xml:space="preserve">  "revisionId": "revision-uuid",</w:t>
      </w:r>
    </w:p>
    <w:p>
      <w:pPr>
        <w:pStyle w:val="Code"/>
      </w:pPr>
      <w:r>
        <w:t xml:space="preserve">  "snapshotHash": "sha256-of-canonical-snapshot",</w:t>
      </w:r>
    </w:p>
    <w:p>
      <w:pPr>
        <w:pStyle w:val="Code"/>
      </w:pPr>
      <w:r>
        <w:t xml:space="preserve">  "engineProfileId": "spps-validated-profile-1",</w:t>
      </w:r>
    </w:p>
    <w:p>
      <w:pPr>
        <w:pStyle w:val="Code"/>
      </w:pPr>
      <w:r>
        <w:t xml:space="preserve">  "qualityPreset": "refined",</w:t>
      </w:r>
    </w:p>
    <w:p>
      <w:pPr>
        <w:pStyle w:val="Code"/>
      </w:pPr>
      <w:r>
        <w:t xml:space="preserve">  "receiverSetId": "receivers-uuid",</w:t>
      </w:r>
    </w:p>
    <w:p>
      <w:pPr>
        <w:pStyle w:val="Code"/>
      </w:pPr>
      <w:r>
        <w:t xml:space="preserve">  "outputs": ["workplaces", "horizontal", "vertical"],</w:t>
      </w:r>
    </w:p>
    <w:p>
      <w:pPr>
        <w:pStyle w:val="Code"/>
      </w:pPr>
      <w:r>
        <w:t xml:space="preserve">  "randomSeed": 12345,</w:t>
      </w:r>
    </w:p>
    <w:p>
      <w:pPr>
        <w:pStyle w:val="Code"/>
      </w:pPr>
      <w:r>
        <w:t xml:space="preserve">  "acceptedWarningIds": ["warning-uuid"]</w:t>
      </w:r>
    </w:p>
    <w:p>
      <w:pPr>
        <w:pStyle w:val="Code"/>
      </w:pPr>
      <w:r>
        <w:t>}</w:t>
      </w:r>
    </w:p>
    <w:p>
      <w:pPr>
        <w:spacing w:after="0"/>
      </w:pPr>
    </w:p>
    <w:p>
      <w:r>
        <w:rPr>
          <w:b/>
        </w:rPr>
        <w:t>CON-002.</w:t>
      </w:r>
      <w:r>
        <w:t xml:space="preserve"> </w:t>
      </w:r>
      <w:r>
        <w:rPr>
          <w:rFonts w:ascii="DejaVu Sans Mono" w:hAnsi="DejaVu Sans Mono"/>
          <w:sz w:val="18"/>
        </w:rPr>
        <w:t>engineProfileId</w:t>
      </w:r>
      <w:r>
        <w:t xml:space="preserve"> ссылается на конкретный проверенный набор численных настроек. Сервер сохраняет развёрнутые значения, а не только название профиля. Idempotency-Key передаётся заголовком. Права, квоты и согласованность хеша проверяются до отправки в очередь.</w:t>
      </w:r>
    </w:p>
    <w:p>
      <w:pPr>
        <w:pStyle w:val="Heading2"/>
      </w:pPr>
      <w:r>
        <w:t>Манифест поля результата</w:t>
      </w:r>
    </w:p>
    <w:p>
      <w:pPr>
        <w:pStyle w:val="Code"/>
      </w:pPr>
      <w:r>
        <w:t>{</w:t>
      </w:r>
    </w:p>
    <w:p>
      <w:pPr>
        <w:pStyle w:val="Code"/>
      </w:pPr>
      <w:r>
        <w:t xml:space="preserve">  "resultId": "result-uuid",</w:t>
      </w:r>
    </w:p>
    <w:p>
      <w:pPr>
        <w:pStyle w:val="Code"/>
      </w:pPr>
      <w:r>
        <w:t xml:space="preserve">  "revisionId": "revision-uuid",</w:t>
      </w:r>
    </w:p>
    <w:p>
      <w:pPr>
        <w:pStyle w:val="Code"/>
      </w:pPr>
      <w:r>
        <w:t xml:space="preserve">  "quantity": "mean_square_sound_pressure",</w:t>
      </w:r>
    </w:p>
    <w:p>
      <w:pPr>
        <w:pStyle w:val="Code"/>
      </w:pPr>
      <w:r>
        <w:t xml:space="preserve">  "unit": "Pa2",</w:t>
      </w:r>
    </w:p>
    <w:p>
      <w:pPr>
        <w:pStyle w:val="Code"/>
      </w:pPr>
      <w:r>
        <w:t xml:space="preserve">  "encoding": "float32-le",</w:t>
      </w:r>
    </w:p>
    <w:p>
      <w:pPr>
        <w:pStyle w:val="Code"/>
      </w:pPr>
      <w:r>
        <w:t xml:space="preserve">  "layout": "band,z,y,x",</w:t>
      </w:r>
    </w:p>
    <w:p>
      <w:pPr>
        <w:pStyle w:val="Code"/>
      </w:pPr>
      <w:r>
        <w:t xml:space="preserve">  "grid": {</w:t>
      </w:r>
    </w:p>
    <w:p>
      <w:pPr>
        <w:pStyle w:val="Code"/>
      </w:pPr>
      <w:r>
        <w:t xml:space="preserve">    "sampleLocation": "cell-center",</w:t>
      </w:r>
    </w:p>
    <w:p>
      <w:pPr>
        <w:pStyle w:val="Code"/>
      </w:pPr>
      <w:r>
        <w:t xml:space="preserve">    "firstCenterM": [0.25, 0.25, 0.25],</w:t>
      </w:r>
    </w:p>
    <w:p>
      <w:pPr>
        <w:pStyle w:val="Code"/>
      </w:pPr>
      <w:r>
        <w:t xml:space="preserve">    "spacingM": [0.5, 0.5, 0.5],</w:t>
      </w:r>
    </w:p>
    <w:p>
      <w:pPr>
        <w:pStyle w:val="Code"/>
      </w:pPr>
      <w:r>
        <w:t xml:space="preserve">    "shapeXYZ": [60, 30, 12]</w:t>
      </w:r>
    </w:p>
    <w:p>
      <w:pPr>
        <w:pStyle w:val="Code"/>
      </w:pPr>
      <w:r>
        <w:t xml:space="preserve">  },</w:t>
      </w:r>
    </w:p>
    <w:p>
      <w:pPr>
        <w:pStyle w:val="Code"/>
      </w:pPr>
      <w:r>
        <w:t xml:space="preserve">  "maskLegend": {</w:t>
      </w:r>
    </w:p>
    <w:p>
      <w:pPr>
        <w:pStyle w:val="Code"/>
      </w:pPr>
      <w:r>
        <w:t xml:space="preserve">    "0": "outside",</w:t>
      </w:r>
    </w:p>
    <w:p>
      <w:pPr>
        <w:pStyle w:val="Code"/>
      </w:pPr>
      <w:r>
        <w:t xml:space="preserve">    "1": "valid-air",</w:t>
      </w:r>
    </w:p>
    <w:p>
      <w:pPr>
        <w:pStyle w:val="Code"/>
      </w:pPr>
      <w:r>
        <w:t xml:space="preserve">    "2": "solid",</w:t>
      </w:r>
    </w:p>
    <w:p>
      <w:pPr>
        <w:pStyle w:val="Code"/>
      </w:pPr>
      <w:r>
        <w:t xml:space="preserve">    "3": "insufficient-samples",</w:t>
      </w:r>
    </w:p>
    <w:p>
      <w:pPr>
        <w:pStyle w:val="Code"/>
      </w:pPr>
      <w:r>
        <w:t xml:space="preserve">    "4": "invalid"</w:t>
      </w:r>
    </w:p>
    <w:p>
      <w:pPr>
        <w:pStyle w:val="Code"/>
      </w:pPr>
      <w:r>
        <w:t xml:space="preserve">  },</w:t>
      </w:r>
    </w:p>
    <w:p>
      <w:pPr>
        <w:pStyle w:val="Code"/>
      </w:pPr>
      <w:r>
        <w:t xml:space="preserve">  "normalizationVersion": "validated-converter-1",</w:t>
      </w:r>
    </w:p>
    <w:p>
      <w:pPr>
        <w:pStyle w:val="Code"/>
      </w:pPr>
      <w:r>
        <w:t xml:space="preserve">  "engineBuildId": "pinned-build-id",</w:t>
      </w:r>
    </w:p>
    <w:p>
      <w:pPr>
        <w:pStyle w:val="Code"/>
      </w:pPr>
      <w:r>
        <w:t xml:space="preserve">  "qualityStatus": "checked-with-limitations"</w:t>
      </w:r>
    </w:p>
    <w:p>
      <w:pPr>
        <w:pStyle w:val="Code"/>
      </w:pPr>
      <w:r>
        <w:t>}</w:t>
      </w:r>
    </w:p>
    <w:p>
      <w:pPr>
        <w:spacing w:after="0"/>
      </w:pPr>
    </w:p>
    <w:p>
      <w:r>
        <w:rPr>
          <w:b/>
        </w:rPr>
        <w:t>CON-003.</w:t>
      </w:r>
      <w:r>
        <w:t xml:space="preserve"> Полный манифест дополнительно включает полосы, ссылки на блоки и контрольные суммы, маску идентификаторов воздушных областей, величину/размер приёмника, seed, настройки, предупреждения и дату. Доступ к файлам выдаётся отдельно и не встраивает постоянный секрет в экспортированный манифест.</w:t>
      </w:r>
    </w:p>
    <w:p>
      <w:pPr>
        <w:pStyle w:val="Heading2"/>
      </w:pPr>
      <w:r>
        <w:t>Контрольный проект для сравнения вариантов</w:t>
      </w:r>
    </w:p>
    <w:p>
      <w:r>
        <w:rPr>
          <w:b/>
        </w:rPr>
        <w:t>FIX-001.</w:t>
      </w:r>
      <w:r>
        <w:t xml:space="preserve"> Подготовить воспроизводимый учебный проект 30 × 15 × 6 м. Расставить шесть источников с известными невзвешенными тестовыми спектрами и явно заданными координатами. Рабочие места задать по стороне и отступу 1,2 м с фиксированной высотой. Все учебные данные пометить как искусственные.</w:t>
      </w:r>
    </w:p>
    <w:p>
      <w:r>
        <w:rPr>
          <w:b/>
        </w:rPr>
        <w:t>FIX-002.</w:t>
      </w:r>
      <w:r>
        <w:t xml:space="preserve"> Вариант A — исходные поверхности; B — изменены только свойства потолка; C — к выбранным источникам применён заданный спектр потерь кожуха. Условия работы, приёмники и шкала сохраняются. Проверить сохранение всех неизменённых свойств, энергетические вклады и отсутствие двойного учёта кожуха.</w:t>
      </w:r>
    </w:p>
    <w:p>
      <w:r>
        <w:rPr>
          <w:b/>
        </w:rPr>
        <w:t>FIX-003.</w:t>
      </w:r>
      <w:r>
        <w:t xml:space="preserve"> Добавить намеренно проблемные варианты: источник в твёрдом теле, открытый контур, пустая частотная полоса, пропущенный выход SPPS, отражённая ось Z и устаревшая карта после движения стены. Каждый должен приводить к заранее определённому отказу или предупреждению. Они входят в постоянную регрессию.</w:t>
      </w:r>
    </w:p>
    <w:p>
      <w:bookmarkStart w:id="31" w:name="section_31"/>
      <w:pPr>
        <w:pStyle w:val="Heading1"/>
      </w:pPr>
      <w:r>
        <w:t>31 Словарь для владельца проекта</w:t>
      </w:r>
      <w:bookmarkEnd w:id="3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shd w:fill="303030"/>
            <w:tcMar>
              <w:top w:w="70" w:type="dxa"/>
              <w:left w:w="70" w:type="dxa"/>
              <w:bottom w:w="70" w:type="dxa"/>
              <w:right w:w="70" w:type="dxa"/>
            </w:tcMar>
          </w:tcPr>
          <w:p>
            <w:pPr>
              <w:pStyle w:val="TableBody"/>
            </w:pPr>
            <w:r>
              <w:rPr>
                <w:b/>
                <w:color w:val="FFFFFF"/>
              </w:rPr>
              <w:t>Термин</w:t>
            </w:r>
          </w:p>
        </w:tc>
        <w:tc>
          <w:tcPr>
            <w:tcW w:type="dxa" w:w="7488"/>
            <w:vAlign w:val="center"/>
            <w:shd w:fill="303030"/>
            <w:tcMar>
              <w:top w:w="70" w:type="dxa"/>
              <w:left w:w="70" w:type="dxa"/>
              <w:bottom w:w="70" w:type="dxa"/>
              <w:right w:w="70" w:type="dxa"/>
            </w:tcMar>
          </w:tcPr>
          <w:p>
            <w:pPr>
              <w:pStyle w:val="TableBody"/>
            </w:pPr>
            <w:r>
              <w:rPr>
                <w:b/>
                <w:color w:val="FFFFFF"/>
              </w:rPr>
              <w:t>Простое объяснение</w:t>
            </w:r>
          </w:p>
        </w:tc>
      </w:tr>
      <w:tr>
        <w:trPr>
          <w:cantSplit/>
        </w:trPr>
        <w:tc>
          <w:tcPr>
            <w:tcW w:type="dxa" w:w="2592"/>
            <w:vAlign w:val="center"/>
            <w:tcMar>
              <w:top w:w="70" w:type="dxa"/>
              <w:left w:w="70" w:type="dxa"/>
              <w:bottom w:w="70" w:type="dxa"/>
              <w:right w:w="70" w:type="dxa"/>
            </w:tcMar>
          </w:tcPr>
          <w:p>
            <w:pPr>
              <w:pStyle w:val="TableBody"/>
            </w:pPr>
            <w:r>
              <w:t>PWA</w:t>
            </w:r>
          </w:p>
        </w:tc>
        <w:tc>
          <w:tcPr>
            <w:tcW w:type="dxa" w:w="7488"/>
            <w:vAlign w:val="center"/>
            <w:tcMar>
              <w:top w:w="70" w:type="dxa"/>
              <w:left w:w="70" w:type="dxa"/>
              <w:bottom w:w="70" w:type="dxa"/>
              <w:right w:w="70" w:type="dxa"/>
            </w:tcMar>
          </w:tcPr>
          <w:p>
            <w:pPr>
              <w:pStyle w:val="TableBody"/>
            </w:pPr>
            <w:r>
              <w:t>Веб-приложение, которое можно открыть в браузере и добавить на главный экран телефона.</w:t>
            </w:r>
          </w:p>
        </w:tc>
      </w:tr>
      <w:tr>
        <w:trPr>
          <w:cantSplit/>
        </w:trPr>
        <w:tc>
          <w:tcPr>
            <w:tcW w:type="dxa" w:w="2592"/>
            <w:vAlign w:val="center"/>
            <w:shd w:fill="F3F3F3"/>
            <w:tcMar>
              <w:top w:w="70" w:type="dxa"/>
              <w:left w:w="70" w:type="dxa"/>
              <w:bottom w:w="70" w:type="dxa"/>
              <w:right w:w="70" w:type="dxa"/>
            </w:tcMar>
          </w:tcPr>
          <w:p>
            <w:pPr>
              <w:pStyle w:val="TableBody"/>
            </w:pPr>
            <w:r>
              <w:t>Сервер расчётов</w:t>
            </w:r>
          </w:p>
        </w:tc>
        <w:tc>
          <w:tcPr>
            <w:tcW w:type="dxa" w:w="7488"/>
            <w:vAlign w:val="center"/>
            <w:shd w:fill="F3F3F3"/>
            <w:tcMar>
              <w:top w:w="70" w:type="dxa"/>
              <w:left w:w="70" w:type="dxa"/>
              <w:bottom w:w="70" w:type="dxa"/>
              <w:right w:w="70" w:type="dxa"/>
            </w:tcMar>
          </w:tcPr>
          <w:p>
            <w:pPr>
              <w:pStyle w:val="TableBody"/>
            </w:pPr>
            <w:r>
              <w:t>Удалённый компьютер, выполняющий тяжёлое моделирование.</w:t>
            </w:r>
          </w:p>
        </w:tc>
      </w:tr>
      <w:tr>
        <w:trPr>
          <w:cantSplit/>
        </w:trPr>
        <w:tc>
          <w:tcPr>
            <w:tcW w:type="dxa" w:w="2592"/>
            <w:vAlign w:val="center"/>
            <w:tcMar>
              <w:top w:w="70" w:type="dxa"/>
              <w:left w:w="70" w:type="dxa"/>
              <w:bottom w:w="70" w:type="dxa"/>
              <w:right w:w="70" w:type="dxa"/>
            </w:tcMar>
          </w:tcPr>
          <w:p>
            <w:pPr>
              <w:pStyle w:val="TableBody"/>
            </w:pPr>
            <w:r>
              <w:t>SPPS</w:t>
            </w:r>
          </w:p>
        </w:tc>
        <w:tc>
          <w:tcPr>
            <w:tcW w:type="dxa" w:w="7488"/>
            <w:vAlign w:val="center"/>
            <w:tcMar>
              <w:top w:w="70" w:type="dxa"/>
              <w:left w:w="70" w:type="dxa"/>
              <w:bottom w:w="70" w:type="dxa"/>
              <w:right w:w="70" w:type="dxa"/>
            </w:tcMar>
          </w:tcPr>
          <w:p>
            <w:pPr>
              <w:pStyle w:val="TableBody"/>
            </w:pPr>
            <w:r>
              <w:t>Расчётное ядро из I-Simpa, используемое для моделирования переноса звуковой энергии.</w:t>
            </w:r>
          </w:p>
        </w:tc>
      </w:tr>
      <w:tr>
        <w:trPr>
          <w:cantSplit/>
        </w:trPr>
        <w:tc>
          <w:tcPr>
            <w:tcW w:type="dxa" w:w="2592"/>
            <w:vAlign w:val="center"/>
            <w:shd w:fill="F3F3F3"/>
            <w:tcMar>
              <w:top w:w="70" w:type="dxa"/>
              <w:left w:w="70" w:type="dxa"/>
              <w:bottom w:w="70" w:type="dxa"/>
              <w:right w:w="70" w:type="dxa"/>
            </w:tcMar>
          </w:tcPr>
          <w:p>
            <w:pPr>
              <w:pStyle w:val="TableBody"/>
            </w:pPr>
            <w:r>
              <w:t>Адаптер</w:t>
            </w:r>
          </w:p>
        </w:tc>
        <w:tc>
          <w:tcPr>
            <w:tcW w:type="dxa" w:w="7488"/>
            <w:vAlign w:val="center"/>
            <w:shd w:fill="F3F3F3"/>
            <w:tcMar>
              <w:top w:w="70" w:type="dxa"/>
              <w:left w:w="70" w:type="dxa"/>
              <w:bottom w:w="70" w:type="dxa"/>
              <w:right w:w="70" w:type="dxa"/>
            </w:tcMar>
          </w:tcPr>
          <w:p>
            <w:pPr>
              <w:pStyle w:val="TableBody"/>
            </w:pPr>
            <w:r>
              <w:t>Программа-переводчик между моделью веб-приложения и входами/выходами ядра.</w:t>
            </w:r>
          </w:p>
        </w:tc>
      </w:tr>
      <w:tr>
        <w:trPr>
          <w:cantSplit/>
        </w:trPr>
        <w:tc>
          <w:tcPr>
            <w:tcW w:type="dxa" w:w="2592"/>
            <w:vAlign w:val="center"/>
            <w:tcMar>
              <w:top w:w="70" w:type="dxa"/>
              <w:left w:w="70" w:type="dxa"/>
              <w:bottom w:w="70" w:type="dxa"/>
              <w:right w:w="70" w:type="dxa"/>
            </w:tcMar>
          </w:tcPr>
          <w:p>
            <w:pPr>
              <w:pStyle w:val="TableBody"/>
            </w:pPr>
            <w:r>
              <w:t>Геометрическая сетка</w:t>
            </w:r>
          </w:p>
        </w:tc>
        <w:tc>
          <w:tcPr>
            <w:tcW w:type="dxa" w:w="7488"/>
            <w:vAlign w:val="center"/>
            <w:tcMar>
              <w:top w:w="70" w:type="dxa"/>
              <w:left w:w="70" w:type="dxa"/>
              <w:bottom w:w="70" w:type="dxa"/>
              <w:right w:w="70" w:type="dxa"/>
            </w:tcMar>
          </w:tcPr>
          <w:p>
            <w:pPr>
              <w:pStyle w:val="TableBody"/>
            </w:pPr>
            <w:r>
              <w:t>Разбиение формы помещения, нужное численному алгоритму.</w:t>
            </w:r>
          </w:p>
        </w:tc>
      </w:tr>
      <w:tr>
        <w:trPr>
          <w:cantSplit/>
        </w:trPr>
        <w:tc>
          <w:tcPr>
            <w:tcW w:type="dxa" w:w="2592"/>
            <w:vAlign w:val="center"/>
            <w:shd w:fill="F3F3F3"/>
            <w:tcMar>
              <w:top w:w="70" w:type="dxa"/>
              <w:left w:w="70" w:type="dxa"/>
              <w:bottom w:w="70" w:type="dxa"/>
              <w:right w:w="70" w:type="dxa"/>
            </w:tcMar>
          </w:tcPr>
          <w:p>
            <w:pPr>
              <w:pStyle w:val="TableBody"/>
            </w:pPr>
            <w:r>
              <w:t>Сетка результатов</w:t>
            </w:r>
          </w:p>
        </w:tc>
        <w:tc>
          <w:tcPr>
            <w:tcW w:type="dxa" w:w="7488"/>
            <w:vAlign w:val="center"/>
            <w:shd w:fill="F3F3F3"/>
            <w:tcMar>
              <w:top w:w="70" w:type="dxa"/>
              <w:left w:w="70" w:type="dxa"/>
              <w:bottom w:w="70" w:type="dxa"/>
              <w:right w:w="70" w:type="dxa"/>
            </w:tcMar>
          </w:tcPr>
          <w:p>
            <w:pPr>
              <w:pStyle w:val="TableBody"/>
            </w:pPr>
            <w:r>
              <w:t>Набор мест в воздухе, где сохраняется рассчитанное значение. Это другая сетка.</w:t>
            </w:r>
          </w:p>
        </w:tc>
      </w:tr>
      <w:tr>
        <w:trPr>
          <w:cantSplit/>
        </w:trPr>
        <w:tc>
          <w:tcPr>
            <w:tcW w:type="dxa" w:w="2592"/>
            <w:vAlign w:val="center"/>
            <w:tcMar>
              <w:top w:w="70" w:type="dxa"/>
              <w:left w:w="70" w:type="dxa"/>
              <w:bottom w:w="70" w:type="dxa"/>
              <w:right w:w="70" w:type="dxa"/>
            </w:tcMar>
          </w:tcPr>
          <w:p>
            <w:pPr>
              <w:pStyle w:val="TableBody"/>
            </w:pPr>
            <w:r>
              <w:t>Приёмник</w:t>
            </w:r>
          </w:p>
        </w:tc>
        <w:tc>
          <w:tcPr>
            <w:tcW w:type="dxa" w:w="7488"/>
            <w:vAlign w:val="center"/>
            <w:tcMar>
              <w:top w:w="70" w:type="dxa"/>
              <w:left w:w="70" w:type="dxa"/>
              <w:bottom w:w="70" w:type="dxa"/>
              <w:right w:w="70" w:type="dxa"/>
            </w:tcMar>
          </w:tcPr>
          <w:p>
            <w:pPr>
              <w:pStyle w:val="TableBody"/>
            </w:pPr>
            <w:r>
              <w:t>Точка или область, где расчёт собирает звуковую энергию.</w:t>
            </w:r>
          </w:p>
        </w:tc>
      </w:tr>
      <w:tr>
        <w:trPr>
          <w:cantSplit/>
        </w:trPr>
        <w:tc>
          <w:tcPr>
            <w:tcW w:type="dxa" w:w="2592"/>
            <w:vAlign w:val="center"/>
            <w:shd w:fill="F3F3F3"/>
            <w:tcMar>
              <w:top w:w="70" w:type="dxa"/>
              <w:left w:w="70" w:type="dxa"/>
              <w:bottom w:w="70" w:type="dxa"/>
              <w:right w:w="70" w:type="dxa"/>
            </w:tcMar>
          </w:tcPr>
          <w:p>
            <w:pPr>
              <w:pStyle w:val="TableBody"/>
            </w:pPr>
            <w:r>
              <w:t>Спектр</w:t>
            </w:r>
          </w:p>
        </w:tc>
        <w:tc>
          <w:tcPr>
            <w:tcW w:type="dxa" w:w="7488"/>
            <w:vAlign w:val="center"/>
            <w:shd w:fill="F3F3F3"/>
            <w:tcMar>
              <w:top w:w="70" w:type="dxa"/>
              <w:left w:w="70" w:type="dxa"/>
              <w:bottom w:w="70" w:type="dxa"/>
              <w:right w:w="70" w:type="dxa"/>
            </w:tcMar>
          </w:tcPr>
          <w:p>
            <w:pPr>
              <w:pStyle w:val="TableBody"/>
            </w:pPr>
            <w:r>
              <w:t>Уровни звука отдельно для низких, средних и высоких частот.</w:t>
            </w:r>
          </w:p>
        </w:tc>
      </w:tr>
      <w:tr>
        <w:trPr>
          <w:cantSplit/>
        </w:trPr>
        <w:tc>
          <w:tcPr>
            <w:tcW w:type="dxa" w:w="2592"/>
            <w:vAlign w:val="center"/>
            <w:tcMar>
              <w:top w:w="70" w:type="dxa"/>
              <w:left w:w="70" w:type="dxa"/>
              <w:bottom w:w="70" w:type="dxa"/>
              <w:right w:w="70" w:type="dxa"/>
            </w:tcMar>
          </w:tcPr>
          <w:p>
            <w:pPr>
              <w:pStyle w:val="TableBody"/>
            </w:pPr>
            <w:r>
              <w:t>Lw</w:t>
            </w:r>
          </w:p>
        </w:tc>
        <w:tc>
          <w:tcPr>
            <w:tcW w:type="dxa" w:w="7488"/>
            <w:vAlign w:val="center"/>
            <w:tcMar>
              <w:top w:w="70" w:type="dxa"/>
              <w:left w:w="70" w:type="dxa"/>
              <w:bottom w:w="70" w:type="dxa"/>
              <w:right w:w="70" w:type="dxa"/>
            </w:tcMar>
          </w:tcPr>
          <w:p>
            <w:pPr>
              <w:pStyle w:val="TableBody"/>
            </w:pPr>
            <w:r>
              <w:t>Характеристика звуковой мощности самого источника.</w:t>
            </w:r>
          </w:p>
        </w:tc>
      </w:tr>
      <w:tr>
        <w:trPr>
          <w:cantSplit/>
        </w:trPr>
        <w:tc>
          <w:tcPr>
            <w:tcW w:type="dxa" w:w="2592"/>
            <w:vAlign w:val="center"/>
            <w:shd w:fill="F3F3F3"/>
            <w:tcMar>
              <w:top w:w="70" w:type="dxa"/>
              <w:left w:w="70" w:type="dxa"/>
              <w:bottom w:w="70" w:type="dxa"/>
              <w:right w:w="70" w:type="dxa"/>
            </w:tcMar>
          </w:tcPr>
          <w:p>
            <w:pPr>
              <w:pStyle w:val="TableBody"/>
            </w:pPr>
            <w:r>
              <w:t>Lp</w:t>
            </w:r>
          </w:p>
        </w:tc>
        <w:tc>
          <w:tcPr>
            <w:tcW w:type="dxa" w:w="7488"/>
            <w:vAlign w:val="center"/>
            <w:shd w:fill="F3F3F3"/>
            <w:tcMar>
              <w:top w:w="70" w:type="dxa"/>
              <w:left w:w="70" w:type="dxa"/>
              <w:bottom w:w="70" w:type="dxa"/>
              <w:right w:w="70" w:type="dxa"/>
            </w:tcMar>
          </w:tcPr>
          <w:p>
            <w:pPr>
              <w:pStyle w:val="TableBody"/>
            </w:pPr>
            <w:r>
              <w:t>Уровень звукового давления в конкретной точке пространства.</w:t>
            </w:r>
          </w:p>
        </w:tc>
      </w:tr>
      <w:tr>
        <w:trPr>
          <w:cantSplit/>
        </w:trPr>
        <w:tc>
          <w:tcPr>
            <w:tcW w:type="dxa" w:w="2592"/>
            <w:vAlign w:val="center"/>
            <w:tcMar>
              <w:top w:w="70" w:type="dxa"/>
              <w:left w:w="70" w:type="dxa"/>
              <w:bottom w:w="70" w:type="dxa"/>
              <w:right w:w="70" w:type="dxa"/>
            </w:tcMar>
          </w:tcPr>
          <w:p>
            <w:pPr>
              <w:pStyle w:val="TableBody"/>
            </w:pPr>
            <w:r>
              <w:t>дБА</w:t>
            </w:r>
          </w:p>
        </w:tc>
        <w:tc>
          <w:tcPr>
            <w:tcW w:type="dxa" w:w="7488"/>
            <w:vAlign w:val="center"/>
            <w:tcMar>
              <w:top w:w="70" w:type="dxa"/>
              <w:left w:w="70" w:type="dxa"/>
              <w:bottom w:w="70" w:type="dxa"/>
              <w:right w:w="70" w:type="dxa"/>
            </w:tcMar>
          </w:tcPr>
          <w:p>
            <w:pPr>
              <w:pStyle w:val="TableBody"/>
            </w:pPr>
            <w:r>
              <w:t>Уровень с A-коррекцией частот; его нельзя путать с невзвешенным уровнем отдельной полосы.</w:t>
            </w:r>
          </w:p>
        </w:tc>
      </w:tr>
      <w:tr>
        <w:trPr>
          <w:cantSplit/>
        </w:trPr>
        <w:tc>
          <w:tcPr>
            <w:tcW w:type="dxa" w:w="2592"/>
            <w:vAlign w:val="center"/>
            <w:shd w:fill="F3F3F3"/>
            <w:tcMar>
              <w:top w:w="70" w:type="dxa"/>
              <w:left w:w="70" w:type="dxa"/>
              <w:bottom w:w="70" w:type="dxa"/>
              <w:right w:w="70" w:type="dxa"/>
            </w:tcMar>
          </w:tcPr>
          <w:p>
            <w:pPr>
              <w:pStyle w:val="TableBody"/>
            </w:pPr>
            <w:r>
              <w:t>Рассеивание</w:t>
            </w:r>
          </w:p>
        </w:tc>
        <w:tc>
          <w:tcPr>
            <w:tcW w:type="dxa" w:w="7488"/>
            <w:vAlign w:val="center"/>
            <w:shd w:fill="F3F3F3"/>
            <w:tcMar>
              <w:top w:w="70" w:type="dxa"/>
              <w:left w:w="70" w:type="dxa"/>
              <w:bottom w:w="70" w:type="dxa"/>
              <w:right w:w="70" w:type="dxa"/>
            </w:tcMar>
          </w:tcPr>
          <w:p>
            <w:pPr>
              <w:pStyle w:val="TableBody"/>
            </w:pPr>
            <w:r>
              <w:t>Перераспределение отражённого звука по направлениям.</w:t>
            </w:r>
          </w:p>
        </w:tc>
      </w:tr>
      <w:tr>
        <w:trPr>
          <w:cantSplit/>
        </w:trPr>
        <w:tc>
          <w:tcPr>
            <w:tcW w:type="dxa" w:w="2592"/>
            <w:vAlign w:val="center"/>
            <w:tcMar>
              <w:top w:w="70" w:type="dxa"/>
              <w:left w:w="70" w:type="dxa"/>
              <w:bottom w:w="70" w:type="dxa"/>
              <w:right w:w="70" w:type="dxa"/>
            </w:tcMar>
          </w:tcPr>
          <w:p>
            <w:pPr>
              <w:pStyle w:val="TableBody"/>
            </w:pPr>
            <w:r>
              <w:t>Поглощение</w:t>
            </w:r>
          </w:p>
        </w:tc>
        <w:tc>
          <w:tcPr>
            <w:tcW w:type="dxa" w:w="7488"/>
            <w:vAlign w:val="center"/>
            <w:tcMar>
              <w:top w:w="70" w:type="dxa"/>
              <w:left w:w="70" w:type="dxa"/>
              <w:bottom w:w="70" w:type="dxa"/>
              <w:right w:w="70" w:type="dxa"/>
            </w:tcMar>
          </w:tcPr>
          <w:p>
            <w:pPr>
              <w:pStyle w:val="TableBody"/>
            </w:pPr>
            <w:r>
              <w:t>Потеря отражаемой звуковой энергии в принятой модели; трактовка передачи оговаривается отдельно.</w:t>
            </w:r>
          </w:p>
        </w:tc>
      </w:tr>
      <w:tr>
        <w:trPr>
          <w:cantSplit/>
        </w:trPr>
        <w:tc>
          <w:tcPr>
            <w:tcW w:type="dxa" w:w="2592"/>
            <w:vAlign w:val="center"/>
            <w:shd w:fill="F3F3F3"/>
            <w:tcMar>
              <w:top w:w="70" w:type="dxa"/>
              <w:left w:w="70" w:type="dxa"/>
              <w:bottom w:w="70" w:type="dxa"/>
              <w:right w:w="70" w:type="dxa"/>
            </w:tcMar>
          </w:tcPr>
          <w:p>
            <w:pPr>
              <w:pStyle w:val="TableBody"/>
            </w:pPr>
            <w:r>
              <w:t>Дифракция</w:t>
            </w:r>
          </w:p>
        </w:tc>
        <w:tc>
          <w:tcPr>
            <w:tcW w:type="dxa" w:w="7488"/>
            <w:vAlign w:val="center"/>
            <w:shd w:fill="F3F3F3"/>
            <w:tcMar>
              <w:top w:w="70" w:type="dxa"/>
              <w:left w:w="70" w:type="dxa"/>
              <w:bottom w:w="70" w:type="dxa"/>
              <w:right w:w="70" w:type="dxa"/>
            </w:tcMar>
          </w:tcPr>
          <w:p>
            <w:pPr>
              <w:pStyle w:val="TableBody"/>
            </w:pPr>
            <w:r>
              <w:t>Огибание звуком краёв препятствий; базовый SPPS здесь не даёт полной оценки.</w:t>
            </w:r>
          </w:p>
        </w:tc>
      </w:tr>
      <w:tr>
        <w:trPr>
          <w:cantSplit/>
        </w:trPr>
        <w:tc>
          <w:tcPr>
            <w:tcW w:type="dxa" w:w="2592"/>
            <w:vAlign w:val="center"/>
            <w:tcMar>
              <w:top w:w="70" w:type="dxa"/>
              <w:left w:w="70" w:type="dxa"/>
              <w:bottom w:w="70" w:type="dxa"/>
              <w:right w:w="70" w:type="dxa"/>
            </w:tcMar>
          </w:tcPr>
          <w:p>
            <w:pPr>
              <w:pStyle w:val="TableBody"/>
            </w:pPr>
            <w:r>
              <w:t>Сечение</w:t>
            </w:r>
          </w:p>
        </w:tc>
        <w:tc>
          <w:tcPr>
            <w:tcW w:type="dxa" w:w="7488"/>
            <w:vAlign w:val="center"/>
            <w:tcMar>
              <w:top w:w="70" w:type="dxa"/>
              <w:left w:w="70" w:type="dxa"/>
              <w:bottom w:w="70" w:type="dxa"/>
              <w:right w:w="70" w:type="dxa"/>
            </w:tcMar>
          </w:tcPr>
          <w:p>
            <w:pPr>
              <w:pStyle w:val="TableBody"/>
            </w:pPr>
            <w:r>
              <w:t>Выбранная плоскость внутри 3D-результата, например на высоте уха.</w:t>
            </w:r>
          </w:p>
        </w:tc>
      </w:tr>
      <w:tr>
        <w:trPr>
          <w:cantSplit/>
        </w:trPr>
        <w:tc>
          <w:tcPr>
            <w:tcW w:type="dxa" w:w="2592"/>
            <w:vAlign w:val="center"/>
            <w:shd w:fill="F3F3F3"/>
            <w:tcMar>
              <w:top w:w="70" w:type="dxa"/>
              <w:left w:w="70" w:type="dxa"/>
              <w:bottom w:w="70" w:type="dxa"/>
              <w:right w:w="70" w:type="dxa"/>
            </w:tcMar>
          </w:tcPr>
          <w:p>
            <w:pPr>
              <w:pStyle w:val="TableBody"/>
            </w:pPr>
            <w:r>
              <w:t>Изоповерхность</w:t>
            </w:r>
          </w:p>
        </w:tc>
        <w:tc>
          <w:tcPr>
            <w:tcW w:type="dxa" w:w="7488"/>
            <w:vAlign w:val="center"/>
            <w:shd w:fill="F3F3F3"/>
            <w:tcMar>
              <w:top w:w="70" w:type="dxa"/>
              <w:left w:w="70" w:type="dxa"/>
              <w:bottom w:w="70" w:type="dxa"/>
              <w:right w:w="70" w:type="dxa"/>
            </w:tcMar>
          </w:tcPr>
          <w:p>
            <w:pPr>
              <w:pStyle w:val="TableBody"/>
            </w:pPr>
            <w:r>
              <w:t>Поверхность в пространстве, соединяющая точки с одним уровнем.</w:t>
            </w:r>
          </w:p>
        </w:tc>
      </w:tr>
      <w:tr>
        <w:trPr>
          <w:cantSplit/>
        </w:trPr>
        <w:tc>
          <w:tcPr>
            <w:tcW w:type="dxa" w:w="2592"/>
            <w:vAlign w:val="center"/>
            <w:tcMar>
              <w:top w:w="70" w:type="dxa"/>
              <w:left w:w="70" w:type="dxa"/>
              <w:bottom w:w="70" w:type="dxa"/>
              <w:right w:w="70" w:type="dxa"/>
            </w:tcMar>
          </w:tcPr>
          <w:p>
            <w:pPr>
              <w:pStyle w:val="TableBody"/>
            </w:pPr>
            <w:r>
              <w:t>Ревизия</w:t>
            </w:r>
          </w:p>
        </w:tc>
        <w:tc>
          <w:tcPr>
            <w:tcW w:type="dxa" w:w="7488"/>
            <w:vAlign w:val="center"/>
            <w:tcMar>
              <w:top w:w="70" w:type="dxa"/>
              <w:left w:w="70" w:type="dxa"/>
              <w:bottom w:w="70" w:type="dxa"/>
              <w:right w:w="70" w:type="dxa"/>
            </w:tcMar>
          </w:tcPr>
          <w:p>
            <w:pPr>
              <w:pStyle w:val="TableBody"/>
            </w:pPr>
            <w:r>
              <w:t>Сохранённая неизменяемая версия модели.</w:t>
            </w:r>
          </w:p>
        </w:tc>
      </w:tr>
      <w:tr>
        <w:trPr>
          <w:cantSplit/>
        </w:trPr>
        <w:tc>
          <w:tcPr>
            <w:tcW w:type="dxa" w:w="2592"/>
            <w:vAlign w:val="center"/>
            <w:shd w:fill="F3F3F3"/>
            <w:tcMar>
              <w:top w:w="70" w:type="dxa"/>
              <w:left w:w="70" w:type="dxa"/>
              <w:bottom w:w="70" w:type="dxa"/>
              <w:right w:w="70" w:type="dxa"/>
            </w:tcMar>
          </w:tcPr>
          <w:p>
            <w:pPr>
              <w:pStyle w:val="TableBody"/>
            </w:pPr>
            <w:r>
              <w:t>Seed</w:t>
            </w:r>
          </w:p>
        </w:tc>
        <w:tc>
          <w:tcPr>
            <w:tcW w:type="dxa" w:w="7488"/>
            <w:vAlign w:val="center"/>
            <w:shd w:fill="F3F3F3"/>
            <w:tcMar>
              <w:top w:w="70" w:type="dxa"/>
              <w:left w:w="70" w:type="dxa"/>
              <w:bottom w:w="70" w:type="dxa"/>
              <w:right w:w="70" w:type="dxa"/>
            </w:tcMar>
          </w:tcPr>
          <w:p>
            <w:pPr>
              <w:pStyle w:val="TableBody"/>
            </w:pPr>
            <w:r>
              <w:t>Начальное число случайного алгоритма для повторяемых вычислений.</w:t>
            </w:r>
          </w:p>
        </w:tc>
      </w:tr>
      <w:tr>
        <w:trPr>
          <w:cantSplit/>
        </w:trPr>
        <w:tc>
          <w:tcPr>
            <w:tcW w:type="dxa" w:w="2592"/>
            <w:vAlign w:val="center"/>
            <w:tcMar>
              <w:top w:w="70" w:type="dxa"/>
              <w:left w:w="70" w:type="dxa"/>
              <w:bottom w:w="70" w:type="dxa"/>
              <w:right w:w="70" w:type="dxa"/>
            </w:tcMar>
          </w:tcPr>
          <w:p>
            <w:pPr>
              <w:pStyle w:val="TableBody"/>
            </w:pPr>
            <w:r>
              <w:t>Сходимость</w:t>
            </w:r>
          </w:p>
        </w:tc>
        <w:tc>
          <w:tcPr>
            <w:tcW w:type="dxa" w:w="7488"/>
            <w:vAlign w:val="center"/>
            <w:tcMar>
              <w:top w:w="70" w:type="dxa"/>
              <w:left w:w="70" w:type="dxa"/>
              <w:bottom w:w="70" w:type="dxa"/>
              <w:right w:w="70" w:type="dxa"/>
            </w:tcMar>
          </w:tcPr>
          <w:p>
            <w:pPr>
              <w:pStyle w:val="TableBody"/>
            </w:pPr>
            <w:r>
              <w:t>Проверка, что увеличение объёма вычислений мало меняет результат.</w:t>
            </w:r>
          </w:p>
        </w:tc>
      </w:tr>
      <w:tr>
        <w:trPr>
          <w:cantSplit/>
        </w:trPr>
        <w:tc>
          <w:tcPr>
            <w:tcW w:type="dxa" w:w="2592"/>
            <w:vAlign w:val="center"/>
            <w:shd w:fill="F3F3F3"/>
            <w:tcMar>
              <w:top w:w="70" w:type="dxa"/>
              <w:left w:w="70" w:type="dxa"/>
              <w:bottom w:w="70" w:type="dxa"/>
              <w:right w:w="70" w:type="dxa"/>
            </w:tcMar>
          </w:tcPr>
          <w:p>
            <w:pPr>
              <w:pStyle w:val="TableBody"/>
            </w:pPr>
            <w:r>
              <w:t>API</w:t>
            </w:r>
          </w:p>
        </w:tc>
        <w:tc>
          <w:tcPr>
            <w:tcW w:type="dxa" w:w="7488"/>
            <w:vAlign w:val="center"/>
            <w:shd w:fill="F3F3F3"/>
            <w:tcMar>
              <w:top w:w="70" w:type="dxa"/>
              <w:left w:w="70" w:type="dxa"/>
              <w:bottom w:w="70" w:type="dxa"/>
              <w:right w:w="70" w:type="dxa"/>
            </w:tcMar>
          </w:tcPr>
          <w:p>
            <w:pPr>
              <w:pStyle w:val="TableBody"/>
            </w:pPr>
            <w:r>
              <w:t>Правила обмена данными между телефоном и сервером.</w:t>
            </w:r>
          </w:p>
        </w:tc>
      </w:tr>
      <w:tr>
        <w:trPr>
          <w:cantSplit/>
        </w:trPr>
        <w:tc>
          <w:tcPr>
            <w:tcW w:type="dxa" w:w="2592"/>
            <w:vAlign w:val="center"/>
            <w:tcMar>
              <w:top w:w="70" w:type="dxa"/>
              <w:left w:w="70" w:type="dxa"/>
              <w:bottom w:w="70" w:type="dxa"/>
              <w:right w:w="70" w:type="dxa"/>
            </w:tcMar>
          </w:tcPr>
          <w:p>
            <w:pPr>
              <w:pStyle w:val="TableBody"/>
            </w:pPr>
            <w:r>
              <w:t>Очередь</w:t>
            </w:r>
          </w:p>
        </w:tc>
        <w:tc>
          <w:tcPr>
            <w:tcW w:type="dxa" w:w="7488"/>
            <w:vAlign w:val="center"/>
            <w:tcMar>
              <w:top w:w="70" w:type="dxa"/>
              <w:left w:w="70" w:type="dxa"/>
              <w:bottom w:w="70" w:type="dxa"/>
              <w:right w:w="70" w:type="dxa"/>
            </w:tcMar>
          </w:tcPr>
          <w:p>
            <w:pPr>
              <w:pStyle w:val="TableBody"/>
            </w:pPr>
            <w:r>
              <w:t>Список надёжно сохранённых заданий, ожидающих свободного исполнителя.</w:t>
            </w:r>
          </w:p>
        </w:tc>
      </w:tr>
      <w:tr>
        <w:trPr>
          <w:cantSplit/>
        </w:trPr>
        <w:tc>
          <w:tcPr>
            <w:tcW w:type="dxa" w:w="2592"/>
            <w:vAlign w:val="center"/>
            <w:shd w:fill="F3F3F3"/>
            <w:tcMar>
              <w:top w:w="70" w:type="dxa"/>
              <w:left w:w="70" w:type="dxa"/>
              <w:bottom w:w="70" w:type="dxa"/>
              <w:right w:w="70" w:type="dxa"/>
            </w:tcMar>
          </w:tcPr>
          <w:p>
            <w:pPr>
              <w:pStyle w:val="TableBody"/>
            </w:pPr>
            <w:r>
              <w:t>MCP</w:t>
            </w:r>
          </w:p>
        </w:tc>
        <w:tc>
          <w:tcPr>
            <w:tcW w:type="dxa" w:w="7488"/>
            <w:vAlign w:val="center"/>
            <w:shd w:fill="F3F3F3"/>
            <w:tcMar>
              <w:top w:w="70" w:type="dxa"/>
              <w:left w:w="70" w:type="dxa"/>
              <w:bottom w:w="70" w:type="dxa"/>
              <w:right w:w="70" w:type="dxa"/>
            </w:tcMar>
          </w:tcPr>
          <w:p>
            <w:pPr>
              <w:pStyle w:val="TableBody"/>
            </w:pPr>
            <w:r>
              <w:t>Подключение дополнительных инструментов к Cursor при разработке.</w:t>
            </w:r>
          </w:p>
        </w:tc>
      </w:tr>
      <w:tr>
        <w:trPr>
          <w:cantSplit/>
        </w:trPr>
        <w:tc>
          <w:tcPr>
            <w:tcW w:type="dxa" w:w="2592"/>
            <w:vAlign w:val="center"/>
            <w:tcMar>
              <w:top w:w="70" w:type="dxa"/>
              <w:left w:w="70" w:type="dxa"/>
              <w:bottom w:w="70" w:type="dxa"/>
              <w:right w:w="70" w:type="dxa"/>
            </w:tcMar>
          </w:tcPr>
          <w:p>
            <w:pPr>
              <w:pStyle w:val="TableBody"/>
            </w:pPr>
            <w:r>
              <w:t>Регрессия</w:t>
            </w:r>
          </w:p>
        </w:tc>
        <w:tc>
          <w:tcPr>
            <w:tcW w:type="dxa" w:w="7488"/>
            <w:vAlign w:val="center"/>
            <w:tcMar>
              <w:top w:w="70" w:type="dxa"/>
              <w:left w:w="70" w:type="dxa"/>
              <w:bottom w:w="70" w:type="dxa"/>
              <w:right w:w="70" w:type="dxa"/>
            </w:tcMar>
          </w:tcPr>
          <w:p>
            <w:pPr>
              <w:pStyle w:val="TableBody"/>
            </w:pPr>
            <w:r>
              <w:t>Повтор старых проверок, чтобы изменение кода не сломало ранее работающие функции.</w:t>
            </w:r>
          </w:p>
        </w:tc>
      </w:tr>
    </w:tbl>
    <w:p>
      <w:pPr>
        <w:spacing w:after="0"/>
      </w:pPr>
    </w:p>
    <w:p>
      <w:bookmarkStart w:id="32" w:name="section_32"/>
      <w:pPr>
        <w:pStyle w:val="Heading1"/>
      </w:pPr>
      <w:r>
        <w:t>32 Источники технических сведений</w:t>
      </w:r>
      <w:bookmarkEnd w:id="32"/>
    </w:p>
    <w:p>
      <w:r>
        <w:t>Дата проверки — 15 октября 2026 года. Источники ниже подтверждают свойства инструментов и исходного ядра. Требования приложения, выбранная архитектура, лимиты и порядок реализации являются решениями данного ТЗ. Ссылки на ветку main служат для ознакомления; для сборки требуется закрепить коммит и сохранить копию применимых лицензий.</w:t>
      </w:r>
    </w:p>
    <w:p>
      <w:r>
        <w:rPr>
          <w:b/>
        </w:rPr>
        <w:t>[S01] I-Simpa.</w:t>
      </w:r>
      <w:r>
        <w:t xml:space="preserve"> Официальный репозиторий, состав проекта и условия распространения: </w:t>
      </w:r>
      <w:hyperlink r:id="rId12">
        <w:r>
          <w:rPr>
            <w:color w:val="24527A"/>
          </w:rPr>
          <w:t>github.com/Universite-Gustave-Eiffel/I-Simpa</w:t>
        </w:r>
      </w:hyperlink>
      <w:r>
        <w:t>.</w:t>
      </w:r>
    </w:p>
    <w:p>
      <w:r>
        <w:rPr>
          <w:b/>
        </w:rPr>
        <w:t>[S02] I-Simpa Documentation.</w:t>
      </w:r>
      <w:r>
        <w:t xml:space="preserve"> Возможности расчётных кодов: </w:t>
      </w:r>
      <w:hyperlink r:id="rId13">
        <w:r>
          <w:rPr>
            <w:color w:val="24527A"/>
          </w:rPr>
          <w:t>code_characteristics</w:t>
        </w:r>
      </w:hyperlink>
      <w:r>
        <w:t>.</w:t>
      </w:r>
    </w:p>
    <w:p>
      <w:r>
        <w:rPr>
          <w:b/>
        </w:rPr>
        <w:t>[S03] I-Simpa Documentation.</w:t>
      </w:r>
      <w:r>
        <w:t xml:space="preserve"> Физическая модель SPPS и энергетические взаимодействия: </w:t>
      </w:r>
      <w:hyperlink r:id="rId14">
        <w:r>
          <w:rPr>
            <w:color w:val="24527A"/>
          </w:rPr>
          <w:t>code_SPPS_modelling</w:t>
        </w:r>
      </w:hyperlink>
      <w:r>
        <w:t>.</w:t>
      </w:r>
    </w:p>
    <w:p>
      <w:r>
        <w:rPr>
          <w:b/>
        </w:rPr>
        <w:t>[S04] I-Simpa Documentation.</w:t>
      </w:r>
      <w:r>
        <w:t xml:space="preserve"> Настройки SPPS, случайная последовательность и режимы вычисления: </w:t>
      </w:r>
      <w:hyperlink r:id="rId15">
        <w:r>
          <w:rPr>
            <w:color w:val="24527A"/>
          </w:rPr>
          <w:t>code_configuration_SPPS</w:t>
        </w:r>
      </w:hyperlink>
      <w:r>
        <w:t>.</w:t>
      </w:r>
    </w:p>
    <w:p>
      <w:r>
        <w:rPr>
          <w:b/>
        </w:rPr>
        <w:t>[S05] Исходники I-Simpa.</w:t>
      </w:r>
      <w:r>
        <w:t xml:space="preserve"> Точка входа и выполнение SPPS: </w:t>
      </w:r>
      <w:hyperlink r:id="rId16">
        <w:r>
          <w:rPr>
            <w:color w:val="24527A"/>
          </w:rPr>
          <w:t>sppsNantes.cpp</w:t>
        </w:r>
      </w:hyperlink>
      <w:r>
        <w:t xml:space="preserve">. Просмотренный blob точки входа: a2c79cdb90b2c6d72fd72886d791b0fe8e1bbcb9. Настройки сборки: </w:t>
      </w:r>
      <w:hyperlink r:id="rId17">
        <w:r>
          <w:rPr>
            <w:color w:val="24527A"/>
          </w:rPr>
          <w:t>CMakeLists.txt</w:t>
        </w:r>
      </w:hyperlink>
      <w:r>
        <w:t xml:space="preserve">. Пример конфигурации: </w:t>
      </w:r>
      <w:hyperlink r:id="rId18">
        <w:r>
          <w:rPr>
            <w:color w:val="24527A"/>
          </w:rPr>
          <w:t>tests/config.xml</w:t>
        </w:r>
      </w:hyperlink>
      <w:r>
        <w:t>.</w:t>
      </w:r>
    </w:p>
    <w:p>
      <w:r>
        <w:rPr>
          <w:b/>
        </w:rPr>
        <w:t>[S06] I-Simpa Documentation.</w:t>
      </w:r>
      <w:r>
        <w:t xml:space="preserve"> База свойств материалов: </w:t>
      </w:r>
      <w:hyperlink r:id="rId19">
        <w:r>
          <w:rPr>
            <w:color w:val="24527A"/>
          </w:rPr>
          <w:t>project_database</w:t>
        </w:r>
      </w:hyperlink>
      <w:r>
        <w:t xml:space="preserve">. Ввод спектров: </w:t>
      </w:r>
      <w:hyperlink r:id="rId20">
        <w:r>
          <w:rPr>
            <w:color w:val="24527A"/>
          </w:rPr>
          <w:t>using_spectrum</w:t>
        </w:r>
      </w:hyperlink>
      <w:r>
        <w:t>.</w:t>
      </w:r>
    </w:p>
    <w:p>
      <w:r>
        <w:rPr>
          <w:b/>
        </w:rPr>
        <w:t>[S07] Исходники I-Simpa.</w:t>
      </w:r>
      <w:r>
        <w:t xml:space="preserve"> Библиотека обмена и Python-привязки: </w:t>
      </w:r>
      <w:hyperlink r:id="rId21">
        <w:r>
          <w:rPr>
            <w:color w:val="24527A"/>
          </w:rPr>
          <w:t>lib_interface</w:t>
        </w:r>
      </w:hyperlink>
      <w:r>
        <w:t xml:space="preserve"> и </w:t>
      </w:r>
      <w:hyperlink r:id="rId22">
        <w:r>
          <w:rPr>
            <w:color w:val="24527A"/>
          </w:rPr>
          <w:t>python_bindings</w:t>
        </w:r>
      </w:hyperlink>
      <w:r>
        <w:t>.</w:t>
      </w:r>
    </w:p>
    <w:p>
      <w:r>
        <w:rPr>
          <w:b/>
        </w:rPr>
        <w:t>[S08] TetGen в репозитории I-Simpa.</w:t>
      </w:r>
      <w:r>
        <w:t xml:space="preserve"> Отдельная лицензия компонента: </w:t>
      </w:r>
      <w:hyperlink r:id="rId23">
        <w:r>
          <w:rPr>
            <w:color w:val="24527A"/>
          </w:rPr>
          <w:t>src/tetgen/LICENSE</w:t>
        </w:r>
      </w:hyperlink>
      <w:r>
        <w:t>. Просмотренный blob: e253c3d965ddda3797c1ce80fedde3c84c54ecd4.</w:t>
      </w:r>
    </w:p>
    <w:p>
      <w:r>
        <w:rPr>
          <w:b/>
        </w:rPr>
        <w:t>[S09] Three.js.</w:t>
      </w:r>
      <w:r>
        <w:t xml:space="preserve"> WebGLRenderer, WebGL2 и трёхмерные текстуры: </w:t>
      </w:r>
      <w:hyperlink r:id="rId24">
        <w:r>
          <w:rPr>
            <w:color w:val="24527A"/>
          </w:rPr>
          <w:t>WebGLRenderer</w:t>
        </w:r>
      </w:hyperlink>
      <w:r>
        <w:t xml:space="preserve">, </w:t>
      </w:r>
      <w:hyperlink r:id="rId25">
        <w:r>
          <w:rPr>
            <w:color w:val="24527A"/>
          </w:rPr>
          <w:t>WebGL</w:t>
        </w:r>
      </w:hyperlink>
      <w:r>
        <w:t xml:space="preserve">, </w:t>
      </w:r>
      <w:hyperlink r:id="rId26">
        <w:r>
          <w:rPr>
            <w:color w:val="24527A"/>
          </w:rPr>
          <w:t>Data3DTexture</w:t>
        </w:r>
      </w:hyperlink>
      <w:r>
        <w:t>.</w:t>
      </w:r>
    </w:p>
    <w:p>
      <w:r>
        <w:rPr>
          <w:b/>
        </w:rPr>
        <w:t>[S10] Three.js.</w:t>
      </w:r>
      <w:r>
        <w:t xml:space="preserve"> Выбор объектов и камера: </w:t>
      </w:r>
      <w:hyperlink r:id="rId27">
        <w:r>
          <w:rPr>
            <w:color w:val="24527A"/>
          </w:rPr>
          <w:t>Raycaster</w:t>
        </w:r>
      </w:hyperlink>
      <w:r>
        <w:t xml:space="preserve">, </w:t>
      </w:r>
      <w:hyperlink r:id="rId28">
        <w:r>
          <w:rPr>
            <w:color w:val="24527A"/>
          </w:rPr>
          <w:t>OrbitControls</w:t>
        </w:r>
      </w:hyperlink>
      <w:r>
        <w:t>.</w:t>
      </w:r>
    </w:p>
    <w:p>
      <w:r>
        <w:rPr>
          <w:b/>
        </w:rPr>
        <w:t>[S11] React Three Fiber.</w:t>
      </w:r>
      <w:r>
        <w:t xml:space="preserve"> Официальная документация: </w:t>
      </w:r>
      <w:hyperlink r:id="rId29">
        <w:r>
          <w:rPr>
            <w:color w:val="24527A"/>
          </w:rPr>
          <w:t>Introduction</w:t>
        </w:r>
      </w:hyperlink>
      <w:r>
        <w:t>.</w:t>
      </w:r>
    </w:p>
    <w:p>
      <w:r>
        <w:rPr>
          <w:b/>
        </w:rPr>
        <w:t>[S12] Konva.</w:t>
      </w:r>
      <w:r>
        <w:t xml:space="preserve"> React-интеграция редактора Canvas: </w:t>
      </w:r>
      <w:hyperlink r:id="rId30">
        <w:r>
          <w:rPr>
            <w:color w:val="24527A"/>
          </w:rPr>
          <w:t>React Konva</w:t>
        </w:r>
      </w:hyperlink>
      <w:r>
        <w:t>.</w:t>
      </w:r>
    </w:p>
    <w:p>
      <w:r>
        <w:rPr>
          <w:b/>
        </w:rPr>
        <w:t>[S13] Vite PWA.</w:t>
      </w:r>
      <w:r>
        <w:t xml:space="preserve"> Официальное руководство плагина: </w:t>
      </w:r>
      <w:hyperlink r:id="rId31">
        <w:r>
          <w:rPr>
            <w:color w:val="24527A"/>
          </w:rPr>
          <w:t>Guide</w:t>
        </w:r>
      </w:hyperlink>
      <w:r>
        <w:t>.</w:t>
      </w:r>
    </w:p>
    <w:p>
      <w:r>
        <w:rPr>
          <w:b/>
        </w:rPr>
        <w:t>[S14] Dexie.</w:t>
      </w:r>
      <w:r>
        <w:t xml:space="preserve"> Работа с IndexedDB: </w:t>
      </w:r>
      <w:hyperlink r:id="rId32">
        <w:r>
          <w:rPr>
            <w:color w:val="24527A"/>
          </w:rPr>
          <w:t>Documentation</w:t>
        </w:r>
      </w:hyperlink>
      <w:r>
        <w:t>.</w:t>
      </w:r>
    </w:p>
    <w:p>
      <w:r>
        <w:rPr>
          <w:b/>
        </w:rPr>
        <w:t>[S15] FastAPI.</w:t>
      </w:r>
      <w:r>
        <w:t xml:space="preserve"> Границы использования фоновых задач и внешние исполнители: </w:t>
      </w:r>
      <w:hyperlink r:id="rId33">
        <w:r>
          <w:rPr>
            <w:color w:val="24527A"/>
          </w:rPr>
          <w:t>Background Tasks</w:t>
        </w:r>
      </w:hyperlink>
      <w:r>
        <w:t>.</w:t>
      </w:r>
    </w:p>
    <w:p>
      <w:r>
        <w:rPr>
          <w:b/>
        </w:rPr>
        <w:t>[S16] Celery.</w:t>
      </w:r>
      <w:r>
        <w:t xml:space="preserve"> Задачи, повторная доставка и идемпотентность: </w:t>
      </w:r>
      <w:hyperlink r:id="rId34">
        <w:r>
          <w:rPr>
            <w:color w:val="24527A"/>
          </w:rPr>
          <w:t>Tasks</w:t>
        </w:r>
      </w:hyperlink>
      <w:r>
        <w:t>.</w:t>
      </w:r>
    </w:p>
    <w:p>
      <w:r>
        <w:rPr>
          <w:b/>
        </w:rPr>
        <w:t>[S17] MDN.</w:t>
      </w:r>
      <w:r>
        <w:t xml:space="preserve"> Квоты и удаление браузерного хранилища: </w:t>
      </w:r>
      <w:hyperlink r:id="rId35">
        <w:r>
          <w:rPr>
            <w:color w:val="24527A"/>
          </w:rPr>
          <w:t>Storage quotas and eviction criteria</w:t>
        </w:r>
      </w:hyperlink>
      <w:r>
        <w:t>.</w:t>
      </w:r>
    </w:p>
    <w:p>
      <w:r>
        <w:rPr>
          <w:b/>
        </w:rPr>
        <w:t>[S18] Keycloak.</w:t>
      </w:r>
      <w:r>
        <w:t xml:space="preserve"> Использование OpenID Connect: </w:t>
      </w:r>
      <w:hyperlink r:id="rId36">
        <w:r>
          <w:rPr>
            <w:color w:val="24527A"/>
          </w:rPr>
          <w:t>OIDC layers</w:t>
        </w:r>
      </w:hyperlink>
      <w:r>
        <w:t>.</w:t>
      </w:r>
    </w:p>
    <w:p>
      <w:r>
        <w:rPr>
          <w:b/>
        </w:rPr>
        <w:t>[S19] Cursor.</w:t>
      </w:r>
      <w:r>
        <w:t xml:space="preserve"> Правила проекта: </w:t>
      </w:r>
      <w:hyperlink r:id="rId37">
        <w:r>
          <w:rPr>
            <w:color w:val="24527A"/>
          </w:rPr>
          <w:t>Rules</w:t>
        </w:r>
      </w:hyperlink>
      <w:r>
        <w:t>.</w:t>
      </w:r>
    </w:p>
    <w:p>
      <w:r>
        <w:rPr>
          <w:b/>
        </w:rPr>
        <w:t>[S20] Cursor.</w:t>
      </w:r>
      <w:r>
        <w:t xml:space="preserve"> Подключение инструментов: </w:t>
      </w:r>
      <w:hyperlink r:id="rId38">
        <w:r>
          <w:rPr>
            <w:color w:val="24527A"/>
          </w:rPr>
          <w:t>Model Context Protocol</w:t>
        </w:r>
      </w:hyperlink>
      <w:r>
        <w:t>.</w:t>
      </w:r>
    </w:p>
    <w:p>
      <w:r>
        <w:rPr>
          <w:b/>
        </w:rPr>
        <w:t>[S21] GitHub.</w:t>
      </w:r>
      <w:r>
        <w:t xml:space="preserve"> Официальный MCP-сервер: </w:t>
      </w:r>
      <w:hyperlink r:id="rId39">
        <w:r>
          <w:rPr>
            <w:color w:val="24527A"/>
          </w:rPr>
          <w:t>github-mcp-server</w:t>
        </w:r>
      </w:hyperlink>
      <w:r>
        <w:t>.</w:t>
      </w:r>
    </w:p>
    <w:p>
      <w:r>
        <w:rPr>
          <w:b/>
        </w:rPr>
        <w:t>[S22] Microsoft.</w:t>
      </w:r>
      <w:r>
        <w:t xml:space="preserve"> Playwright MCP: </w:t>
      </w:r>
      <w:hyperlink r:id="rId40">
        <w:r>
          <w:rPr>
            <w:color w:val="24527A"/>
          </w:rPr>
          <w:t>playwright-mcp</w:t>
        </w:r>
      </w:hyperlink>
      <w:r>
        <w:t>.</w:t>
      </w:r>
    </w:p>
    <w:p>
      <w:r>
        <w:rPr>
          <w:b/>
        </w:rPr>
        <w:t>[S23] Playwright.</w:t>
      </w:r>
      <w:r>
        <w:t xml:space="preserve"> Эмуляция мобильных устройств и параметров браузера: </w:t>
      </w:r>
      <w:hyperlink r:id="rId41">
        <w:r>
          <w:rPr>
            <w:color w:val="24527A"/>
          </w:rPr>
          <w:t>Emulation</w:t>
        </w:r>
      </w:hyperlink>
      <w:r>
        <w:t>.</w:t>
      </w:r>
    </w:p>
    <w:p>
      <w:r>
        <w:rPr>
          <w:b/>
        </w:rPr>
        <w:t>[S24] Chrome DevTools.</w:t>
      </w:r>
      <w:r>
        <w:t xml:space="preserve"> Официальный MCP-сервер: </w:t>
      </w:r>
      <w:hyperlink r:id="rId42">
        <w:r>
          <w:rPr>
            <w:color w:val="24527A"/>
          </w:rPr>
          <w:t>chrome-devtools-mcp</w:t>
        </w:r>
      </w:hyperlink>
      <w:r>
        <w:t>.</w:t>
      </w:r>
    </w:p>
    <w:p>
      <w:r>
        <w:rPr>
          <w:b/>
        </w:rPr>
        <w:t>[S25] GNU.</w:t>
      </w:r>
      <w:r>
        <w:t xml:space="preserve"> Текст GPL версии 3: </w:t>
      </w:r>
      <w:hyperlink r:id="rId43">
        <w:r>
          <w:rPr>
            <w:color w:val="24527A"/>
          </w:rPr>
          <w:t>GNU GPLv3</w:t>
        </w:r>
      </w:hyperlink>
      <w:r>
        <w:t>.</w:t>
      </w:r>
    </w:p>
    <w:p>
      <w:r>
        <w:rPr>
          <w:b/>
        </w:rPr>
        <w:t>[S26] GNU.</w:t>
      </w:r>
      <w:r>
        <w:t xml:space="preserve"> Текст AGPL версии 3, включая сетевое использование модифицированных версий: </w:t>
      </w:r>
      <w:hyperlink r:id="rId44">
        <w:r>
          <w:rPr>
            <w:color w:val="24527A"/>
          </w:rPr>
          <w:t>GNU AGPLv3</w:t>
        </w:r>
      </w:hyperlink>
      <w:r>
        <w:t>.</w:t>
      </w:r>
    </w:p>
    <w:p>
      <w:r>
        <w:rPr>
          <w:b/>
        </w:rPr>
        <w:t>[S27] Astral.</w:t>
      </w:r>
      <w:r>
        <w:t xml:space="preserve"> Настройка редакторов для Ruff: </w:t>
      </w:r>
      <w:hyperlink r:id="rId45">
        <w:r>
          <w:rPr>
            <w:color w:val="24527A"/>
          </w:rPr>
          <w:t>Editor setup</w:t>
        </w:r>
      </w:hyperlink>
      <w:r>
        <w:t>.</w:t>
      </w:r>
    </w:p>
    <w:p>
      <w:r>
        <w:rPr>
          <w:b/>
        </w:rPr>
        <w:t>[S28] Chrome for Developers.</w:t>
      </w:r>
      <w:r>
        <w:t xml:space="preserve"> Удалённая отладка Android: </w:t>
      </w:r>
      <w:hyperlink r:id="rId46">
        <w:r>
          <w:rPr>
            <w:color w:val="24527A"/>
          </w:rPr>
          <w:t>Remote debugging</w:t>
        </w:r>
      </w:hyperlink>
      <w:r>
        <w:t>.</w:t>
      </w:r>
    </w:p>
    <w:p>
      <w:r>
        <w:rPr>
          <w:b/>
        </w:rPr>
        <w:t>[S29] Docker.</w:t>
      </w:r>
      <w:r>
        <w:t xml:space="preserve"> Docker Compose: </w:t>
      </w:r>
      <w:hyperlink r:id="rId47">
        <w:r>
          <w:rPr>
            <w:color w:val="24527A"/>
          </w:rPr>
          <w:t>Documentation</w:t>
        </w:r>
      </w:hyperlink>
      <w:r>
        <w:t>.</w:t>
      </w:r>
    </w:p>
    <w:p>
      <w:r>
        <w:rPr>
          <w:b/>
        </w:rPr>
        <w:t>[S30] I-Simpa Documentation.</w:t>
      </w:r>
      <w:r>
        <w:t xml:space="preserve"> Учебная модель производственного помещения: </w:t>
      </w:r>
      <w:hyperlink r:id="rId48">
        <w:r>
          <w:rPr>
            <w:color w:val="24527A"/>
          </w:rPr>
          <w:t>Industrial hall tutorial</w:t>
        </w:r>
      </w:hyperlink>
      <w:r>
        <w:t>.</w:t>
      </w:r>
    </w:p>
    <w:p>
      <w:r>
        <w:rPr>
          <w:b/>
        </w:rPr>
        <w:t>[S31] Shapely.</w:t>
      </w:r>
      <w:r>
        <w:t xml:space="preserve"> Плоская геометрия и операции над контурами: </w:t>
      </w:r>
      <w:hyperlink r:id="rId49">
        <w:r>
          <w:rPr>
            <w:color w:val="24527A"/>
          </w:rPr>
          <w:t>User Manual</w:t>
        </w:r>
      </w:hyperlink>
      <w:r>
        <w:t>.</w:t>
      </w:r>
    </w:p>
    <w:p>
      <w:r>
        <w:rPr>
          <w:b/>
        </w:rPr>
        <w:t>[S32] Three.js.</w:t>
      </w:r>
      <w:r>
        <w:t xml:space="preserve"> Триангуляция плоских контуров: </w:t>
      </w:r>
      <w:hyperlink r:id="rId50">
        <w:r>
          <w:rPr>
            <w:color w:val="24527A"/>
          </w:rPr>
          <w:t>ShapeUtils</w:t>
        </w:r>
      </w:hyperlink>
      <w:r>
        <w:t>.</w:t>
      </w:r>
    </w:p>
    <w:sectPr w:rsidR="00FC693F" w:rsidRPr="0006063C" w:rsidSect="00034616">
      <w:headerReference w:type="default" r:id="rId9"/>
      <w:footerReference w:type="default" r:id="rId10"/>
      <w:pgSz w:w="12240" w:h="15840"/>
      <w:pgMar w:top="1008" w:right="1008" w:bottom="1008" w:left="115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Версия 1.0   •   </w:t>
    </w:r>
    <w:r>
      <w:fldChar w:fldCharType="begin"/>
      <w:instrText xml:space="preserve"> PAGE </w:instrText>
      <w:fldChar w:fldCharType="end"/>
    </w:r>
    <w: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sz w:val="15"/>
      </w:rPr>
      <w:t>ТЗ   МОБИЛЬНОЕ ВЕБ ПРИЛОЖЕНИЕ ДЛЯ АКУСТИЧЕСКОГО МОДЕЛИРОВАНИЯ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DejaVu Sans" w:hAnsi="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9" w:lineRule="auto"/>
    </w:pPr>
    <w:rPr>
      <w:rFonts w:ascii="DejaVu Sans" w:hAnsi="DejaVu San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9"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9"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DejaVu Sans Mono" w:hAnsi="DejaVu Sans Mono"/>
      <w:sz w:val="16"/>
    </w:rPr>
  </w:style>
  <w:style w:type="paragraph" w:customStyle="1" w:styleId="Small">
    <w:name w:val="Small"/>
    <w:pPr>
      <w:spacing w:after="80"/>
    </w:pPr>
    <w:rPr>
      <w:rFonts w:ascii="DejaVu Sans" w:hAnsi="DejaVu Sans"/>
      <w:sz w:val="18"/>
    </w:rPr>
  </w:style>
  <w:style w:type="paragraph" w:customStyle="1" w:styleId="TOCEntry">
    <w:name w:val="TOCEntry"/>
    <w:pPr>
      <w:spacing w:after="100"/>
    </w:pPr>
    <w:rPr>
      <w:rFonts w:ascii="DejaVu Sans" w:hAnsi="DejaVu Sans"/>
      <w:sz w:val="20"/>
    </w:rPr>
  </w:style>
  <w:style w:type="paragraph" w:customStyle="1" w:styleId="TableBody">
    <w:name w:val="TableBody"/>
    <w:pPr>
      <w:spacing w:after="60" w:line="247" w:lineRule="auto"/>
    </w:pPr>
    <w:rPr>
      <w:rFonts w:ascii="DejaVu Sans" w:hAnsi="DejaVu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Universite-Gustave-Eiffel/I-Simpa" TargetMode="External"/><Relationship Id="rId13" Type="http://schemas.openxmlformats.org/officeDocument/2006/relationships/hyperlink" Target="https://i-simpa-wiki.readthedocs.io/fr/latest/code_characteristics.html" TargetMode="External"/><Relationship Id="rId14" Type="http://schemas.openxmlformats.org/officeDocument/2006/relationships/hyperlink" Target="https://i-simpa-wiki.readthedocs.io/fr/latest/code_SPPS_modelling.html" TargetMode="External"/><Relationship Id="rId15" Type="http://schemas.openxmlformats.org/officeDocument/2006/relationships/hyperlink" Target="https://i-simpa-wiki.readthedocs.io/fr/latest/code_configuration_SPPS.html" TargetMode="External"/><Relationship Id="rId16" Type="http://schemas.openxmlformats.org/officeDocument/2006/relationships/hyperlink" Target="https://github.com/Universite-Gustave-Eiffel/I-Simpa/blob/main/src/spps/sppsNantes.cpp" TargetMode="External"/><Relationship Id="rId17" Type="http://schemas.openxmlformats.org/officeDocument/2006/relationships/hyperlink" Target="https://github.com/Universite-Gustave-Eiffel/I-Simpa/blob/main/CMakeLists.txt" TargetMode="External"/><Relationship Id="rId18" Type="http://schemas.openxmlformats.org/officeDocument/2006/relationships/hyperlink" Target="https://github.com/Universite-Gustave-Eiffel/I-Simpa/blob/main/src/spps/tests/config.xml" TargetMode="External"/><Relationship Id="rId19" Type="http://schemas.openxmlformats.org/officeDocument/2006/relationships/hyperlink" Target="https://i-simpa-wiki.readthedocs.io/fr/latest/project_database.html" TargetMode="External"/><Relationship Id="rId20" Type="http://schemas.openxmlformats.org/officeDocument/2006/relationships/hyperlink" Target="https://i-simpa-wiki.readthedocs.io/fr/latest/using_spectrum.html" TargetMode="External"/><Relationship Id="rId21" Type="http://schemas.openxmlformats.org/officeDocument/2006/relationships/hyperlink" Target="https://github.com/Universite-Gustave-Eiffel/I-Simpa/tree/main/src/lib_interface" TargetMode="External"/><Relationship Id="rId22" Type="http://schemas.openxmlformats.org/officeDocument/2006/relationships/hyperlink" Target="https://github.com/Universite-Gustave-Eiffel/I-Simpa/tree/main/src/python_bindings" TargetMode="External"/><Relationship Id="rId23" Type="http://schemas.openxmlformats.org/officeDocument/2006/relationships/hyperlink" Target="https://github.com/Universite-Gustave-Eiffel/I-Simpa/blob/main/src/tetgen/LICENSE" TargetMode="External"/><Relationship Id="rId24" Type="http://schemas.openxmlformats.org/officeDocument/2006/relationships/hyperlink" Target="https://threejs.org/docs/pages/WebGLRenderer.html" TargetMode="External"/><Relationship Id="rId25" Type="http://schemas.openxmlformats.org/officeDocument/2006/relationships/hyperlink" Target="https://threejs.org/docs/pages/WebGL.html" TargetMode="External"/><Relationship Id="rId26" Type="http://schemas.openxmlformats.org/officeDocument/2006/relationships/hyperlink" Target="https://threejs.org/docs/pages/Data3DTexture.html" TargetMode="External"/><Relationship Id="rId27" Type="http://schemas.openxmlformats.org/officeDocument/2006/relationships/hyperlink" Target="https://threejs.org/docs/pages/Raycaster.html" TargetMode="External"/><Relationship Id="rId28" Type="http://schemas.openxmlformats.org/officeDocument/2006/relationships/hyperlink" Target="https://threejs.org/docs/pages/OrbitControls.html" TargetMode="External"/><Relationship Id="rId29" Type="http://schemas.openxmlformats.org/officeDocument/2006/relationships/hyperlink" Target="https://r3f.docs.pmnd.rs/getting-started/introduction" TargetMode="External"/><Relationship Id="rId30" Type="http://schemas.openxmlformats.org/officeDocument/2006/relationships/hyperlink" Target="https://konvajs.org/docs/react/index.html" TargetMode="External"/><Relationship Id="rId31" Type="http://schemas.openxmlformats.org/officeDocument/2006/relationships/hyperlink" Target="https://vite-pwa-org.netlify.app/guide/" TargetMode="External"/><Relationship Id="rId32" Type="http://schemas.openxmlformats.org/officeDocument/2006/relationships/hyperlink" Target="https://dexie.org/docs" TargetMode="External"/><Relationship Id="rId33" Type="http://schemas.openxmlformats.org/officeDocument/2006/relationships/hyperlink" Target="https://fastapi.tiangolo.com/tutorial/background-tasks/" TargetMode="External"/><Relationship Id="rId34" Type="http://schemas.openxmlformats.org/officeDocument/2006/relationships/hyperlink" Target="https://docs.celeryq.dev/en/stable/userguide/tasks.html" TargetMode="External"/><Relationship Id="rId35" Type="http://schemas.openxmlformats.org/officeDocument/2006/relationships/hyperlink" Target="https://developer.mozilla.org/en-US/docs/Web/API/Storage_API/Storage_quotas_and_eviction_criteria" TargetMode="External"/><Relationship Id="rId36" Type="http://schemas.openxmlformats.org/officeDocument/2006/relationships/hyperlink" Target="https://www.keycloak.org/securing-apps/oidc-layers" TargetMode="External"/><Relationship Id="rId37" Type="http://schemas.openxmlformats.org/officeDocument/2006/relationships/hyperlink" Target="https://cursor.com/docs/rules" TargetMode="External"/><Relationship Id="rId38" Type="http://schemas.openxmlformats.org/officeDocument/2006/relationships/hyperlink" Target="https://cursor.com/docs/mcp" TargetMode="External"/><Relationship Id="rId39" Type="http://schemas.openxmlformats.org/officeDocument/2006/relationships/hyperlink" Target="https://github.com/github/github-mcp-server" TargetMode="External"/><Relationship Id="rId40" Type="http://schemas.openxmlformats.org/officeDocument/2006/relationships/hyperlink" Target="https://github.com/microsoft/playwright-mcp" TargetMode="External"/><Relationship Id="rId41" Type="http://schemas.openxmlformats.org/officeDocument/2006/relationships/hyperlink" Target="https://playwright.dev/docs/emulation" TargetMode="External"/><Relationship Id="rId42" Type="http://schemas.openxmlformats.org/officeDocument/2006/relationships/hyperlink" Target="https://github.com/ChromeDevTools/chrome-devtools-mcp" TargetMode="External"/><Relationship Id="rId43" Type="http://schemas.openxmlformats.org/officeDocument/2006/relationships/hyperlink" Target="https://www.gnu.org/licenses/gpl-3.0.html" TargetMode="External"/><Relationship Id="rId44" Type="http://schemas.openxmlformats.org/officeDocument/2006/relationships/hyperlink" Target="https://www.gnu.org/licenses/agpl-3.0.html" TargetMode="External"/><Relationship Id="rId45" Type="http://schemas.openxmlformats.org/officeDocument/2006/relationships/hyperlink" Target="https://docs.astral.sh/ruff/editors/setup/" TargetMode="External"/><Relationship Id="rId46" Type="http://schemas.openxmlformats.org/officeDocument/2006/relationships/hyperlink" Target="https://developer.chrome.com/docs/devtools/remote-debugging/" TargetMode="External"/><Relationship Id="rId47" Type="http://schemas.openxmlformats.org/officeDocument/2006/relationships/hyperlink" Target="https://docs.docker.com/compose/" TargetMode="External"/><Relationship Id="rId48" Type="http://schemas.openxmlformats.org/officeDocument/2006/relationships/hyperlink" Target="https://i-simpa-wiki.readthedocs.io/fr/latest/tutorial_industrial_hall.html" TargetMode="External"/><Relationship Id="rId49" Type="http://schemas.openxmlformats.org/officeDocument/2006/relationships/hyperlink" Target="https://shapely.readthedocs.io/en/stable/manual.html" TargetMode="External"/><Relationship Id="rId50" Type="http://schemas.openxmlformats.org/officeDocument/2006/relationships/hyperlink" Target="https://threejs.org/docs/pages/ShapeUti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мобильное веб приложение для акустического моделирования</dc:title>
  <dc:subject>Полная функциональность, архитектура, расчёт SPPS, 3D и приёмка</dc:subject>
  <dc:creator/>
  <cp:keywords>акустика, I-Simpa, SPPS, мобильное веб приложение, ТЗ</cp:keywords>
  <dc:description>generated by python-docx</dc:description>
  <cp:lastModifiedBy/>
  <cp:revision>1</cp:revision>
  <dcterms:created xsi:type="dcterms:W3CDTF">2013-12-23T23:15:00Z</dcterms:created>
  <dcterms:modified xsi:type="dcterms:W3CDTF">2013-12-23T23:15:00Z</dcterms:modified>
  <cp:category/>
</cp:coreProperties>
</file>