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database-architecture-decisions"/>
      <w:r>
        <w:t xml:space="preserve">Database Architecture Decisions</w:t>
      </w:r>
      <w:bookmarkEnd w:id="20"/>
    </w:p>
    <w:p>
      <w:pPr>
        <w:pStyle w:val="FirstParagraph"/>
      </w:pPr>
      <w:r>
        <w:rPr>
          <w:b/>
        </w:rPr>
        <w:t xml:space="preserve">Company:</w:t>
      </w:r>
      <w:r>
        <w:t xml:space="preserve"> </w:t>
      </w:r>
      <w:r>
        <w:t xml:space="preserve">Lewers Logic LLC</w:t>
      </w:r>
      <w:r>
        <w:t xml:space="preserve"> </w:t>
      </w:r>
      <w:r>
        <w:rPr>
          <w:b/>
        </w:rPr>
        <w:t xml:space="preserve">Product:</w:t>
      </w:r>
      <w:r>
        <w:t xml:space="preserve"> </w:t>
      </w:r>
      <w:r>
        <w:t xml:space="preserve">Recycler.IQ</w:t>
      </w:r>
    </w:p>
    <w:p>
      <w:pPr>
        <w:pStyle w:val="BodyText"/>
      </w:pPr>
      <w:r>
        <w:rPr>
          <w:b/>
        </w:rPr>
        <w:t xml:space="preserve">Document Type:</w:t>
      </w:r>
      <w:r>
        <w:t xml:space="preserve"> </w:t>
      </w:r>
      <w:r>
        <w:t xml:space="preserve">Architecture Decision Record</w:t>
      </w:r>
      <w:r>
        <w:t xml:space="preserve"> </w:t>
      </w:r>
      <w:r>
        <w:rPr>
          <w:b/>
        </w:rPr>
        <w:t xml:space="preserve">Updated:</w:t>
      </w:r>
      <w:r>
        <w:t xml:space="preserve"> </w:t>
      </w:r>
      <w:r>
        <w:t xml:space="preserve">March 2026</w:t>
      </w:r>
      <w:r>
        <w:t xml:space="preserve"> </w:t>
      </w:r>
      <w:r>
        <w:rPr>
          <w:b/>
        </w:rPr>
        <w:t xml:space="preserve">Status:</w:t>
      </w:r>
      <w:r>
        <w:t xml:space="preserve"> </w:t>
      </w:r>
      <w:r>
        <w:t xml:space="preserve">Final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summary"/>
      <w:r>
        <w:t xml:space="preserve">Summary</w:t>
      </w:r>
      <w:bookmarkEnd w:id="21"/>
    </w:p>
    <w:p>
      <w:pPr>
        <w:pStyle w:val="FirstParagraph"/>
      </w:pPr>
      <w:r>
        <w:t xml:space="preserve">This document captures the database architecture decisions made for the platform. The core principle is a pragmatic hybrid model — start with schema-per-tenant in a shared database for simplicity and cost efficiency at launch, with a clean upgrade path to dedicated databases for enterprise customers or any customer who requests it.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database-technology"/>
      <w:r>
        <w:t xml:space="preserve">1. Database Technology</w:t>
      </w:r>
      <w:bookmarkEnd w:id="22"/>
    </w:p>
    <w:p>
      <w:pPr>
        <w:pStyle w:val="FirstParagraph"/>
      </w:pPr>
      <w:r>
        <w:rPr>
          <w:b/>
        </w:rPr>
        <w:t xml:space="preserve">Decision:</w:t>
      </w:r>
      <w:r>
        <w:t xml:space="preserve"> </w:t>
      </w:r>
      <w:r>
        <w:t xml:space="preserve">Azure SQL (Microsoft SQL Server) on Azure.</w:t>
      </w:r>
    </w:p>
    <w:p>
      <w:pPr>
        <w:numPr>
          <w:ilvl w:val="0"/>
          <w:numId w:val="1001"/>
        </w:numPr>
        <w:pStyle w:val="Compact"/>
      </w:pPr>
      <w:r>
        <w:t xml:space="preserve">Relational model — required for tenant, transaction, device, and license entities</w:t>
      </w:r>
    </w:p>
    <w:p>
      <w:pPr>
        <w:numPr>
          <w:ilvl w:val="0"/>
          <w:numId w:val="1001"/>
        </w:numPr>
        <w:pStyle w:val="Compact"/>
      </w:pPr>
      <w:r>
        <w:t xml:space="preserve">Schema-per-tenant isolation supported natively in SQL Server</w:t>
      </w:r>
    </w:p>
    <w:p>
      <w:pPr>
        <w:numPr>
          <w:ilvl w:val="0"/>
          <w:numId w:val="1001"/>
        </w:numPr>
        <w:pStyle w:val="Compact"/>
      </w:pPr>
      <w:r>
        <w:t xml:space="preserve">EF Core 10 code-first migrations</w:t>
      </w:r>
    </w:p>
    <w:p>
      <w:pPr>
        <w:numPr>
          <w:ilvl w:val="0"/>
          <w:numId w:val="1001"/>
        </w:numPr>
        <w:pStyle w:val="Compact"/>
      </w:pPr>
      <w:r>
        <w:t xml:space="preserve">No NoSQL (Firebase, Firestore, etc.) — the data model is inherently relational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master-registry-database"/>
      <w:r>
        <w:t xml:space="preserve">2. Master / Registry Database</w:t>
      </w:r>
      <w:bookmarkEnd w:id="23"/>
    </w:p>
    <w:p>
      <w:pPr>
        <w:pStyle w:val="FirstParagraph"/>
      </w:pPr>
      <w:r>
        <w:rPr>
          <w:b/>
        </w:rPr>
        <w:t xml:space="preserve">Decision:</w:t>
      </w:r>
      <w:r>
        <w:t xml:space="preserve"> </w:t>
      </w:r>
      <w:r>
        <w:t xml:space="preserve">A dedicated master database acts as the central tenant registry and routing configuration store.</w:t>
      </w:r>
    </w:p>
    <w:p>
      <w:pPr>
        <w:pStyle w:val="BodyText"/>
      </w:pPr>
      <w:r>
        <w:rPr>
          <w:b/>
        </w:rPr>
        <w:t xml:space="preserve">Purpose:</w:t>
      </w:r>
      <w:r>
        <w:t xml:space="preserve"> </w:t>
      </w:r>
      <w:r>
        <w:t xml:space="preserve">- Always accessible before any tenant DbContext is instantiated</w:t>
      </w:r>
      <w:r>
        <w:t xml:space="preserve"> </w:t>
      </w:r>
      <w:r>
        <w:t xml:space="preserve">- Stores tenant metadata used for connection routing</w:t>
      </w:r>
      <w:r>
        <w:t xml:space="preserve"> </w:t>
      </w:r>
      <w:r>
        <w:t xml:space="preserve">- Not tenant-specific — it is platform-level infrastructure</w:t>
      </w:r>
    </w:p>
    <w:p>
      <w:pPr>
        <w:pStyle w:val="BodyText"/>
      </w:pPr>
      <w:r>
        <w:rPr>
          <w:b/>
        </w:rPr>
        <w:t xml:space="preserve">Master database stores per tenant:</w:t>
      </w:r>
      <w:r>
        <w:t xml:space="preserve"> </w:t>
      </w:r>
      <w:r>
        <w:t xml:space="preserve">- Tenant ID and name</w:t>
      </w:r>
      <w:r>
        <w:t xml:space="preserve"> </w:t>
      </w:r>
      <w:r>
        <w:t xml:space="preserve">- Subscription tier (Standard, Enterprise, etc.)</w:t>
      </w:r>
      <w:r>
        <w:t xml:space="preserve"> </w:t>
      </w:r>
      <w:r>
        <w:t xml:space="preserve">- Database type flag:</w:t>
      </w:r>
      <w:r>
        <w:t xml:space="preserve"> </w:t>
      </w:r>
      <w:r>
        <w:rPr>
          <w:rStyle w:val="VerbatimChar"/>
        </w:rPr>
        <w:t xml:space="preserve">Shared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Dedicated</w:t>
      </w:r>
      <w:r>
        <w:t xml:space="preserve"> </w:t>
      </w:r>
      <w:r>
        <w:t xml:space="preserve">- Connection string (populated only for dedicated database tenants)</w:t>
      </w:r>
      <w:r>
        <w:t xml:space="preserve"> </w:t>
      </w:r>
      <w:r>
        <w:t xml:space="preserve">- Schema name (for shared database tenants)</w:t>
      </w:r>
      <w:r>
        <w:t xml:space="preserve"> </w:t>
      </w:r>
      <w:r>
        <w:t xml:space="preserve">- Account and migration status flags</w:t>
      </w:r>
    </w:p>
    <w:p>
      <w:pPr>
        <w:pStyle w:val="BodyText"/>
      </w:pPr>
      <w:r>
        <w:rPr>
          <w:b/>
        </w:rPr>
        <w:t xml:space="preserve">Routing flow per request:</w:t>
      </w:r>
      <w:r>
        <w:t xml:space="preserve"> </w:t>
      </w:r>
      <w:r>
        <w:t xml:space="preserve">1. Middleware extracts tenant identifier from subdomain</w:t>
      </w:r>
      <w:r>
        <w:t xml:space="preserve"> </w:t>
      </w:r>
      <w:r>
        <w:t xml:space="preserve">2. Queries master database for tenant configuration</w:t>
      </w:r>
      <w:r>
        <w:t xml:space="preserve"> </w:t>
      </w:r>
      <w:r>
        <w:t xml:space="preserve">3. Resolves connection string — shared database with schema name, or dedicated database connection string</w:t>
      </w:r>
      <w:r>
        <w:t xml:space="preserve"> </w:t>
      </w:r>
      <w:r>
        <w:t xml:space="preserve">4. DbContext factory instantiates DbContext with resolved connection</w:t>
      </w:r>
      <w:r>
        <w:t xml:space="preserve"> </w:t>
      </w:r>
      <w:r>
        <w:t xml:space="preserve">5. Business logic executes against the correct tenant data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hybrid-multi-tenancy-model"/>
      <w:r>
        <w:t xml:space="preserve">3. Hybrid Multi-Tenancy Model</w:t>
      </w:r>
      <w:bookmarkEnd w:id="24"/>
    </w:p>
    <w:p>
      <w:pPr>
        <w:pStyle w:val="FirstParagraph"/>
      </w:pPr>
      <w:r>
        <w:rPr>
          <w:b/>
        </w:rPr>
        <w:t xml:space="preserve">Decision:</w:t>
      </w:r>
      <w:r>
        <w:t xml:space="preserve"> </w:t>
      </w:r>
      <w:r>
        <w:t xml:space="preserve">Schema-per-tenant in a shared database at launch, with support for dedicated databases for enterprise or upgraded customers.</w:t>
      </w:r>
    </w:p>
    <w:p>
      <w:pPr>
        <w:pStyle w:val="Heading3"/>
      </w:pPr>
      <w:bookmarkStart w:id="25" w:name="X82bcd598724ea095f8756c7e40635ae59c513c3"/>
      <w:r>
        <w:t xml:space="preserve">Standard Customers (Shared Database, Schema-Per-Tenant)</w:t>
      </w:r>
      <w:bookmarkEnd w:id="25"/>
    </w:p>
    <w:p>
      <w:pPr>
        <w:numPr>
          <w:ilvl w:val="0"/>
          <w:numId w:val="1002"/>
        </w:numPr>
        <w:pStyle w:val="Compact"/>
      </w:pPr>
      <w:r>
        <w:t xml:space="preserve">All standard customers share one Azure SQL database</w:t>
      </w:r>
    </w:p>
    <w:p>
      <w:pPr>
        <w:numPr>
          <w:ilvl w:val="0"/>
          <w:numId w:val="1002"/>
        </w:numPr>
        <w:pStyle w:val="Compact"/>
      </w:pPr>
      <w:r>
        <w:t xml:space="preserve">Each tenant gets their own schema:</w:t>
      </w:r>
      <w:r>
        <w:t xml:space="preserve"> </w:t>
      </w:r>
      <w:r>
        <w:rPr>
          <w:rStyle w:val="VerbatimChar"/>
        </w:rPr>
        <w:t xml:space="preserve">tenant_a.Transactions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tenant_b.Transactions</w:t>
      </w:r>
      <w:r>
        <w:t xml:space="preserve">, etc.</w:t>
      </w:r>
    </w:p>
    <w:p>
      <w:pPr>
        <w:numPr>
          <w:ilvl w:val="0"/>
          <w:numId w:val="1002"/>
        </w:numPr>
        <w:pStyle w:val="Compact"/>
      </w:pPr>
      <w:r>
        <w:t xml:space="preserve">Schema name is resolved at runtime by the DbContext factory from master database config</w:t>
      </w:r>
    </w:p>
    <w:p>
      <w:pPr>
        <w:numPr>
          <w:ilvl w:val="0"/>
          <w:numId w:val="1002"/>
        </w:numPr>
        <w:pStyle w:val="Compact"/>
      </w:pPr>
      <w:r>
        <w:t xml:space="preserve">Cost efficient — shared infrastructure, no per-tenant database overhead</w:t>
      </w:r>
    </w:p>
    <w:p>
      <w:pPr>
        <w:pStyle w:val="Heading3"/>
      </w:pPr>
      <w:bookmarkStart w:id="26" w:name="Xf13fec6e37bb7b64cdf361e02ea27bdc2d13eed"/>
      <w:r>
        <w:t xml:space="preserve">Enterprise / Upgraded Customers (Dedicated Database)</w:t>
      </w:r>
      <w:bookmarkEnd w:id="26"/>
    </w:p>
    <w:p>
      <w:pPr>
        <w:numPr>
          <w:ilvl w:val="0"/>
          <w:numId w:val="1003"/>
        </w:numPr>
        <w:pStyle w:val="Compact"/>
      </w:pPr>
      <w:r>
        <w:t xml:space="preserve">Enterprise customers or any customer who requests it can have their own dedicated Azure SQL database</w:t>
      </w:r>
    </w:p>
    <w:p>
      <w:pPr>
        <w:numPr>
          <w:ilvl w:val="0"/>
          <w:numId w:val="1003"/>
        </w:numPr>
        <w:pStyle w:val="Compact"/>
      </w:pPr>
      <w:r>
        <w:t xml:space="preserve">Master database stores their dedicated connection string</w:t>
      </w:r>
    </w:p>
    <w:p>
      <w:pPr>
        <w:numPr>
          <w:ilvl w:val="0"/>
          <w:numId w:val="1003"/>
        </w:numPr>
        <w:pStyle w:val="Compact"/>
      </w:pPr>
      <w:r>
        <w:t xml:space="preserve">DbContext factory routes to their dedicated database — no code changes required</w:t>
      </w:r>
    </w:p>
    <w:p>
      <w:pPr>
        <w:numPr>
          <w:ilvl w:val="0"/>
          <w:numId w:val="1003"/>
        </w:numPr>
        <w:pStyle w:val="Compact"/>
      </w:pPr>
      <w:r>
        <w:t xml:space="preserve">Enables per-tenant backups, scaling, compliance requirements, and geographic placement</w:t>
      </w:r>
    </w:p>
    <w:p>
      <w:pPr>
        <w:pStyle w:val="FirstParagraph"/>
      </w:pPr>
      <w:r>
        <w:rPr>
          <w:b/>
        </w:rPr>
        <w:t xml:space="preserve">Upgrade path from shared to dedicated:</w:t>
      </w:r>
      <w:r>
        <w:t xml:space="preserve"> </w:t>
      </w:r>
      <w:r>
        <w:t xml:space="preserve">- Updating a tenant’s master database record from</w:t>
      </w:r>
      <w:r>
        <w:t xml:space="preserve"> </w:t>
      </w:r>
      <w:r>
        <w:rPr>
          <w:rStyle w:val="VerbatimChar"/>
        </w:rPr>
        <w:t xml:space="preserve">Shared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Dedicated</w:t>
      </w:r>
      <w:r>
        <w:t xml:space="preserve"> </w:t>
      </w:r>
      <w:r>
        <w:t xml:space="preserve">with a new connection string is a configuration change only</w:t>
      </w:r>
      <w:r>
        <w:t xml:space="preserve"> </w:t>
      </w:r>
      <w:r>
        <w:t xml:space="preserve">- No code changes, no recompilation</w:t>
      </w:r>
      <w:r>
        <w:t xml:space="preserve"> </w:t>
      </w:r>
      <w:r>
        <w:t xml:space="preserve">- Data migration process is required (see Section 5)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asp.net-identity-multi-tenancy"/>
      <w:r>
        <w:t xml:space="preserve">4. ASP.NET Identity &amp; Multi-Tenancy</w:t>
      </w:r>
      <w:bookmarkEnd w:id="27"/>
    </w:p>
    <w:p>
      <w:pPr>
        <w:pStyle w:val="FirstParagraph"/>
      </w:pPr>
      <w:r>
        <w:rPr>
          <w:b/>
        </w:rPr>
        <w:t xml:space="preserve">Decision:</w:t>
      </w:r>
      <w:r>
        <w:t xml:space="preserve"> </w:t>
      </w:r>
      <w:r>
        <w:t xml:space="preserve">Schema-per-tenant for ASP.NET Identity tables, consistent with business data isolation.</w:t>
      </w:r>
    </w:p>
    <w:p>
      <w:pPr>
        <w:numPr>
          <w:ilvl w:val="0"/>
          <w:numId w:val="1004"/>
        </w:numPr>
        <w:pStyle w:val="Compact"/>
      </w:pPr>
      <w:r>
        <w:t xml:space="preserve">Each tenant’s identity schema lives in their schema:</w:t>
      </w:r>
      <w:r>
        <w:t xml:space="preserve"> </w:t>
      </w:r>
      <w:r>
        <w:rPr>
          <w:rStyle w:val="VerbatimChar"/>
        </w:rPr>
        <w:t xml:space="preserve">tenant_a.AspNetUsers</w:t>
      </w:r>
      <w:r>
        <w:t xml:space="preserve">,</w:t>
      </w:r>
      <w:r>
        <w:t xml:space="preserve"> </w:t>
      </w:r>
      <w:r>
        <w:rPr>
          <w:rStyle w:val="VerbatimChar"/>
        </w:rPr>
        <w:t xml:space="preserve">tenant_a.AspNetRoles</w:t>
      </w:r>
      <w:r>
        <w:t xml:space="preserve">, etc.</w:t>
      </w:r>
    </w:p>
    <w:p>
      <w:pPr>
        <w:numPr>
          <w:ilvl w:val="0"/>
          <w:numId w:val="1004"/>
        </w:numPr>
        <w:pStyle w:val="Compact"/>
      </w:pPr>
      <w:r>
        <w:t xml:space="preserve">DbContext</w:t>
      </w:r>
      <w:r>
        <w:t xml:space="preserve"> </w:t>
      </w:r>
      <w:r>
        <w:rPr>
          <w:rStyle w:val="VerbatimChar"/>
        </w:rPr>
        <w:t xml:space="preserve">HasDefaultSchema</w:t>
      </w:r>
      <w:r>
        <w:t xml:space="preserve"> </w:t>
      </w:r>
      <w:r>
        <w:t xml:space="preserve">is set dynamically at runtime based on current tenant</w:t>
      </w:r>
    </w:p>
    <w:p>
      <w:pPr>
        <w:numPr>
          <w:ilvl w:val="0"/>
          <w:numId w:val="1004"/>
        </w:numPr>
        <w:pStyle w:val="Compact"/>
      </w:pPr>
      <w:r>
        <w:t xml:space="preserve">ASP.NET Identity tables are never modified directly — schema name is configured via DbContext, not table structure</w:t>
      </w:r>
    </w:p>
    <w:p>
      <w:pPr>
        <w:numPr>
          <w:ilvl w:val="0"/>
          <w:numId w:val="1004"/>
        </w:numPr>
        <w:pStyle w:val="Compact"/>
      </w:pPr>
      <w:r>
        <w:t xml:space="preserve">This approach is consistent with the overall schema-per-tenant model and provides a clean upgrade path to dedicated databases</w:t>
      </w:r>
    </w:p>
    <w:p>
      <w:pPr>
        <w:pStyle w:val="FirstParagraph"/>
      </w:pPr>
      <w:r>
        <w:rPr>
          <w:b/>
        </w:rPr>
        <w:t xml:space="preserve">For dedicated database tenants:</w:t>
      </w:r>
      <w:r>
        <w:t xml:space="preserve"> </w:t>
      </w:r>
      <w:r>
        <w:t xml:space="preserve">Their ASP.NET Identity tables live in their dedicated database, same schema structure.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X176fcb6b6d9cc51accdd4729881823015d5d88c"/>
      <w:r>
        <w:t xml:space="preserve">5. Tenant Migration: Shared to Dedicated Database</w:t>
      </w:r>
      <w:bookmarkEnd w:id="28"/>
    </w:p>
    <w:p>
      <w:pPr>
        <w:pStyle w:val="FirstParagraph"/>
      </w:pPr>
      <w:r>
        <w:t xml:space="preserve">When a tenant upgrades to a dedicated database, the following process executes:</w:t>
      </w:r>
    </w:p>
    <w:p>
      <w:pPr>
        <w:pStyle w:val="Heading3"/>
      </w:pPr>
      <w:bookmarkStart w:id="29" w:name="trigger"/>
      <w:r>
        <w:t xml:space="preserve">Trigger</w:t>
      </w:r>
      <w:bookmarkEnd w:id="29"/>
    </w:p>
    <w:p>
      <w:pPr>
        <w:numPr>
          <w:ilvl w:val="0"/>
          <w:numId w:val="1005"/>
        </w:numPr>
        <w:pStyle w:val="Compact"/>
      </w:pPr>
      <w:r>
        <w:t xml:space="preserve">Tenant Admin logs into the Web Portal and initiates the upgrade</w:t>
      </w:r>
    </w:p>
    <w:p>
      <w:pPr>
        <w:numPr>
          <w:ilvl w:val="0"/>
          <w:numId w:val="1005"/>
        </w:numPr>
        <w:pStyle w:val="Compact"/>
      </w:pPr>
      <w:r>
        <w:t xml:space="preserve">Upgrade is an optional paid upcharge — pricing TBD</w:t>
      </w:r>
    </w:p>
    <w:p>
      <w:pPr>
        <w:numPr>
          <w:ilvl w:val="0"/>
          <w:numId w:val="1005"/>
        </w:numPr>
        <w:pStyle w:val="Compact"/>
      </w:pPr>
      <w:r>
        <w:t xml:space="preserve">Two options are presented:</w:t>
      </w:r>
    </w:p>
    <w:p>
      <w:pPr>
        <w:numPr>
          <w:ilvl w:val="1"/>
          <w:numId w:val="1006"/>
        </w:numPr>
        <w:pStyle w:val="Compact"/>
      </w:pPr>
      <w:r>
        <w:rPr>
          <w:b/>
        </w:rPr>
        <w:t xml:space="preserve">Migrate Now (Live):</w:t>
      </w:r>
      <w:r>
        <w:t xml:space="preserve"> </w:t>
      </w:r>
      <w:r>
        <w:t xml:space="preserve">Starts immediately with a brief lockout period</w:t>
      </w:r>
    </w:p>
    <w:p>
      <w:pPr>
        <w:numPr>
          <w:ilvl w:val="1"/>
          <w:numId w:val="1006"/>
        </w:numPr>
        <w:pStyle w:val="Compact"/>
      </w:pPr>
      <w:r>
        <w:rPr>
          <w:b/>
        </w:rPr>
        <w:t xml:space="preserve">Schedule Migration:</w:t>
      </w:r>
      <w:r>
        <w:t xml:space="preserve"> </w:t>
      </w:r>
      <w:r>
        <w:t xml:space="preserve">Tenant admin picks a date and time for off-peak execution</w:t>
      </w:r>
    </w:p>
    <w:p>
      <w:pPr>
        <w:pStyle w:val="Heading3"/>
      </w:pPr>
      <w:bookmarkStart w:id="30" w:name="migration-workflow"/>
      <w:r>
        <w:t xml:space="preserve">Migration Workflow</w:t>
      </w:r>
      <w:bookmarkEnd w:id="30"/>
    </w:p>
    <w:p>
      <w:pPr>
        <w:numPr>
          <w:ilvl w:val="0"/>
          <w:numId w:val="1007"/>
        </w:numPr>
        <w:pStyle w:val="Compact"/>
      </w:pPr>
      <w:r>
        <w:t xml:space="preserve">Tenant admin initiates migration via Web Portal</w:t>
      </w:r>
    </w:p>
    <w:p>
      <w:pPr>
        <w:numPr>
          <w:ilvl w:val="0"/>
          <w:numId w:val="1007"/>
        </w:numPr>
        <w:pStyle w:val="Compact"/>
      </w:pPr>
      <w:r>
        <w:t xml:space="preserve">System presents upgrade details including cost, process summary, and expected downtime</w:t>
      </w:r>
    </w:p>
    <w:p>
      <w:pPr>
        <w:numPr>
          <w:ilvl w:val="0"/>
          <w:numId w:val="1007"/>
        </w:numPr>
        <w:pStyle w:val="Compact"/>
      </w:pPr>
      <w:r>
        <w:t xml:space="preserve">Tenant admin confirms</w:t>
      </w:r>
    </w:p>
    <w:p>
      <w:pPr>
        <w:numPr>
          <w:ilvl w:val="0"/>
          <w:numId w:val="1007"/>
        </w:numPr>
        <w:pStyle w:val="Compact"/>
      </w:pPr>
      <w:r>
        <w:t xml:space="preserve">System sets</w:t>
      </w:r>
      <w:r>
        <w:t xml:space="preserve"> </w:t>
      </w:r>
      <w:r>
        <w:rPr>
          <w:rStyle w:val="VerbatimChar"/>
        </w:rPr>
        <w:t xml:space="preserve">MigrationInProgress = true</w:t>
      </w:r>
      <w:r>
        <w:t xml:space="preserve"> </w:t>
      </w:r>
      <w:r>
        <w:t xml:space="preserve">in master database for that tenant</w:t>
      </w:r>
    </w:p>
    <w:p>
      <w:pPr>
        <w:numPr>
          <w:ilvl w:val="0"/>
          <w:numId w:val="1007"/>
        </w:numPr>
        <w:pStyle w:val="Compact"/>
      </w:pPr>
      <w:r>
        <w:t xml:space="preserve">All Web Portal users for that tenant are forcibly logged out —</w:t>
      </w:r>
      <w:r>
        <w:t xml:space="preserve"> </w:t>
      </w:r>
      <w:r>
        <w:rPr>
          <w:b/>
        </w:rPr>
        <w:t xml:space="preserve">except</w:t>
      </w:r>
      <w:r>
        <w:t xml:space="preserve"> </w:t>
      </w:r>
      <w:r>
        <w:t xml:space="preserve">the initiating tenant admin</w:t>
      </w:r>
    </w:p>
    <w:p>
      <w:pPr>
        <w:numPr>
          <w:ilvl w:val="0"/>
          <w:numId w:val="1007"/>
        </w:numPr>
        <w:pStyle w:val="Compact"/>
      </w:pPr>
      <w:r>
        <w:t xml:space="preserve">Web Portal login is blocked for that tenant with a</w:t>
      </w:r>
      <w:r>
        <w:t xml:space="preserve"> </w:t>
      </w:r>
      <w:r>
        <w:t xml:space="preserve">“</w:t>
      </w:r>
      <w:r>
        <w:t xml:space="preserve">Migration in progress</w:t>
      </w:r>
      <w:r>
        <w:t xml:space="preserve">”</w:t>
      </w:r>
      <w:r>
        <w:t xml:space="preserve"> </w:t>
      </w:r>
      <w:r>
        <w:t xml:space="preserve">message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Local Node clients continue operating normally</w:t>
      </w:r>
      <w:r>
        <w:t xml:space="preserve"> </w:t>
      </w:r>
      <w:r>
        <w:t xml:space="preserve">— they write to local SQLite and sync later (seamless to end users)</w:t>
      </w:r>
    </w:p>
    <w:p>
      <w:pPr>
        <w:numPr>
          <w:ilvl w:val="0"/>
          <w:numId w:val="1007"/>
        </w:numPr>
        <w:pStyle w:val="Compact"/>
      </w:pPr>
      <w:r>
        <w:t xml:space="preserve">New dedicated database is provisioned with full schema</w:t>
      </w:r>
    </w:p>
    <w:p>
      <w:pPr>
        <w:numPr>
          <w:ilvl w:val="0"/>
          <w:numId w:val="1007"/>
        </w:numPr>
        <w:pStyle w:val="Compact"/>
      </w:pPr>
      <w:r>
        <w:t xml:space="preserve">All tenant data is copied from shared schema to dedicated database</w:t>
      </w:r>
    </w:p>
    <w:p>
      <w:pPr>
        <w:numPr>
          <w:ilvl w:val="0"/>
          <w:numId w:val="1007"/>
        </w:numPr>
        <w:pStyle w:val="Compact"/>
      </w:pPr>
      <w:r>
        <w:t xml:space="preserve">Data integrity is verified (row counts, checksums)</w:t>
      </w:r>
    </w:p>
    <w:p>
      <w:pPr>
        <w:numPr>
          <w:ilvl w:val="0"/>
          <w:numId w:val="1007"/>
        </w:numPr>
        <w:pStyle w:val="Compact"/>
      </w:pPr>
      <w:r>
        <w:t xml:space="preserve">Final validation query runs against both source and destination</w:t>
      </w:r>
    </w:p>
    <w:p>
      <w:pPr>
        <w:numPr>
          <w:ilvl w:val="0"/>
          <w:numId w:val="1007"/>
        </w:numPr>
        <w:pStyle w:val="Compact"/>
      </w:pPr>
      <w:r>
        <w:t xml:space="preserve">Master database config is updated:</w:t>
      </w:r>
      <w:r>
        <w:t xml:space="preserve"> </w:t>
      </w:r>
      <w:r>
        <w:rPr>
          <w:rStyle w:val="VerbatimChar"/>
        </w:rPr>
        <w:t xml:space="preserve">DatabaseType = Dedicated</w:t>
      </w:r>
      <w:r>
        <w:t xml:space="preserve">, connection string populated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MigrationInProgress</w:t>
      </w:r>
      <w:r>
        <w:t xml:space="preserve"> </w:t>
      </w:r>
      <w:r>
        <w:t xml:space="preserve">flag is cleared</w:t>
      </w:r>
    </w:p>
    <w:p>
      <w:pPr>
        <w:numPr>
          <w:ilvl w:val="0"/>
          <w:numId w:val="1007"/>
        </w:numPr>
        <w:pStyle w:val="Compact"/>
      </w:pPr>
      <w:r>
        <w:t xml:space="preserve">Web Portal logins are re-enabled for that tenant</w:t>
      </w:r>
    </w:p>
    <w:p>
      <w:pPr>
        <w:numPr>
          <w:ilvl w:val="0"/>
          <w:numId w:val="1007"/>
        </w:numPr>
        <w:pStyle w:val="Compact"/>
      </w:pPr>
      <w:r>
        <w:t xml:space="preserve">Local Node clients sync queued transactions to the new dedicated database automatically</w:t>
      </w:r>
    </w:p>
    <w:p>
      <w:pPr>
        <w:pStyle w:val="Heading3"/>
      </w:pPr>
      <w:bookmarkStart w:id="31" w:name="admin-monitoring"/>
      <w:r>
        <w:t xml:space="preserve">Admin Monitoring</w:t>
      </w:r>
      <w:bookmarkEnd w:id="31"/>
    </w:p>
    <w:p>
      <w:pPr>
        <w:numPr>
          <w:ilvl w:val="0"/>
          <w:numId w:val="1008"/>
        </w:numPr>
        <w:pStyle w:val="Compact"/>
      </w:pPr>
      <w:r>
        <w:t xml:space="preserve">The initiating tenant admin remains logged in throughout the migration</w:t>
      </w:r>
    </w:p>
    <w:p>
      <w:pPr>
        <w:numPr>
          <w:ilvl w:val="0"/>
          <w:numId w:val="1008"/>
        </w:numPr>
        <w:pStyle w:val="Compact"/>
      </w:pPr>
      <w:r>
        <w:t xml:space="preserve">A migration status page shows real-time progress — rows copied, validation status, completion estimate</w:t>
      </w:r>
    </w:p>
    <w:p>
      <w:pPr>
        <w:numPr>
          <w:ilvl w:val="0"/>
          <w:numId w:val="1008"/>
        </w:numPr>
        <w:pStyle w:val="Compact"/>
      </w:pPr>
      <w:r>
        <w:t xml:space="preserve">Admin is notified on completion or failure</w:t>
      </w:r>
    </w:p>
    <w:p>
      <w:pPr>
        <w:pStyle w:val="Heading3"/>
      </w:pPr>
      <w:bookmarkStart w:id="32" w:name="scheduled-migration"/>
      <w:r>
        <w:t xml:space="preserve">Scheduled Migration</w:t>
      </w:r>
      <w:bookmarkEnd w:id="32"/>
    </w:p>
    <w:p>
      <w:pPr>
        <w:numPr>
          <w:ilvl w:val="0"/>
          <w:numId w:val="1009"/>
        </w:numPr>
        <w:pStyle w:val="Compact"/>
      </w:pPr>
      <w:r>
        <w:t xml:space="preserve">Same workflow as live migration</w:t>
      </w:r>
    </w:p>
    <w:p>
      <w:pPr>
        <w:numPr>
          <w:ilvl w:val="0"/>
          <w:numId w:val="1009"/>
        </w:numPr>
        <w:pStyle w:val="Compact"/>
      </w:pPr>
      <w:r>
        <w:t xml:space="preserve">Runs automatically at the scheduled time</w:t>
      </w:r>
    </w:p>
    <w:p>
      <w:pPr>
        <w:numPr>
          <w:ilvl w:val="0"/>
          <w:numId w:val="1009"/>
        </w:numPr>
        <w:pStyle w:val="Compact"/>
      </w:pPr>
      <w:r>
        <w:t xml:space="preserve">Recommended for off-peak hours to minimize any user impact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local-client-database-sqlite"/>
      <w:r>
        <w:t xml:space="preserve">6. Local Client Database (SQLite)</w:t>
      </w:r>
      <w:bookmarkEnd w:id="33"/>
    </w:p>
    <w:p>
      <w:pPr>
        <w:pStyle w:val="FirstParagraph"/>
      </w:pPr>
      <w:r>
        <w:rPr>
          <w:b/>
        </w:rPr>
        <w:t xml:space="preserve">Decision:</w:t>
      </w:r>
      <w:r>
        <w:t xml:space="preserve"> </w:t>
      </w:r>
      <w:r>
        <w:t xml:space="preserve">SQLite for all local Node Service storage.</w:t>
      </w:r>
    </w:p>
    <w:p>
      <w:pPr>
        <w:numPr>
          <w:ilvl w:val="0"/>
          <w:numId w:val="1010"/>
        </w:numPr>
        <w:pStyle w:val="Compact"/>
      </w:pPr>
      <w:r>
        <w:t xml:space="preserve">Transaction queue (SyncStatus: Pending / Synced)</w:t>
      </w:r>
    </w:p>
    <w:p>
      <w:pPr>
        <w:numPr>
          <w:ilvl w:val="0"/>
          <w:numId w:val="1010"/>
        </w:numPr>
        <w:pStyle w:val="Compact"/>
      </w:pPr>
      <w:r>
        <w:t xml:space="preserve">Cached user credentials and permissions for offline login</w:t>
      </w:r>
    </w:p>
    <w:p>
      <w:pPr>
        <w:numPr>
          <w:ilvl w:val="0"/>
          <w:numId w:val="1010"/>
        </w:numPr>
        <w:pStyle w:val="Compact"/>
      </w:pPr>
      <w:r>
        <w:t xml:space="preserve">Cached recycler configuration</w:t>
      </w:r>
    </w:p>
    <w:p>
      <w:pPr>
        <w:numPr>
          <w:ilvl w:val="0"/>
          <w:numId w:val="1010"/>
        </w:numPr>
        <w:pStyle w:val="Compact"/>
      </w:pPr>
      <w:r>
        <w:t xml:space="preserve">Source of truth for local operations until sync completes</w:t>
      </w:r>
    </w:p>
    <w:p>
      <w:pPr>
        <w:numPr>
          <w:ilvl w:val="0"/>
          <w:numId w:val="1010"/>
        </w:numPr>
        <w:pStyle w:val="Compact"/>
      </w:pPr>
      <w:r>
        <w:t xml:space="preserve">EF Core manages SQLite locally — same repository abstractions as cloud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orm-migration-strategy"/>
      <w:r>
        <w:t xml:space="preserve">7. ORM &amp; Migration Strategy</w:t>
      </w:r>
      <w:bookmarkEnd w:id="34"/>
    </w:p>
    <w:p>
      <w:pPr>
        <w:pStyle w:val="FirstParagraph"/>
      </w:pPr>
      <w:r>
        <w:rPr>
          <w:b/>
        </w:rPr>
        <w:t xml:space="preserve">Decision:</w:t>
      </w:r>
      <w:r>
        <w:t xml:space="preserve"> </w:t>
      </w:r>
      <w:r>
        <w:t xml:space="preserve">EF Core 10, code-first migrations.</w:t>
      </w:r>
    </w:p>
    <w:p>
      <w:pPr>
        <w:numPr>
          <w:ilvl w:val="0"/>
          <w:numId w:val="1011"/>
        </w:numPr>
        <w:pStyle w:val="Compact"/>
      </w:pPr>
      <w:r>
        <w:t xml:space="preserve">Same DbContext abstraction used for both shared and dedicated database tenants</w:t>
      </w:r>
    </w:p>
    <w:p>
      <w:pPr>
        <w:numPr>
          <w:ilvl w:val="0"/>
          <w:numId w:val="1011"/>
        </w:numPr>
        <w:pStyle w:val="Compact"/>
      </w:pPr>
      <w:r>
        <w:t xml:space="preserve">Schema name resolved dynamically at DbContext instantiation via</w:t>
      </w:r>
      <w:r>
        <w:t xml:space="preserve"> </w:t>
      </w:r>
      <w:r>
        <w:rPr>
          <w:rStyle w:val="VerbatimChar"/>
        </w:rPr>
        <w:t xml:space="preserve">ITenantConnectionResolver</w:t>
      </w:r>
    </w:p>
    <w:p>
      <w:pPr>
        <w:numPr>
          <w:ilvl w:val="0"/>
          <w:numId w:val="1011"/>
        </w:numPr>
        <w:pStyle w:val="Compact"/>
      </w:pPr>
      <w:r>
        <w:t xml:space="preserve">Migrations applied to shared database cover all tenant schemas</w:t>
      </w:r>
    </w:p>
    <w:p>
      <w:pPr>
        <w:numPr>
          <w:ilvl w:val="0"/>
          <w:numId w:val="1011"/>
        </w:numPr>
        <w:pStyle w:val="Compact"/>
      </w:pPr>
      <w:r>
        <w:t xml:space="preserve">Migrations for dedicated databases applied individually or on a schedule</w:t>
      </w:r>
    </w:p>
    <w:p>
      <w:pPr>
        <w:numPr>
          <w:ilvl w:val="0"/>
          <w:numId w:val="1011"/>
        </w:numPr>
        <w:pStyle w:val="Compact"/>
      </w:pPr>
      <w:r>
        <w:t xml:space="preserve">DbContext registered as</w:t>
      </w:r>
      <w:r>
        <w:t xml:space="preserve"> </w:t>
      </w:r>
      <w:r>
        <w:rPr>
          <w:b/>
        </w:rPr>
        <w:t xml:space="preserve">Scoped</w:t>
      </w:r>
      <w:r>
        <w:t xml:space="preserve"> </w:t>
      </w:r>
      <w:r>
        <w:t xml:space="preserve">(never Singleton) — critical for per-request tenant resolution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open-items"/>
      <w:r>
        <w:t xml:space="preserve">8. Open Items</w:t>
      </w:r>
      <w:bookmarkEnd w:id="35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Grace period duration for license enforcement</w:t>
            </w:r>
          </w:p>
        </w:tc>
        <w:tc>
          <w:p>
            <w:pPr>
              <w:pStyle w:val="Compact"/>
              <w:jc w:val="left"/>
            </w:pPr>
            <w:r>
              <w:t xml:space="preserve">Not yet defined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Sync conflict resolution strategy</w:t>
            </w:r>
          </w:p>
        </w:tc>
        <w:tc>
          <w:p>
            <w:pPr>
              <w:pStyle w:val="Compact"/>
              <w:jc w:val="left"/>
            </w:pPr>
            <w:r>
              <w:t xml:space="preserve">Not defined — recommend server-authoritative for cash transactions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Dedicated database geographic placement options</w:t>
            </w:r>
          </w:p>
        </w:tc>
        <w:tc>
          <w:p>
            <w:pPr>
              <w:pStyle w:val="Compact"/>
              <w:jc w:val="left"/>
            </w:pPr>
            <w:r>
              <w:t xml:space="preserve">Not yet defined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Migration failure rollback strategy</w:t>
            </w:r>
          </w:p>
        </w:tc>
        <w:tc>
          <w:p>
            <w:pPr>
              <w:pStyle w:val="Compact"/>
              <w:jc w:val="left"/>
            </w:pPr>
            <w:r>
              <w:t xml:space="preserve">Not yet defined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Pricing for dedicated database upcharge</w:t>
            </w:r>
          </w:p>
        </w:tc>
        <w:tc>
          <w:p>
            <w:pPr>
              <w:pStyle w:val="Compact"/>
              <w:jc w:val="left"/>
            </w:pPr>
            <w:r>
              <w:t xml:space="preserve">To be determined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2026-04-10T19:09:19Z</dcterms:created>
  <dcterms:modified xsi:type="dcterms:W3CDTF">2026-04-10T19:09:19Z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