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uthentication-identity-decisions"/>
      <w:r>
        <w:t xml:space="preserve">Authentication &amp; Identity Decisions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Document Type:</w:t>
      </w:r>
      <w:r>
        <w:t xml:space="preserve"> </w:t>
      </w:r>
      <w:r>
        <w:t xml:space="preserve">Architecture Decision Record</w:t>
      </w:r>
      <w:r>
        <w:t xml:space="preserve"> </w:t>
      </w:r>
      <w:r>
        <w:rPr>
          <w:b/>
        </w:rPr>
        <w:t xml:space="preserve">Updated: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This document captures the authentication and identity architecture decisions made for the platform. The core principle is flexibility — no hard coupling to any single identity provider, and support for customers ranging from single-operator small businesses to large enterprises with existing corporate directories.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dentity-provider-abstraction"/>
      <w:r>
        <w:t xml:space="preserve">1. Identity Provider Abstraction</w:t>
      </w:r>
      <w:bookmarkEnd w:id="22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Abstract all authentication behind an</w:t>
      </w:r>
      <w:r>
        <w:t xml:space="preserve"> </w:t>
      </w:r>
      <w:r>
        <w:rPr>
          <w:rStyle w:val="VerbatimChar"/>
        </w:rPr>
        <w:t xml:space="preserve">IIdentityProvider</w:t>
      </w:r>
      <w:r>
        <w:t xml:space="preserve"> </w:t>
      </w:r>
      <w:r>
        <w:t xml:space="preserve">interface using a polymorphic credentials model.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Avoids tight coupling to any specific provider (e.g., Azure Entra ID, Google, Auth0). Switching providers or adding new ones only requires a new Infrastructure layer implementation. Business logic and Application layer remain agnostic.</w:t>
      </w:r>
    </w:p>
    <w:p>
      <w:pPr>
        <w:pStyle w:val="BodyText"/>
      </w:pPr>
      <w:r>
        <w:rPr>
          <w:b/>
        </w:rPr>
        <w:t xml:space="preserve">Credentials Model:</w:t>
      </w:r>
      <w:r>
        <w:t xml:space="preserve"> </w:t>
      </w:r>
      <w:r>
        <w:t xml:space="preserve">The interface accepts an abstract</w:t>
      </w:r>
      <w:r>
        <w:t xml:space="preserve"> </w:t>
      </w:r>
      <w:r>
        <w:rPr>
          <w:rStyle w:val="VerbatimChar"/>
        </w:rPr>
        <w:t xml:space="preserve">AuthCredentials</w:t>
      </w:r>
      <w:r>
        <w:t xml:space="preserve"> </w:t>
      </w:r>
      <w:r>
        <w:t xml:space="preserve">type, allowing different credential types without changing the contract: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record AuthCredentials;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PinCredentials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Pin) : AuthCredentials;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PasswordCredentials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Password) : AuthCredentials;</w:t>
      </w:r>
      <w:r>
        <w:br/>
      </w:r>
      <w:r>
        <w:rPr>
          <w:rStyle w:val="CommentTok"/>
        </w:rPr>
        <w:t xml:space="preserve">// Future: BadgeCredentials, BiometricCredentials, etc.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IIdentityProvider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Task&lt;AuthResult&gt; </w:t>
      </w:r>
      <w:r>
        <w:rPr>
          <w:rStyle w:val="FunctionTok"/>
        </w:rPr>
        <w:t xml:space="preserve">AuthenticateAsync</w:t>
      </w:r>
      <w:r>
        <w:rPr>
          <w:rStyle w:val="NormalTok"/>
        </w:rPr>
        <w:t xml:space="preserve">(AuthCredentials credentials);</w:t>
      </w:r>
      <w:r>
        <w:br/>
      </w:r>
      <w:r>
        <w:rPr>
          <w:rStyle w:val="NormalTok"/>
        </w:rPr>
        <w:t xml:space="preserve">    Task&lt;UserClaims?&gt; </w:t>
      </w:r>
      <w:r>
        <w:rPr>
          <w:rStyle w:val="FunctionTok"/>
        </w:rPr>
        <w:t xml:space="preserve">GetCachedUserAsync</w:t>
      </w:r>
      <w:r>
        <w:rPr>
          <w:rStyle w:val="NormalTok"/>
        </w:rPr>
        <w:t xml:space="preserve">(Guid userId);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design supports PIN-based operator login, username/password admin login, and future credential types (badge scan, biometric) without modifying the interface.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uthentication-paths"/>
      <w:r>
        <w:t xml:space="preserve">2. Authentication Paths</w:t>
      </w:r>
      <w:bookmarkEnd w:id="23"/>
    </w:p>
    <w:p>
      <w:pPr>
        <w:pStyle w:val="FirstParagraph"/>
      </w:pPr>
      <w:r>
        <w:t xml:space="preserve">Three authentication paths are supported. The tenant’s configuration at onboarding determines which path is used.</w:t>
      </w:r>
    </w:p>
    <w:p>
      <w:pPr>
        <w:pStyle w:val="Heading3"/>
      </w:pPr>
      <w:bookmarkStart w:id="24" w:name="Xba4b7e60d9f5dc667753f95c4eb0f5815977b59"/>
      <w:r>
        <w:t xml:space="preserve">Path 1: Enterprise SSO (Corporate Directory Federation)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Tenant federates with their own corporate identity directory</w:t>
      </w:r>
    </w:p>
    <w:p>
      <w:pPr>
        <w:numPr>
          <w:ilvl w:val="0"/>
          <w:numId w:val="1001"/>
        </w:numPr>
        <w:pStyle w:val="Compact"/>
      </w:pPr>
      <w:r>
        <w:t xml:space="preserve">Supported providers: Azure Entra ID, Google Workspace, Active Directory</w:t>
      </w:r>
    </w:p>
    <w:p>
      <w:pPr>
        <w:numPr>
          <w:ilvl w:val="0"/>
          <w:numId w:val="1001"/>
        </w:numPr>
        <w:pStyle w:val="Compact"/>
      </w:pPr>
      <w:r>
        <w:t xml:space="preserve">Users authenticate through their existing corporate login</w:t>
      </w:r>
    </w:p>
    <w:p>
      <w:pPr>
        <w:numPr>
          <w:ilvl w:val="0"/>
          <w:numId w:val="1001"/>
        </w:numPr>
        <w:pStyle w:val="Compact"/>
      </w:pPr>
      <w:r>
        <w:t xml:space="preserve">Your platform validates the token, confirms tenant membership, issues your device-bound JWT</w:t>
      </w:r>
    </w:p>
    <w:p>
      <w:pPr>
        <w:numPr>
          <w:ilvl w:val="0"/>
          <w:numId w:val="1001"/>
        </w:numPr>
        <w:pStyle w:val="Compact"/>
      </w:pPr>
      <w:r>
        <w:t xml:space="preserve">Admins manage users and groups entirely within their own directory — no duplicate user management in your platform</w:t>
      </w:r>
    </w:p>
    <w:p>
      <w:pPr>
        <w:pStyle w:val="Heading3"/>
      </w:pPr>
      <w:bookmarkStart w:id="25" w:name="path-2-social-oauth-login-non-sso"/>
      <w:r>
        <w:t xml:space="preserve">Path 2: Social / OAuth Login (Non-SSO)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Users log in with an existing third-party account</w:t>
      </w:r>
    </w:p>
    <w:p>
      <w:pPr>
        <w:numPr>
          <w:ilvl w:val="0"/>
          <w:numId w:val="1002"/>
        </w:numPr>
        <w:pStyle w:val="Compact"/>
      </w:pPr>
      <w:r>
        <w:t xml:space="preserve">Supported providers: Microsoft Account, Google Account, and others as needed</w:t>
      </w:r>
    </w:p>
    <w:p>
      <w:pPr>
        <w:numPr>
          <w:ilvl w:val="0"/>
          <w:numId w:val="1002"/>
        </w:numPr>
        <w:pStyle w:val="Compact"/>
      </w:pPr>
      <w:r>
        <w:t xml:space="preserve">Platform validates the OAuth token, maps to local user record, assigns roles</w:t>
      </w:r>
    </w:p>
    <w:p>
      <w:pPr>
        <w:numPr>
          <w:ilvl w:val="0"/>
          <w:numId w:val="1002"/>
        </w:numPr>
        <w:pStyle w:val="Compact"/>
      </w:pPr>
      <w:r>
        <w:t xml:space="preserve">Suitable for enterprise customers who do not have or do not want SSO federation</w:t>
      </w:r>
    </w:p>
    <w:p>
      <w:pPr>
        <w:pStyle w:val="Heading3"/>
      </w:pPr>
      <w:bookmarkStart w:id="26" w:name="X8428d7ab9ee56f5edd7b3e727d68c737c8b6b46"/>
      <w:r>
        <w:t xml:space="preserve">Path 3: Custom Credentials (Username / Password)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Username and hashed password stored in your database</w:t>
      </w:r>
    </w:p>
    <w:p>
      <w:pPr>
        <w:numPr>
          <w:ilvl w:val="0"/>
          <w:numId w:val="1003"/>
        </w:numPr>
        <w:pStyle w:val="Compact"/>
      </w:pPr>
      <w:r>
        <w:t xml:space="preserve">Managed via ASP.NET Identity</w:t>
      </w:r>
    </w:p>
    <w:p>
      <w:pPr>
        <w:numPr>
          <w:ilvl w:val="0"/>
          <w:numId w:val="1003"/>
        </w:numPr>
        <w:pStyle w:val="Compact"/>
      </w:pPr>
      <w:r>
        <w:t xml:space="preserve">Suitable for small customers — single location, one or two operators</w:t>
      </w:r>
    </w:p>
    <w:p>
      <w:pPr>
        <w:numPr>
          <w:ilvl w:val="0"/>
          <w:numId w:val="1003"/>
        </w:numPr>
        <w:pStyle w:val="Compact"/>
      </w:pPr>
      <w:r>
        <w:t xml:space="preserve">No external provider dependency</w: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t xml:space="preserve">All three paths feed into ASP.NET Identity’s authorization layer. The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and role-based attributes work identically regardless of which path authenticated the user.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sp.net-identity-role"/>
      <w:r>
        <w:t xml:space="preserve">3. ASP.NET Identity Role</w:t>
      </w:r>
      <w:bookmarkEnd w:id="27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Use ASP.NET Identity for authorization across all authentication paths.</w:t>
      </w:r>
    </w:p>
    <w:p>
      <w:pPr>
        <w:numPr>
          <w:ilvl w:val="0"/>
          <w:numId w:val="1004"/>
        </w:numPr>
        <w:pStyle w:val="Compact"/>
      </w:pPr>
      <w:r>
        <w:t xml:space="preserve">Handles roles, claims, and permission bitmask</w:t>
      </w:r>
    </w:p>
    <w:p>
      <w:pPr>
        <w:numPr>
          <w:ilvl w:val="0"/>
          <w:numId w:val="1004"/>
        </w:numPr>
        <w:pStyle w:val="Compact"/>
      </w:pPr>
      <w:r>
        <w:t xml:space="preserve">Custom credential management (Path 3) uses ASP.NET Identity natively</w:t>
      </w:r>
    </w:p>
    <w:p>
      <w:pPr>
        <w:numPr>
          <w:ilvl w:val="0"/>
          <w:numId w:val="1004"/>
        </w:numPr>
        <w:pStyle w:val="Compact"/>
      </w:pPr>
      <w:r>
        <w:t xml:space="preserve">Social and SSO paths (Paths 1 &amp; 2) validate external tokens, then map to a local ASP.NET Identity user record with roles assigned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[Authorize]</w:t>
      </w:r>
      <w:r>
        <w:t xml:space="preserve">,</w:t>
      </w:r>
      <w:r>
        <w:t xml:space="preserve"> </w:t>
      </w:r>
      <w:r>
        <w:rPr>
          <w:rStyle w:val="VerbatimChar"/>
        </w:rPr>
        <w:t xml:space="preserve">[Authorize(Roles = "Admin")]</w:t>
      </w:r>
      <w:r>
        <w:t xml:space="preserve"> </w:t>
      </w:r>
      <w:r>
        <w:t xml:space="preserve">etc. work consistently across all paths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0faeae685fe0c0fd1d978953b947381a6b1c88"/>
      <w:r>
        <w:t xml:space="preserve">4. Offline Authentication (Local Node Clients)</w:t>
      </w:r>
      <w:bookmarkEnd w:id="28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Cache authenticated user credentials and permissions locally for offline operation. The same</w:t>
      </w:r>
      <w:r>
        <w:t xml:space="preserve"> </w:t>
      </w:r>
      <w:r>
        <w:rPr>
          <w:rStyle w:val="VerbatimChar"/>
        </w:rPr>
        <w:t xml:space="preserve">LocalIdentityProvider</w:t>
      </w:r>
      <w:r>
        <w:t xml:space="preserve"> </w:t>
      </w:r>
      <w:r>
        <w:t xml:space="preserve">implementation serves both offline production and demo mode.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Operator authenticates online via their configured path (SSO, social, or custom credentials)</w:t>
      </w:r>
      <w:r>
        <w:t xml:space="preserve"> </w:t>
      </w:r>
      <w:r>
        <w:t xml:space="preserve">2. Authenticated user record and permissions/roles are cached locally in SQLite with an expiration window</w:t>
      </w:r>
      <w:r>
        <w:t xml:space="preserve"> </w:t>
      </w:r>
      <w:r>
        <w:t xml:space="preserve">3. When offline, operator logs in against the local cache</w:t>
      </w:r>
      <w:r>
        <w:t xml:space="preserve"> </w:t>
      </w:r>
      <w:r>
        <w:t xml:space="preserve">4. When connectivity is restored, cache is refreshed from the Cloud API</w:t>
      </w:r>
    </w:p>
    <w:p>
      <w:pPr>
        <w:pStyle w:val="BodyText"/>
      </w:pPr>
      <w:r>
        <w:rPr>
          <w:b/>
        </w:rPr>
        <w:t xml:space="preserve">Key Rules:</w:t>
      </w:r>
      <w:r>
        <w:t xml:space="preserve"> </w:t>
      </w:r>
      <w:r>
        <w:t xml:space="preserve">- New users cannot be added while offline — they must wait until connectivity is restored and sync completes</w:t>
      </w:r>
      <w:r>
        <w:t xml:space="preserve"> </w:t>
      </w:r>
      <w:r>
        <w:t xml:space="preserve">- Permission changes (e.g., role revocation) take effect on next sync</w:t>
      </w:r>
      <w:r>
        <w:t xml:space="preserve"> </w:t>
      </w:r>
      <w:r>
        <w:t xml:space="preserve">- This is an acceptable trade-off — user permissions and group assignments do not change frequently enough to require real-time validation</w:t>
      </w:r>
    </w:p>
    <w:p>
      <w:pPr>
        <w:pStyle w:val="BodyText"/>
      </w:pPr>
      <w:r>
        <w:rPr>
          <w:b/>
        </w:rPr>
        <w:t xml:space="preserve">Shared Implementation — Demo &amp; Offline Production: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LocalIdentityProvider</w:t>
      </w:r>
      <w:r>
        <w:t xml:space="preserve"> </w:t>
      </w:r>
      <w:r>
        <w:t xml:space="preserve">validates credentials against local SQLite. In production offline mode, the SQLite cache was populated by a prior cloud sync. In demo mode, it was populated by</w:t>
      </w:r>
      <w:r>
        <w:t xml:space="preserve"> </w:t>
      </w:r>
      <w:r>
        <w:rPr>
          <w:rStyle w:val="VerbatimChar"/>
        </w:rPr>
        <w:t xml:space="preserve">DemoDataSeeder</w:t>
      </w:r>
      <w:r>
        <w:t xml:space="preserve">. The provider does not know or care which path seeded the data — the validation logic is identical. This means demo mode exercises the real offline auth code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local-client-identity-providers"/>
      <w:r>
        <w:t xml:space="preserve">5. Local Client Identity Providers</w:t>
      </w:r>
      <w:bookmarkEnd w:id="29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Three</w:t>
      </w:r>
      <w:r>
        <w:t xml:space="preserve"> </w:t>
      </w:r>
      <w:r>
        <w:rPr>
          <w:rStyle w:val="VerbatimChar"/>
        </w:rPr>
        <w:t xml:space="preserve">IIdentityProvider</w:t>
      </w:r>
      <w:r>
        <w:t xml:space="preserve"> </w:t>
      </w:r>
      <w:r>
        <w:t xml:space="preserve">implementations compose to cover all local client scenarios.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LocalIdentityProvider</w:t>
            </w:r>
          </w:p>
        </w:tc>
        <w:tc>
          <w:p>
            <w:pPr>
              <w:pStyle w:val="Compact"/>
              <w:jc w:val="left"/>
            </w:pPr>
            <w:r>
              <w:t xml:space="preserve">Validates credentials against local SQLite cache</w:t>
            </w:r>
          </w:p>
        </w:tc>
        <w:tc>
          <w:p>
            <w:pPr>
              <w:pStyle w:val="Compact"/>
              <w:jc w:val="left"/>
            </w:pPr>
            <w:r>
              <w:t xml:space="preserve">Demo mode (always); Production offline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CloudIdentityProvider</w:t>
            </w:r>
          </w:p>
        </w:tc>
        <w:tc>
          <w:p>
            <w:pPr>
              <w:pStyle w:val="Compact"/>
              <w:jc w:val="left"/>
            </w:pPr>
            <w:r>
              <w:t xml:space="preserve">Validates credentials against Cloud API</w:t>
            </w:r>
          </w:p>
        </w:tc>
        <w:tc>
          <w:p>
            <w:pPr>
              <w:pStyle w:val="Compact"/>
              <w:jc w:val="left"/>
            </w:pPr>
            <w:r>
              <w:t xml:space="preserve">Production online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ResilientIdentityProvider</w:t>
            </w:r>
          </w:p>
        </w:tc>
        <w:tc>
          <w:p>
            <w:pPr>
              <w:pStyle w:val="Compact"/>
              <w:jc w:val="left"/>
            </w:pPr>
            <w:r>
              <w:t xml:space="preserve">Decorator — tries</w:t>
            </w:r>
            <w:r>
              <w:t xml:space="preserve"> </w:t>
            </w:r>
            <w:r>
              <w:rPr>
                <w:rStyle w:val="VerbatimChar"/>
              </w:rPr>
              <w:t xml:space="preserve">CloudIdentityProvider</w:t>
            </w:r>
            <w:r>
              <w:t xml:space="preserve"> </w:t>
            </w:r>
            <w:r>
              <w:t xml:space="preserve">first, falls back to</w:t>
            </w:r>
            <w:r>
              <w:t xml:space="preserve"> </w:t>
            </w:r>
            <w:r>
              <w:rPr>
                <w:rStyle w:val="VerbatimChar"/>
              </w:rPr>
              <w:t xml:space="preserve">LocalIdentityProvider</w:t>
            </w:r>
          </w:p>
        </w:tc>
        <w:tc>
          <w:p>
            <w:pPr>
              <w:pStyle w:val="Compact"/>
              <w:jc w:val="left"/>
            </w:pPr>
            <w:r>
              <w:t xml:space="preserve">Production mode (wraps both)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Production: cloud-first with offline fallback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ResilientIdentityProvider : IIdentityProvider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CloudIdentityProvider _cloud;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LocalIdentityProvider _local;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IConnectivityService _connectivity;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Task&lt;AuthResult&gt; </w:t>
      </w:r>
      <w:r>
        <w:rPr>
          <w:rStyle w:val="FunctionTok"/>
        </w:rPr>
        <w:t xml:space="preserve">AuthenticateAsync</w:t>
      </w:r>
      <w:r>
        <w:rPr>
          <w:rStyle w:val="NormalTok"/>
        </w:rPr>
        <w:t xml:space="preserve">(AuthCredentials credentials)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(_connectivity.</w:t>
      </w:r>
      <w:r>
        <w:rPr>
          <w:rStyle w:val="FunctionTok"/>
        </w:rPr>
        <w:t xml:space="preserve">IsOnline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await _cloud.</w:t>
      </w:r>
      <w:r>
        <w:rPr>
          <w:rStyle w:val="FunctionTok"/>
        </w:rPr>
        <w:t xml:space="preserve">AuthenticateAsync</w:t>
      </w:r>
      <w:r>
        <w:rPr>
          <w:rStyle w:val="NormalTok"/>
        </w:rPr>
        <w:t xml:space="preserve">(credentials);</w:t>
      </w:r>
      <w:r>
        <w:br/>
      </w:r>
      <w:r>
        <w:rPr>
          <w:rStyle w:val="NormalTok"/>
        </w:rPr>
        <w:t xml:space="preserve">                await _local.</w:t>
      </w:r>
      <w:r>
        <w:rPr>
          <w:rStyle w:val="FunctionTok"/>
        </w:rPr>
        <w:t xml:space="preserve">CacheUserAsync</w:t>
      </w:r>
      <w:r>
        <w:rPr>
          <w:rStyle w:val="NormalTok"/>
        </w:rPr>
        <w:t xml:space="preserve">(result.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sync to local cache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fall through to local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_local.</w:t>
      </w:r>
      <w:r>
        <w:rPr>
          <w:rStyle w:val="FunctionTok"/>
        </w:rPr>
        <w:t xml:space="preserve">AuthenticateAsync</w:t>
      </w:r>
      <w:r>
        <w:rPr>
          <w:rStyle w:val="NormalTok"/>
        </w:rPr>
        <w:t xml:space="preserve">(credentials);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DI Wiring (MauiProgram.cs):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(appMode.</w:t>
      </w:r>
      <w:r>
        <w:rPr>
          <w:rStyle w:val="FunctionTok"/>
        </w:rPr>
        <w:t xml:space="preserve">IsDemoMode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&lt;IIdentityProvider, LocalIdentityProvider&gt;();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&lt;IIdentityProvider, ResilientIdentityProvider&gt;();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Blazor auth state — same wrapper regardless of mode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&lt;AuthenticationStateProvider, RiqAuthenticationStateProvider&gt;();</w:t>
      </w:r>
    </w:p>
    <w:p>
      <w:pPr>
        <w:pStyle w:val="FirstParagraph"/>
      </w:pPr>
      <w:r>
        <w:rPr>
          <w:rStyle w:val="VerbatimChar"/>
        </w:rPr>
        <w:t xml:space="preserve">RiqAuthenticationStateProvider</w:t>
      </w:r>
      <w:r>
        <w:t xml:space="preserve"> </w:t>
      </w:r>
      <w:r>
        <w:t xml:space="preserve">is a thin Blazor wrapper that translates</w:t>
      </w:r>
      <w:r>
        <w:t xml:space="preserve"> </w:t>
      </w:r>
      <w:r>
        <w:rPr>
          <w:rStyle w:val="VerbatimChar"/>
        </w:rPr>
        <w:t xml:space="preserve">AuthResult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ClaimsPrincipal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AuthenticationState</w:t>
      </w:r>
      <w:r>
        <w:t xml:space="preserve">. It consumes whichever</w:t>
      </w:r>
      <w:r>
        <w:t xml:space="preserve"> </w:t>
      </w:r>
      <w:r>
        <w:rPr>
          <w:rStyle w:val="VerbatimChar"/>
        </w:rPr>
        <w:t xml:space="preserve">IIdentityProvider</w:t>
      </w:r>
      <w:r>
        <w:t xml:space="preserve"> </w:t>
      </w:r>
      <w:r>
        <w:t xml:space="preserve">is injected.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&lt;AuthorizeView&gt;</w:t>
      </w:r>
      <w:r>
        <w:t xml:space="preserve"> </w:t>
      </w:r>
      <w:r>
        <w:t xml:space="preserve">work identically in both modes.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ff01ceea1295f9ca568cb4b9eef9b543171fb7a"/>
      <w:r>
        <w:t xml:space="preserve">6. Tenant-Configurable Site Authentication Method</w:t>
      </w:r>
      <w:bookmarkEnd w:id="30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The tenant admin configures a single authentication method per site for operator login. The admin mode always uses username/password regardless of site config.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SiteAuthMethod { Pin, Password, Badge </w:t>
      </w:r>
      <w:r>
        <w:rPr>
          <w:rStyle w:val="CommentTok"/>
        </w:rPr>
        <w:t xml:space="preserve">/* future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This setting is stored in the tenant’s site configuration (synced to local SQLite in production, seeded by</w:t>
      </w:r>
      <w:r>
        <w:t xml:space="preserve"> </w:t>
      </w:r>
      <w:r>
        <w:rPr>
          <w:rStyle w:val="VerbatimChar"/>
        </w:rPr>
        <w:t xml:space="preserve">DemoDataSeeder</w:t>
      </w:r>
      <w:r>
        <w:t xml:space="preserve"> </w:t>
      </w:r>
      <w:r>
        <w:t xml:space="preserve">in demo mode). The login page reads</w:t>
      </w:r>
      <w:r>
        <w:t xml:space="preserve"> </w:t>
      </w:r>
      <w:r>
        <w:rPr>
          <w:rStyle w:val="VerbatimChar"/>
        </w:rPr>
        <w:t xml:space="preserve">SiteAuthMethod</w:t>
      </w:r>
      <w:r>
        <w:t xml:space="preserve"> </w:t>
      </w:r>
      <w:r>
        <w:t xml:space="preserve">and renders the appropriate input (PIN pad, username/password form, etc.).</w:t>
      </w:r>
    </w:p>
    <w:p>
      <w:pPr>
        <w:pStyle w:val="BodyText"/>
      </w:pPr>
      <w:r>
        <w:rPr>
          <w:b/>
        </w:rPr>
        <w:t xml:space="preserve">Default:</w:t>
      </w:r>
      <w:r>
        <w:t xml:space="preserve"> </w:t>
      </w:r>
      <w:r>
        <w:rPr>
          <w:rStyle w:val="VerbatimChar"/>
        </w:rPr>
        <w:t xml:space="preserve">SiteAuthMethod.Pin</w:t>
      </w:r>
      <w:r>
        <w:t xml:space="preserve"> </w:t>
      </w:r>
      <w:r>
        <w:t xml:space="preserve">— fast numeric entry suitable for cashier/operator workflows.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local-client-launch-modes"/>
      <w:r>
        <w:t xml:space="preserve">7. Local Client Launch Modes</w:t>
      </w:r>
      <w:bookmarkEnd w:id="31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The MAUI local client supports two launch modes controlled by a startup flag.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Login UX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 mode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Normal launch</w:t>
            </w:r>
          </w:p>
        </w:tc>
        <w:tc>
          <w:p>
            <w:pPr>
              <w:pStyle w:val="Compact"/>
              <w:jc w:val="left"/>
            </w:pPr>
            <w:r>
              <w:t xml:space="preserve">Site’s configured auth method (PIN, password, etc.)</w:t>
            </w:r>
          </w:p>
        </w:tc>
        <w:tc>
          <w:p>
            <w:pPr>
              <w:pStyle w:val="Compact"/>
              <w:jc w:val="left"/>
            </w:pPr>
            <w:r>
              <w:t xml:space="preserve">Operator and admin pages based on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--admin</w:t>
            </w:r>
            <w:r>
              <w:t xml:space="preserve"> </w:t>
            </w:r>
            <w:r>
              <w:t xml:space="preserve">flag or separate shortcut</w:t>
            </w:r>
          </w:p>
        </w:tc>
        <w:tc>
          <w:p>
            <w:pPr>
              <w:pStyle w:val="Compact"/>
              <w:jc w:val="left"/>
            </w:pPr>
            <w:r>
              <w:t xml:space="preserve">Always username/password</w:t>
            </w:r>
          </w:p>
        </w:tc>
        <w:tc>
          <w:p>
            <w:pPr>
              <w:pStyle w:val="Compact"/>
              <w:jc w:val="left"/>
            </w:pPr>
            <w:r>
              <w:t xml:space="preserve">System configuration, tenant settings, diagnostics</w:t>
            </w:r>
          </w:p>
        </w:tc>
      </w:tr>
    </w:tbl>
    <w:p>
      <w:pPr>
        <w:pStyle w:val="BodyText"/>
      </w:pPr>
      <w:r>
        <w:rPr>
          <w:b/>
        </w:rPr>
        <w:t xml:space="preserve">Admin mode</w:t>
      </w:r>
      <w:r>
        <w:t xml:space="preserve"> </w:t>
      </w:r>
      <w:r>
        <w:t xml:space="preserve">is for system-level functions: tenant configuration, auth method settings, device management, diagnostics. It always requires username/password authentication regardless of the site’s operator auth setting.</w:t>
      </w:r>
    </w:p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Demo-specific functions like Reset Demo and Create New Demo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admin-mode functions. They are accessible from normal operator mode, guarded by the</w:t>
      </w:r>
      <w:r>
        <w:t xml:space="preserve"> </w:t>
      </w:r>
      <w:r>
        <w:rPr>
          <w:rStyle w:val="VerbatimChar"/>
        </w:rPr>
        <w:t xml:space="preserve">TenantAdmin</w:t>
      </w:r>
      <w:r>
        <w:t xml:space="preserve"> </w:t>
      </w:r>
      <w:r>
        <w:t xml:space="preserve">role, and only visible when</w:t>
      </w:r>
      <w:r>
        <w:t xml:space="preserve"> </w:t>
      </w:r>
      <w:r>
        <w:rPr>
          <w:rStyle w:val="VerbatimChar"/>
        </w:rPr>
        <w:t xml:space="preserve">IsDemoMode = true</w:t>
      </w:r>
      <w:r>
        <w:t xml:space="preserve">. This ensures a trade show operator can quickly reset a demo without relaunching the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61dc43b0e200f0e5f5991edc04e8a38f06ffcf"/>
      <w:r>
        <w:t xml:space="preserve">8. Session Scope for Web Portal vs. Local Clients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Offline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Portal</w:t>
            </w:r>
          </w:p>
        </w:tc>
        <w:tc>
          <w:p>
            <w:pPr>
              <w:pStyle w:val="Compact"/>
              <w:jc w:val="left"/>
            </w:pPr>
            <w:r>
              <w:t xml:space="preserve">SSO, Social, or Custom Credentials</w:t>
            </w:r>
          </w:p>
        </w:tc>
        <w:tc>
          <w:p>
            <w:pPr>
              <w:pStyle w:val="Compact"/>
              <w:jc w:val="left"/>
            </w:pPr>
            <w:r>
              <w:t xml:space="preserve">No — requires connectivity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Node — Operator mode</w:t>
            </w:r>
          </w:p>
        </w:tc>
        <w:tc>
          <w:p>
            <w:pPr>
              <w:pStyle w:val="Compact"/>
              <w:jc w:val="left"/>
            </w:pPr>
            <w:r>
              <w:t xml:space="preserve">Tenant-configured method (PIN, password, etc.)</w:t>
            </w:r>
          </w:p>
        </w:tc>
        <w:tc>
          <w:p>
            <w:pPr>
              <w:pStyle w:val="Compact"/>
              <w:jc w:val="left"/>
            </w:pPr>
            <w:r>
              <w:t xml:space="preserve">Yes — operates fully offline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Node — Admin mode</w:t>
            </w:r>
          </w:p>
        </w:tc>
        <w:tc>
          <w:p>
            <w:pPr>
              <w:pStyle w:val="Compact"/>
              <w:jc w:val="left"/>
            </w:pPr>
            <w:r>
              <w:t xml:space="preserve">Username / Password (always)</w:t>
            </w:r>
          </w:p>
        </w:tc>
        <w:tc>
          <w:p>
            <w:pPr>
              <w:pStyle w:val="Compact"/>
              <w:jc w:val="left"/>
            </w:pPr>
            <w:r>
              <w:t xml:space="preserve">Yes — validates against local cache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hosting-ssl"/>
      <w:r>
        <w:t xml:space="preserve">9. Hosting &amp; SSL</w:t>
      </w:r>
      <w:bookmarkEnd w:id="33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Subdomain-per-tenant URL structure.</w:t>
      </w:r>
    </w:p>
    <w:p>
      <w:pPr>
        <w:numPr>
          <w:ilvl w:val="0"/>
          <w:numId w:val="1005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tenantname.recycleriq.com</w:t>
      </w:r>
    </w:p>
    <w:p>
      <w:pPr>
        <w:numPr>
          <w:ilvl w:val="0"/>
          <w:numId w:val="1005"/>
        </w:numPr>
        <w:pStyle w:val="Compact"/>
      </w:pPr>
      <w:r>
        <w:t xml:space="preserve">All subdomains point to the same Azure App Service instance</w:t>
      </w:r>
    </w:p>
    <w:p>
      <w:pPr>
        <w:numPr>
          <w:ilvl w:val="0"/>
          <w:numId w:val="1005"/>
        </w:numPr>
        <w:pStyle w:val="Compact"/>
      </w:pPr>
      <w:r>
        <w:t xml:space="preserve">Tenant is resolved from the subdomain before login — no need to identify tenant at credential entry time</w:t>
      </w:r>
    </w:p>
    <w:p>
      <w:pPr>
        <w:numPr>
          <w:ilvl w:val="0"/>
          <w:numId w:val="1005"/>
        </w:numPr>
        <w:pStyle w:val="Compact"/>
      </w:pPr>
      <w:r>
        <w:t xml:space="preserve">Username uniqueness is scoped per tenant, not globally</w:t>
      </w:r>
    </w:p>
    <w:p>
      <w:pPr>
        <w:pStyle w:val="FirstParagraph"/>
      </w:pPr>
      <w:r>
        <w:rPr>
          <w:b/>
        </w:rPr>
        <w:t xml:space="preserve">SSL:</w:t>
      </w:r>
      <w:r>
        <w:t xml:space="preserve"> </w:t>
      </w:r>
      <w:r>
        <w:t xml:space="preserve">Single wildcard certificate (</w:t>
      </w:r>
      <w:r>
        <w:rPr>
          <w:rStyle w:val="VerbatimChar"/>
        </w:rPr>
        <w:t xml:space="preserve">*.recycleriq.com</w:t>
      </w:r>
      <w:r>
        <w:t xml:space="preserve">) managed by Azure App Service.</w:t>
      </w:r>
      <w:r>
        <w:t xml:space="preserve"> </w:t>
      </w:r>
      <w:r>
        <w:t xml:space="preserve">- Covers all tenant subdomains automatically</w:t>
      </w:r>
      <w:r>
        <w:t xml:space="preserve"> </w:t>
      </w:r>
      <w:r>
        <w:t xml:space="preserve">- Azure handles provisioning and auto-renewal</w:t>
      </w:r>
      <w:r>
        <w:t xml:space="preserve"> </w:t>
      </w:r>
      <w:r>
        <w:t xml:space="preserve">- No per-tenant certificates required</w:t>
      </w:r>
      <w:r>
        <w:t xml:space="preserve"> </w:t>
      </w:r>
      <w:r>
        <w:t xml:space="preserve">- No third-party SSL provider needed (GoDaddy, etc.)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mpany-website-app-hosting"/>
      <w:r>
        <w:t xml:space="preserve">10. Company Website &amp; App Hosting</w:t>
      </w:r>
      <w:bookmarkEnd w:id="34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Host company website and SaaS app in the same Azure App Service.</w:t>
      </w:r>
    </w:p>
    <w:p>
      <w:pPr>
        <w:numPr>
          <w:ilvl w:val="0"/>
          <w:numId w:val="1006"/>
        </w:numPr>
        <w:pStyle w:val="Compact"/>
      </w:pPr>
      <w:r>
        <w:t xml:space="preserve">Company website:</w:t>
      </w:r>
      <w:r>
        <w:t xml:space="preserve"> </w:t>
      </w:r>
      <w:r>
        <w:rPr>
          <w:rStyle w:val="VerbatimChar"/>
        </w:rPr>
        <w:t xml:space="preserve">yourcompanyname.com</w:t>
      </w:r>
    </w:p>
    <w:p>
      <w:pPr>
        <w:numPr>
          <w:ilvl w:val="0"/>
          <w:numId w:val="1006"/>
        </w:numPr>
        <w:pStyle w:val="Compact"/>
      </w:pPr>
      <w:r>
        <w:t xml:space="preserve">SaaS application:</w:t>
      </w:r>
      <w:r>
        <w:t xml:space="preserve"> </w:t>
      </w:r>
      <w:r>
        <w:rPr>
          <w:rStyle w:val="VerbatimChar"/>
        </w:rPr>
        <w:t xml:space="preserve">recycleriq.com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*.recycleriq.com</w:t>
      </w:r>
      <w:r>
        <w:t xml:space="preserve"> </w:t>
      </w:r>
      <w:r>
        <w:t xml:space="preserve">for tenant subdomains)</w:t>
      </w:r>
    </w:p>
    <w:p>
      <w:pPr>
        <w:numPr>
          <w:ilvl w:val="0"/>
          <w:numId w:val="1006"/>
        </w:numPr>
        <w:pStyle w:val="Compact"/>
      </w:pPr>
      <w:r>
        <w:t xml:space="preserve">Both domains bound to the same App Service</w:t>
      </w:r>
    </w:p>
    <w:p>
      <w:pPr>
        <w:numPr>
          <w:ilvl w:val="0"/>
          <w:numId w:val="1006"/>
        </w:numPr>
        <w:pStyle w:val="Compact"/>
      </w:pPr>
      <w:r>
        <w:t xml:space="preserve">One wildcard SSL cert covers all subdomains for</w:t>
      </w:r>
      <w:r>
        <w:t xml:space="preserve"> </w:t>
      </w:r>
      <w:r>
        <w:rPr>
          <w:rStyle w:val="VerbatimChar"/>
        </w:rPr>
        <w:t xml:space="preserve">recycleriq.com</w:t>
      </w:r>
    </w:p>
    <w:p>
      <w:pPr>
        <w:numPr>
          <w:ilvl w:val="0"/>
          <w:numId w:val="1006"/>
        </w:numPr>
        <w:pStyle w:val="Compact"/>
      </w:pPr>
      <w:r>
        <w:t xml:space="preserve">Separate SSL cert for company domain</w:t>
      </w:r>
    </w:p>
    <w:p>
      <w:pPr>
        <w:numPr>
          <w:ilvl w:val="0"/>
          <w:numId w:val="1006"/>
        </w:numPr>
        <w:pStyle w:val="Compact"/>
      </w:pPr>
      <w:r>
        <w:t xml:space="preserve">Economical — no additional hosting cost since App Service is already running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pen-items"/>
      <w:r>
        <w:t xml:space="preserve">11. Open Items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Third-party OAuth providers beyond Microsoft and Google</w:t>
            </w:r>
          </w:p>
        </w:tc>
        <w:tc>
          <w:p>
            <w:pPr>
              <w:pStyle w:val="Compact"/>
              <w:jc w:val="left"/>
            </w:pPr>
            <w:r>
              <w:t xml:space="preserve">To be determined as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expiration window duration</w:t>
            </w:r>
          </w:p>
        </w:tc>
        <w:tc>
          <w:p>
            <w:pPr>
              <w:pStyle w:val="Compact"/>
              <w:jc w:val="left"/>
            </w:pPr>
            <w:r>
              <w:t xml:space="preserve">Not yet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 federation protocols supported (OpenID Connect, SAML)</w:t>
            </w:r>
          </w:p>
        </w:tc>
        <w:tc>
          <w:p>
            <w:pPr>
              <w:pStyle w:val="Compact"/>
              <w:jc w:val="left"/>
            </w:pPr>
            <w:r>
              <w:t xml:space="preserve">To be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Badge/biometric credential types — requirements and timeline</w:t>
            </w:r>
          </w:p>
        </w:tc>
        <w:tc>
          <w:p>
            <w:pPr>
              <w:pStyle w:val="Compact"/>
              <w:jc w:val="left"/>
            </w:pPr>
            <w:r>
              <w:t xml:space="preserve">Future — placeholder in AuthCredentials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mode page inventory — which functions require</w:t>
            </w:r>
            <w:r>
              <w:t xml:space="preserve"> </w:t>
            </w:r>
            <w:r>
              <w:rPr>
                <w:rStyle w:val="VerbatimChar"/>
              </w:rPr>
              <w:t xml:space="preserve">--admin</w:t>
            </w:r>
            <w:r>
              <w:t xml:space="preserve"> </w:t>
            </w:r>
            <w:r>
              <w:t xml:space="preserve">launch</w:t>
            </w:r>
          </w:p>
        </w:tc>
        <w:tc>
          <w:p>
            <w:pPr>
              <w:pStyle w:val="Compact"/>
              <w:jc w:val="left"/>
            </w:pPr>
            <w:r>
              <w:t xml:space="preserve">To be defined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2026-04-10T19:09:19Z</dcterms:created>
  <dcterms:modified xsi:type="dcterms:W3CDTF">2026-04-10T19:09:19Z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