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eastAsia="Microsoft YaHei"/>
          <w:sz w:val="20"/>
          <w:b/>
        </w:rPr>
        <w:t xml:space="preserve">StatM · 科研表格</w:t>
      </w:r>
    </w:p>
    <w:p>
      <w:r>
        <w:rPr>
          <w:rFonts w:ascii="Arial" w:eastAsia="Microsoft YaHei"/>
          <w:sz w:val="20"/>
        </w:rPr>
        <w:t xml:space="preserve">数据集：Advertising.csv | 数据版本：a62404d8-39f6-42e0-aded-8c519eff1dc4 | 运行时间：2026-10-14T08:14:47.205977+00:00</w:t>
      </w:r>
    </w:p>
    <w:p>
      <w:r>
        <w:rPr>
          <w:rFonts w:ascii="Arial" w:eastAsia="Microsoft YaHei"/>
          <w:sz w:val="20"/>
          <w:b/>
        </w:rPr>
        <w:t xml:space="preserve">Pearson 相关系数矩阵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6363"/>
        <w:gridCol w:w="2272"/>
        <w:gridCol w:w="2272"/>
        <w:gridCol w:w="4090"/>
      </w:tblGrid>
      <w:tr>
        <w:trPr>
          <w:cantSplit/>
          <w:tblHeader/>
        </w:trPr>
        <w:tc>
          <w:tcPr>
            <w:tcW w:w="6363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变量</w:t>
            </w:r>
          </w:p>
        </w:tc>
        <w:tc>
          <w:tcPr>
            <w:tcW w:w="2272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TV</w:t>
            </w:r>
          </w:p>
        </w:tc>
        <w:tc>
          <w:tcPr>
            <w:tcW w:w="2272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radio</w:t>
            </w:r>
          </w:p>
        </w:tc>
        <w:tc>
          <w:tcPr>
            <w:tcW w:w="409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newspaper</w:t>
            </w:r>
          </w:p>
        </w:tc>
      </w:tr>
      <w:tr>
        <w:trPr>
          <w:cantSplit/>
        </w:trPr>
        <w:tc>
          <w:tcPr>
            <w:tcW w:w="6363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TV</w:t>
            </w:r>
          </w:p>
        </w:tc>
        <w:tc>
          <w:tcPr>
            <w:tcW w:w="227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1.000</w:t>
            </w:r>
          </w:p>
        </w:tc>
        <w:tc>
          <w:tcPr>
            <w:tcW w:w="227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—</w:t>
            </w:r>
          </w:p>
        </w:tc>
        <w:tc>
          <w:tcPr>
            <w:tcW w:w="409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6363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radio</w:t>
            </w:r>
          </w:p>
        </w:tc>
        <w:tc>
          <w:tcPr>
            <w:tcW w:w="227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0.055</w:t>
            </w:r>
          </w:p>
        </w:tc>
        <w:tc>
          <w:tcPr>
            <w:tcW w:w="227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1.000</w:t>
            </w:r>
          </w:p>
        </w:tc>
        <w:tc>
          <w:tcPr>
            <w:tcW w:w="409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6363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newspaper</w:t>
            </w:r>
          </w:p>
        </w:tc>
        <w:tc>
          <w:tcPr>
            <w:tcW w:w="227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0.057</w:t>
            </w:r>
          </w:p>
        </w:tc>
        <w:tc>
          <w:tcPr>
            <w:tcW w:w="2272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0.354</w:t>
            </w:r>
          </w:p>
        </w:tc>
        <w:tc>
          <w:tcPr>
            <w:tcW w:w="409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1.000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  <w:b/>
        </w:rPr>
        <w:t xml:space="preserve">Pearson 变量对统计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4666"/>
        <w:gridCol w:w="3000"/>
        <w:gridCol w:w="3333"/>
        <w:gridCol w:w="2000"/>
        <w:gridCol w:w="2000"/>
      </w:tblGrid>
      <w:tr>
        <w:trPr>
          <w:cantSplit/>
          <w:tblHeader/>
        </w:trPr>
        <w:tc>
          <w:tcPr>
            <w:tcW w:w="4666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变量 1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变量 2</w:t>
            </w:r>
          </w:p>
        </w:tc>
        <w:tc>
          <w:tcPr>
            <w:tcW w:w="3333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相关系数 r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p 值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样本量</w:t>
            </w:r>
          </w:p>
        </w:tc>
      </w:tr>
      <w:tr>
        <w:trPr>
          <w:cantSplit/>
        </w:trPr>
        <w:tc>
          <w:tcPr>
            <w:tcW w:w="4666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TV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radio</w:t>
            </w:r>
          </w:p>
        </w:tc>
        <w:tc>
          <w:tcPr>
            <w:tcW w:w="333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0.055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0.441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w="4666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TV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newspaper</w:t>
            </w:r>
          </w:p>
        </w:tc>
        <w:tc>
          <w:tcPr>
            <w:tcW w:w="333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0.057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0.426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w="4666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radio</w:t>
            </w:r>
          </w:p>
        </w:tc>
        <w:tc>
          <w:tcPr>
            <w:tcW w:w="3000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newspaper</w:t>
            </w:r>
          </w:p>
        </w:tc>
        <w:tc>
          <w:tcPr>
            <w:tcW w:w="333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0.354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&lt;0.001</w:t>
            </w:r>
          </w:p>
        </w:tc>
        <w:tc>
          <w:tcPr>
            <w:tcW w:w="200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200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</w:rPr>
        <w:t xml:space="preserve">矩阵展示下三角；— 表示省略的上三角或不可用值。变量对统计表每对变量仅列示一次。</w:t>
      </w:r>
    </w:p>
    <w:p>
      <w:r>
        <w:rPr>
          <w:rFonts w:ascii="Arial" w:eastAsia="Microsoft YaHei"/>
          <w:sz w:val="20"/>
        </w:rPr>
        <w:t xml:space="preserve">相关方法：Pearson。逐对删除缺失值；不同变量对的样本量可能不同。</w:t>
      </w:r>
    </w:p>
    <w:p>
      <w:r>
        <w:rPr>
          <w:rFonts w:ascii="Arial" w:eastAsia="Microsoft YaHei"/>
          <w:sz w:val="20"/>
        </w:rPr>
        <w:t xml:space="preserve">p 值未经多重比较校正；相关关系不构成因果证据。</w:t>
      </w:r>
    </w:p>
    <w:p>
      <w:r>
        <w:rPr>
          <w:rFonts w:ascii="Arial" w:eastAsia="Microsoft YaHei"/>
          <w:sz w:val="20"/>
        </w:rPr>
        <w:t xml:space="preserve">显示值按所选精度舍入，原始结果保留完整精度；— 表示不可用。不自动添加显著性星号。</w:t>
      </w:r>
    </w:p>
    <w:sectPr>
      <w:pgSz w:w="16838" w:h="11906" w:orient="landscape"/>
      <w:pgMar w:top="850" w:right="850" w:bottom="850" w:left="850"/>
    </w:sectPr>
  </w:body>
</w:document>
</file>