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Research tables</w:t>
      </w:r>
    </w:p>
    <w:p>
      <w:r>
        <w:rPr>
          <w:rFonts w:ascii="Arial" w:eastAsia="Microsoft YaHei"/>
          <w:sz w:val="20"/>
        </w:rPr>
        <w:t xml:space="preserve">Dataset: Iris.csv | Version: 269359a5-19fe-465c-984f-c36e29873013 | Run: 2026-10-14T08:15:12.314943+00:00</w:t>
      </w:r>
    </w:p>
    <w:p>
      <w:r>
        <w:rPr>
          <w:rFonts w:ascii="Arial" w:eastAsia="Microsoft YaHei"/>
          <w:sz w:val="20"/>
          <w:b/>
        </w:rPr>
        <w:t xml:space="preserve">Eigenvalues and variance explained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750"/>
        <w:gridCol w:w="2678"/>
        <w:gridCol w:w="3214"/>
        <w:gridCol w:w="3214"/>
        <w:gridCol w:w="2142"/>
      </w:tblGrid>
      <w:tr>
        <w:trPr>
          <w:cantSplit/>
          <w:tblHeader/>
        </w:trPr>
        <w:tc>
          <w:tcPr>
            <w:tcW w:w="3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Component</w:t>
            </w:r>
          </w:p>
        </w:tc>
        <w:tc>
          <w:tcPr>
            <w:tcW w:w="267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Eigenvalue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Variance explained (%)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Cumulative variance (%)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Retained</w:t>
            </w:r>
          </w:p>
        </w:tc>
      </w:tr>
      <w:tr>
        <w:trPr>
          <w:cantSplit/>
        </w:trPr>
        <w:tc>
          <w:tcPr>
            <w:tcW w:w="375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PC1</w:t>
            </w:r>
          </w:p>
        </w:tc>
        <w:tc>
          <w:tcPr>
            <w:tcW w:w="26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2.918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72.962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72.962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75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PC2</w:t>
            </w:r>
          </w:p>
        </w:tc>
        <w:tc>
          <w:tcPr>
            <w:tcW w:w="26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0.914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22.851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95.813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75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PC3</w:t>
            </w:r>
          </w:p>
        </w:tc>
        <w:tc>
          <w:tcPr>
            <w:tcW w:w="26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0.147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3.669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99.482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75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PC4</w:t>
            </w:r>
          </w:p>
        </w:tc>
        <w:tc>
          <w:tcPr>
            <w:tcW w:w="26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0.021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0.518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100.000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Yes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Loading matrix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5675"/>
        <w:gridCol w:w="2432"/>
        <w:gridCol w:w="2027"/>
        <w:gridCol w:w="2432"/>
        <w:gridCol w:w="2432"/>
      </w:tblGrid>
      <w:tr>
        <w:trPr>
          <w:cantSplit/>
          <w:tblHeader/>
        </w:trPr>
        <w:tc>
          <w:tcPr>
            <w:tcW w:w="567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Variable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PC1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PC2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PC4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sepal_length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0.890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0.361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0.276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-0.038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sepal_width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-0.460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0.883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-0.094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0.018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petal_length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0.992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0.023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-0.054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0.115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petal_width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0.965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0.064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-0.243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-0.075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Correlation matrix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500"/>
        <w:gridCol w:w="3000"/>
        <w:gridCol w:w="2750"/>
        <w:gridCol w:w="3000"/>
        <w:gridCol w:w="2750"/>
      </w:tblGrid>
      <w:tr>
        <w:trPr>
          <w:cantSplit/>
          <w:tblHeader/>
        </w:trPr>
        <w:tc>
          <w:tcPr>
            <w:tcW w:w="3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Variable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sepal_length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sepal_width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petal_length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petal_width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sepal_length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-0.118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0.872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0.818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sepal_width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-0.118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-0.428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-0.366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petal_length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0.872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-0.428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0.963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petal_width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0.818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-0.366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0.963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Preprocessing: sample-standardized variables; eigenvalues correspond to the sample correlation matrix.</w:t>
      </w:r>
    </w:p>
    <w:p>
      <w:r>
        <w:rPr>
          <w:rFonts w:ascii="Arial" w:eastAsia="Microsoft YaHei"/>
          <w:sz w:val="20"/>
        </w:rPr>
        <w:t xml:space="preserve">Variance explained and cumulative variance are reported as percentages. Loadings = eigenvectors × sqrt(eigenvalues); signs may reverse without changing the PCA solution.</w:t>
      </w:r>
    </w:p>
    <w:p>
      <w:r>
        <w:rPr>
          <w:rFonts w:ascii="Arial" w:eastAsia="Microsoft YaHei"/>
          <w:sz w:val="20"/>
        </w:rPr>
        <w:t xml:space="preserve">Complete-case analysis: 0 rows excluded.</w:t>
      </w:r>
    </w:p>
    <w:p>
      <w:r>
        <w:rPr>
          <w:rFonts w:ascii="Arial" w:eastAsia="Microsoft YaHei"/>
          <w:sz w:val="20"/>
        </w:rPr>
        <w:t xml:space="preserve">Displayed values are rounded; raw results retain full precision. — means unavailable. No significance stars are added.</w:t>
      </w:r>
    </w:p>
    <w:sectPr>
      <w:pgSz w:w="16838" w:h="11906" w:orient="landscape"/>
      <w:pgMar w:top="850" w:right="850" w:bottom="850" w:left="850"/>
    </w:sectPr>
  </w:body>
</w:document>
</file>