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数据集：Iris.csv | 数据版本：269359a5-19fe-465c-984f-c36e29873013 | 运行时间：2026-10-14T08:15:12.314943+00:00</w:t>
      </w:r>
    </w:p>
    <w:p>
      <w:r>
        <w:rPr>
          <w:rFonts w:ascii="Arial" w:eastAsia="Microsoft YaHei"/>
          <w:sz w:val="20"/>
          <w:b/>
        </w:rPr>
        <w:t xml:space="preserve">特征值与解释方差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4375"/>
        <w:gridCol w:w="1875"/>
        <w:gridCol w:w="3750"/>
        <w:gridCol w:w="3750"/>
        <w:gridCol w:w="1250"/>
      </w:tblGrid>
      <w:tr>
        <w:trPr>
          <w:cantSplit/>
          <w:tblHeader/>
        </w:trPr>
        <w:tc>
          <w:tcPr>
            <w:tcW w:w="437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主成分</w:t>
            </w:r>
          </w:p>
        </w:tc>
        <w:tc>
          <w:tcPr>
            <w:tcW w:w="187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特征值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方差贡献率 (%)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累计贡献率 (%)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保留</w:t>
            </w:r>
          </w:p>
        </w:tc>
      </w:tr>
      <w:tr>
        <w:trPr>
          <w:cantSplit/>
        </w:trPr>
        <w:tc>
          <w:tcPr>
            <w:tcW w:w="43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PC1</w:t>
            </w:r>
          </w:p>
        </w:tc>
        <w:tc>
          <w:tcPr>
            <w:tcW w:w="187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2.918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72.962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72.962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43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PC2</w:t>
            </w:r>
          </w:p>
        </w:tc>
        <w:tc>
          <w:tcPr>
            <w:tcW w:w="187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0.914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22.851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95.813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43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PC3</w:t>
            </w:r>
          </w:p>
        </w:tc>
        <w:tc>
          <w:tcPr>
            <w:tcW w:w="187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0.147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3.669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99.482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w="43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PC4</w:t>
            </w:r>
          </w:p>
        </w:tc>
        <w:tc>
          <w:tcPr>
            <w:tcW w:w="187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0.021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0.518</w:t>
            </w:r>
          </w:p>
        </w:tc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100.000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是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载荷矩阵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5675"/>
        <w:gridCol w:w="2432"/>
        <w:gridCol w:w="2027"/>
        <w:gridCol w:w="2432"/>
        <w:gridCol w:w="2432"/>
      </w:tblGrid>
      <w:tr>
        <w:trPr>
          <w:cantSplit/>
          <w:tblHeader/>
        </w:trPr>
        <w:tc>
          <w:tcPr>
            <w:tcW w:w="567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PC1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PC2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PC4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sepal_length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0.890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0.361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0.276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-0.038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sepal_width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-0.460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0.883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-0.094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0.018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petal_length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0.992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0.023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-0.054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0.115</w:t>
            </w:r>
          </w:p>
        </w:tc>
      </w:tr>
      <w:tr>
        <w:trPr>
          <w:cantSplit/>
        </w:trPr>
        <w:tc>
          <w:tcPr>
            <w:tcW w:w="5675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petal_width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0.965</w:t>
            </w:r>
          </w:p>
        </w:tc>
        <w:tc>
          <w:tcPr>
            <w:tcW w:w="202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0.064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-0.243</w:t>
            </w:r>
          </w:p>
        </w:tc>
        <w:tc>
          <w:tcPr>
            <w:tcW w:w="243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-0.075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相关矩阵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500"/>
        <w:gridCol w:w="3000"/>
        <w:gridCol w:w="2750"/>
        <w:gridCol w:w="3000"/>
        <w:gridCol w:w="2750"/>
      </w:tblGrid>
      <w:tr>
        <w:trPr>
          <w:cantSplit/>
          <w:tblHeader/>
        </w:trPr>
        <w:tc>
          <w:tcPr>
            <w:tcW w:w="3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sepal_length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sepal_width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petal_length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petal_width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sepal_length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-0.118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0.872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0.818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sepal_width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-0.118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-0.428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-0.366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petal_length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0.872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-0.428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0.963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petal_width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0.818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-0.366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0.963</w:t>
            </w:r>
          </w:p>
        </w:tc>
        <w:tc>
          <w:tcPr>
            <w:tcW w:w="27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预处理：按样本标准差标准化；特征值对应样本相关矩阵。</w:t>
      </w:r>
    </w:p>
    <w:p>
      <w:r>
        <w:rPr>
          <w:rFonts w:ascii="Arial" w:eastAsia="Microsoft YaHei"/>
          <w:sz w:val="20"/>
        </w:rPr>
        <w:t xml:space="preserve">方差贡献率与累计贡献率以百分数列示。载荷 = 特征向量 × sqrt(特征值)；主成分符号整体反转不改变 PCA 解。</w:t>
      </w:r>
    </w:p>
    <w:p>
      <w:r>
        <w:rPr>
          <w:rFonts w:ascii="Arial" w:eastAsia="Microsoft YaHei"/>
          <w:sz w:val="20"/>
        </w:rPr>
        <w:t xml:space="preserve">完整案例分析：删除 0 行。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