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rial" w:eastAsia="Microsoft YaHei"/>
          <w:sz w:val="20"/>
          <w:b/>
        </w:rPr>
        <w:t xml:space="preserve">StatM · 科研表格</w:t>
      </w:r>
    </w:p>
    <w:p>
      <w:r>
        <w:rPr>
          <w:rFonts w:ascii="Arial" w:eastAsia="Microsoft YaHei"/>
          <w:sz w:val="20"/>
        </w:rPr>
        <w:t xml:space="preserve">数据集：multi-sheet.xlsx · Analysis | 数据版本：82d063d7-17ea-4b92-866d-132b9c83a5a9 | 运行时间：2026-10-18T12:04:27.756994+00:00</w:t>
      </w:r>
    </w:p>
    <w:p>
      <w:r>
        <w:rPr>
          <w:rFonts w:ascii="Arial" w:eastAsia="Microsoft YaHei"/>
          <w:sz w:val="20"/>
          <w:b/>
        </w:rPr>
        <w:t xml:space="preserve">检验结果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2560"/>
        <w:gridCol w:w="1280"/>
        <w:gridCol w:w="1097"/>
        <w:gridCol w:w="1097"/>
        <w:gridCol w:w="1097"/>
        <w:gridCol w:w="1829"/>
        <w:gridCol w:w="1463"/>
        <w:gridCol w:w="1463"/>
        <w:gridCol w:w="1097"/>
        <w:gridCol w:w="2012"/>
      </w:tblGrid>
      <w:tr>
        <w:trPr>
          <w:cantSplit/>
          <w:tblHeader/>
        </w:trPr>
        <w:tc>
          <w:tcPr>
            <w:tcW w:w="256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检验方法</w:t>
            </w:r>
          </w:p>
        </w:tc>
        <w:tc>
          <w:tcPr>
            <w:tcW w:w="1280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统计量</w:t>
            </w:r>
          </w:p>
        </w:tc>
        <w:tc>
          <w:tcPr>
            <w:tcW w:w="109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自由度</w:t>
            </w:r>
          </w:p>
        </w:tc>
        <w:tc>
          <w:tcPr>
            <w:tcW w:w="109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 值</w:t>
            </w:r>
          </w:p>
        </w:tc>
        <w:tc>
          <w:tcPr>
            <w:tcW w:w="109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样本量</w:t>
            </w:r>
          </w:p>
        </w:tc>
        <w:tc>
          <w:tcPr>
            <w:tcW w:w="1829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显著性水平</w:t>
            </w:r>
          </w:p>
        </w:tc>
        <w:tc>
          <w:tcPr>
            <w:tcW w:w="146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区间下限</w:t>
            </w:r>
          </w:p>
        </w:tc>
        <w:tc>
          <w:tcPr>
            <w:tcW w:w="146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区间上限</w:t>
            </w:r>
          </w:p>
        </w:tc>
        <w:tc>
          <w:tcPr>
            <w:tcW w:w="1097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效应量</w:t>
            </w:r>
          </w:p>
        </w:tc>
        <w:tc>
          <w:tcPr>
            <w:tcW w:w="2012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效应量类型</w:t>
            </w:r>
          </w:p>
        </w:tc>
      </w:tr>
      <w:tr>
        <w:trPr>
          <w:cantSplit/>
        </w:trPr>
        <w:tc>
          <w:tcPr>
            <w:tcW w:w="2560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anova</w:t>
            </w:r>
          </w:p>
        </w:tc>
        <w:tc>
          <w:tcPr>
            <w:tcW w:w="1280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188.383</w:t>
            </w:r>
          </w:p>
        </w:tc>
        <w:tc>
          <w:tcPr>
            <w:tcW w:w="1097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2, 33</w:t>
            </w:r>
          </w:p>
        </w:tc>
        <w:tc>
          <w:tcPr>
            <w:tcW w:w="109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109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36</w:t>
            </w:r>
          </w:p>
        </w:tc>
        <w:tc>
          <w:tcPr>
            <w:tcW w:w="1829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0.025</w:t>
            </w:r>
          </w:p>
        </w:tc>
        <w:tc>
          <w:tcPr>
            <w:tcW w:w="146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0.837</w:t>
            </w:r>
          </w:p>
        </w:tc>
        <w:tc>
          <w:tcPr>
            <w:tcW w:w="146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0.946</w:t>
            </w:r>
          </w:p>
        </w:tc>
        <w:tc>
          <w:tcPr>
            <w:tcW w:w="1097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0.919</w:t>
            </w:r>
          </w:p>
        </w:tc>
        <w:tc>
          <w:tcPr>
            <w:tcW w:w="2012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Eta squared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事后比较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2876"/>
        <w:gridCol w:w="821"/>
        <w:gridCol w:w="1643"/>
        <w:gridCol w:w="2465"/>
        <w:gridCol w:w="1849"/>
        <w:gridCol w:w="1643"/>
        <w:gridCol w:w="1643"/>
        <w:gridCol w:w="2054"/>
      </w:tblGrid>
      <w:tr>
        <w:trPr>
          <w:cantSplit/>
          <w:tblHeader/>
        </w:trPr>
        <w:tc>
          <w:tcPr>
            <w:tcW w:w="287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组 A</w:t>
            </w:r>
          </w:p>
        </w:tc>
        <w:tc>
          <w:tcPr>
            <w:tcW w:w="821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组 B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比较方法</w:t>
            </w:r>
          </w:p>
        </w:tc>
        <w:tc>
          <w:tcPr>
            <w:tcW w:w="246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均值差 A − B</w:t>
            </w:r>
          </w:p>
        </w:tc>
        <w:tc>
          <w:tcPr>
            <w:tcW w:w="1849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校正 p 值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区间下限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区间上限</w:t>
            </w:r>
          </w:p>
        </w:tc>
        <w:tc>
          <w:tcPr>
            <w:tcW w:w="2054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拒绝零假设</w:t>
            </w:r>
          </w:p>
        </w:tc>
      </w:tr>
      <w:tr>
        <w:trPr>
          <w:cantSplit/>
        </w:trPr>
        <w:tc>
          <w:tcPr>
            <w:tcW w:w="287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A</w:t>
            </w:r>
          </w:p>
        </w:tc>
        <w:tc>
          <w:tcPr>
            <w:tcW w:w="821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B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tukey</w:t>
            </w:r>
          </w:p>
        </w:tc>
        <w:tc>
          <w:tcPr>
            <w:tcW w:w="246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-10.000</w:t>
            </w:r>
          </w:p>
        </w:tc>
        <w:tc>
          <w:tcPr>
            <w:tcW w:w="1849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-12.839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-7.161</w:t>
            </w:r>
          </w:p>
        </w:tc>
        <w:tc>
          <w:tcPr>
            <w:tcW w:w="2054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w="287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A</w:t>
            </w:r>
          </w:p>
        </w:tc>
        <w:tc>
          <w:tcPr>
            <w:tcW w:w="821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C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tukey</w:t>
            </w:r>
          </w:p>
        </w:tc>
        <w:tc>
          <w:tcPr>
            <w:tcW w:w="246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-20.000</w:t>
            </w:r>
          </w:p>
        </w:tc>
        <w:tc>
          <w:tcPr>
            <w:tcW w:w="1849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-22.839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-17.161</w:t>
            </w:r>
          </w:p>
        </w:tc>
        <w:tc>
          <w:tcPr>
            <w:tcW w:w="2054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w="287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B</w:t>
            </w:r>
          </w:p>
        </w:tc>
        <w:tc>
          <w:tcPr>
            <w:tcW w:w="821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C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tukey</w:t>
            </w:r>
          </w:p>
        </w:tc>
        <w:tc>
          <w:tcPr>
            <w:tcW w:w="246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-10.000</w:t>
            </w:r>
          </w:p>
        </w:tc>
        <w:tc>
          <w:tcPr>
            <w:tcW w:w="1849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&lt;0.001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-12.839</w:t>
            </w:r>
          </w:p>
        </w:tc>
        <w:tc>
          <w:tcPr>
            <w:tcW w:w="1643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-7.161</w:t>
            </w:r>
          </w:p>
        </w:tc>
        <w:tc>
          <w:tcPr>
            <w:tcW w:w="2054" w:type="dxa"/>
            <w:tcMar>
              <w:left w:w="25" w:type="dxa"/>
              <w:right w:w="25" w:type="dxa"/>
            </w:tcMar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True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分组描述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5526"/>
        <w:gridCol w:w="2368"/>
        <w:gridCol w:w="2368"/>
        <w:gridCol w:w="2368"/>
        <w:gridCol w:w="2368"/>
      </w:tblGrid>
      <w:tr>
        <w:trPr>
          <w:cantSplit/>
          <w:tblHeader/>
        </w:trPr>
        <w:tc>
          <w:tcPr>
            <w:tcW w:w="552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分组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样本量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均值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标准差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中位数</w:t>
            </w:r>
          </w:p>
        </w:tc>
      </w:tr>
      <w:tr>
        <w:trPr>
          <w:cantSplit/>
        </w:trPr>
        <w:tc>
          <w:tcPr>
            <w:tcW w:w="552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A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12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13.850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2.524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13.850</w:t>
            </w:r>
          </w:p>
        </w:tc>
      </w:tr>
      <w:tr>
        <w:trPr>
          <w:cantSplit/>
        </w:trPr>
        <w:tc>
          <w:tcPr>
            <w:tcW w:w="552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B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12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23.850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2.524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23.850</w:t>
            </w:r>
          </w:p>
        </w:tc>
      </w:tr>
      <w:tr>
        <w:trPr>
          <w:cantSplit/>
        </w:trPr>
        <w:tc>
          <w:tcPr>
            <w:tcW w:w="5526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C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12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33.850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2.524</w:t>
            </w:r>
          </w:p>
        </w:tc>
        <w:tc>
          <w:tcPr>
            <w:tcW w:w="2368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33.850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  <w:b/>
        </w:rPr>
        <w:t xml:space="preserve">方差齐性检查</w:t>
      </w:r>
    </w:p>
    <w:tbl>
      <w:tblPr>
        <w:tblW w:w="15000" w:type="dxa"/>
        <w:tblLayout w:type="fixed"/>
        <w:tblBorders>
          <w:top w:val="single" w:sz="12"/>
          <w:bottom w:val="single" w:sz="12"/>
          <w:left w:val="nil"/>
          <w:right w:val="nil"/>
          <w:insideH w:val="nil"/>
          <w:insideV w:val="nil"/>
        </w:tblBorders>
      </w:tblPr>
      <w:tblGrid>
        <w:gridCol w:w="7758"/>
        <w:gridCol w:w="4655"/>
        <w:gridCol w:w="2586"/>
      </w:tblGrid>
      <w:tr>
        <w:trPr>
          <w:cantSplit/>
          <w:tblHeader/>
        </w:trPr>
        <w:tc>
          <w:tcPr>
            <w:tcW w:w="7758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left"/>
            </w:pPr>
            <w:r>
              <w:rPr>
                <w:rFonts w:ascii="Arial" w:eastAsia="Microsoft YaHei"/>
                <w:sz w:val="18"/>
                <w:b/>
              </w:rPr>
              <w:t xml:space="preserve">检验方法</w:t>
            </w:r>
          </w:p>
        </w:tc>
        <w:tc>
          <w:tcPr>
            <w:tcW w:w="4655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统计量</w:t>
            </w:r>
          </w:p>
        </w:tc>
        <w:tc>
          <w:tcPr>
            <w:tcW w:w="2586" w:type="dxa"/>
            <w:tcMar>
              <w:left w:w="25" w:type="dxa"/>
              <w:right w:w="25" w:type="dxa"/>
            </w:tcMar>
            <w:tcBorders>
              <w:bottom w:val="single" w:sz="6"/>
            </w:tcBorders>
          </w:tcPr>
          <w:p>
            <w:pPr>
              <w:jc w:val="right"/>
            </w:pPr>
            <w:r>
              <w:rPr>
                <w:rFonts w:ascii="Arial" w:eastAsia="Microsoft YaHei"/>
                <w:sz w:val="18"/>
                <w:b/>
              </w:rPr>
              <w:t xml:space="preserve">p 值</w:t>
            </w:r>
          </w:p>
        </w:tc>
      </w:tr>
      <w:tr>
        <w:trPr>
          <w:cantSplit/>
        </w:trPr>
        <w:tc>
          <w:tcPr>
            <w:tcW w:w="7758" w:type="dxa"/>
            <w:tcMar>
              <w:left w:w="25" w:type="dxa"/>
              <w:right w:w="25" w:type="dxa"/>
            </w:tcMar>
          </w:tcPr>
          <w:p>
            <w:pPr>
              <w:jc w:val="left"/>
            </w:pPr>
            <w:r>
              <w:rPr>
                <w:rFonts w:ascii="Arial" w:eastAsia="Microsoft YaHei"/>
                <w:sz w:val="18"/>
              </w:rPr>
              <w:t xml:space="preserve">Levene (median)</w:t>
            </w:r>
          </w:p>
        </w:tc>
        <w:tc>
          <w:tcPr>
            <w:tcW w:w="4655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7.590e-31</w:t>
            </w:r>
          </w:p>
        </w:tc>
        <w:tc>
          <w:tcPr>
            <w:tcW w:w="2586" w:type="dxa"/>
            <w:tcMar>
              <w:left w:w="25" w:type="dxa"/>
              <w:right w:w="25" w:type="dxa"/>
            </w:tcMar>
            <w:noWrap/>
          </w:tcPr>
          <w:p>
            <w:pPr>
              <w:jc w:val="right"/>
            </w:pPr>
            <w:r>
              <w:rPr>
                <w:rFonts w:ascii="Arial" w:eastAsia="Microsoft YaHei"/>
                <w:sz w:val="18"/>
              </w:rPr>
              <w:t xml:space="preserve">1.000</w:t>
            </w:r>
          </w:p>
        </w:tc>
      </w:tr>
    </w:tbl>
    <w:p>
      <w:r>
        <w:rPr>
          <w:rFonts w:ascii="Arial" w:eastAsia="Microsoft YaHei"/>
          <w:sz w:val="20"/>
        </w:rPr>
        <w:t xml:space="preserve"/>
      </w:r>
    </w:p>
    <w:p>
      <w:r>
        <w:rPr>
          <w:rFonts w:ascii="Arial" w:eastAsia="Microsoft YaHei"/>
          <w:sz w:val="20"/>
        </w:rPr>
        <w:t xml:space="preserve">p &lt; α=0.025，拒绝相应零假设。统计显著性不等于实际意义；请结合效应量、置信区间、研究设计与检验假设。</w:t>
      </w:r>
    </w:p>
    <w:p>
      <w:r>
        <w:rPr>
          <w:rFonts w:ascii="Arial" w:eastAsia="Microsoft YaHei"/>
          <w:sz w:val="20"/>
        </w:rPr>
        <w:t xml:space="preserve">Eta squared CI（statsmodels 非中心 F 分布反演）；不是组间均值差区间。</w:t>
      </w:r>
    </w:p>
    <w:p>
      <w:r>
        <w:rPr>
          <w:rFonts w:ascii="Arial" w:eastAsia="Microsoft YaHei"/>
          <w:sz w:val="20"/>
        </w:rPr>
        <w:t xml:space="preserve">所有检验均为双侧（总体 F/H/χ² 检验使用其上尾）。缺失行在本次检验所需变量范围内删除。</w:t>
      </w:r>
    </w:p>
    <w:p>
      <w:r>
        <w:rPr>
          <w:rFonts w:ascii="Arial" w:eastAsia="Microsoft YaHei"/>
          <w:sz w:val="20"/>
        </w:rPr>
        <w:t xml:space="preserve">事后比较：Tukey–Kramer（等方差）；全部组对同时比较。差值方向为 A − B，区间对应均值差。</w:t>
      </w:r>
    </w:p>
    <w:p>
      <w:r>
        <w:rPr>
          <w:rFonts w:ascii="Arial" w:eastAsia="Microsoft YaHei"/>
          <w:sz w:val="20"/>
        </w:rPr>
        <w:t xml:space="preserve">估计图展示原始观测（每组最多 400 点，seed 937）与原始量纲均值差区间；推断使用全部有效记录。区间不是标准化效应量的区间。</w:t>
      </w:r>
    </w:p>
    <w:p>
      <w:r>
        <w:rPr>
          <w:rFonts w:ascii="Arial" w:eastAsia="Microsoft YaHei"/>
          <w:sz w:val="20"/>
        </w:rPr>
        <w:t xml:space="preserve">总体显著不说明哪些组不同；请结合事后比较及其多重比较校正。</w:t>
      </w:r>
    </w:p>
    <w:p>
      <w:r>
        <w:rPr>
          <w:rFonts w:ascii="Arial" w:eastAsia="Microsoft YaHei"/>
          <w:sz w:val="20"/>
        </w:rPr>
        <w:t xml:space="preserve">本次设定置信水平：97.5%。区间对应的参数与计算方法见分析说明。</w:t>
      </w:r>
    </w:p>
    <w:p>
      <w:r>
        <w:rPr>
          <w:rFonts w:ascii="Arial" w:eastAsia="Microsoft YaHei"/>
          <w:sz w:val="20"/>
        </w:rPr>
        <w:t xml:space="preserve">显示值按所选精度舍入，原始结果保留完整精度；— 表示不可用。不自动添加显著性星号。</w:t>
      </w:r>
    </w:p>
    <w:sectPr>
      <w:pgSz w:w="16838" w:h="11906" w:orient="landscape"/>
      <w:pgMar w:top="850" w:right="850" w:bottom="850" w:left="850"/>
    </w:sectPr>
  </w:body>
</w:document>
</file>