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rial" w:eastAsia="Microsoft YaHei"/>
          <w:sz w:val="20"/>
          <w:b/>
        </w:rPr>
        <w:t xml:space="preserve">StatM · 科研表格</w:t>
      </w:r>
    </w:p>
    <w:p>
      <w:r>
        <w:rPr>
          <w:rFonts w:ascii="Arial" w:eastAsia="Microsoft YaHei"/>
          <w:sz w:val="20"/>
        </w:rPr>
        <w:t xml:space="preserve">数据集：research-A.csv | 数据版本：469102e7-224d-455f-a183-f5c55652402d | 运行时间：2026-10-20T16:06:23.125070+00:00</w:t>
      </w:r>
    </w:p>
    <w:p>
      <w:r>
        <w:rPr>
          <w:rFonts w:ascii="Arial" w:eastAsia="Microsoft YaHei"/>
          <w:sz w:val="20"/>
          <w:b/>
        </w:rPr>
        <w:t xml:space="preserve">批次对比汇总 (1)</w:t>
      </w:r>
    </w:p>
    <w:tbl>
      <w:tblPr>
        <w:tblW w:w="15000" w:type="dxa"/>
        <w:tblLayout w:type="fixed"/>
        <w:tblBorders>
          <w:top w:val="single" w:sz="12"/>
          <w:bottom w:val="single" w:sz="12"/>
          <w:left w:val="nil"/>
          <w:right w:val="nil"/>
          <w:insideH w:val="nil"/>
          <w:insideV w:val="nil"/>
        </w:tblBorders>
      </w:tblPr>
      <w:tblGrid>
        <w:gridCol w:w="2307"/>
        <w:gridCol w:w="1978"/>
        <w:gridCol w:w="1318"/>
        <w:gridCol w:w="1483"/>
        <w:gridCol w:w="1648"/>
        <w:gridCol w:w="1153"/>
        <w:gridCol w:w="1153"/>
        <w:gridCol w:w="1978"/>
        <w:gridCol w:w="1978"/>
      </w:tblGrid>
      <w:tr>
        <w:trPr>
          <w:cantSplit/>
          <w:tblHeader/>
        </w:trPr>
        <w:tc>
          <w:tcPr>
            <w:tcW w:w="2307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left"/>
            </w:pPr>
            <w:r>
              <w:rPr>
                <w:rFonts w:ascii="Arial" w:eastAsia="Microsoft YaHei"/>
                <w:sz w:val="18"/>
                <w:b/>
              </w:rPr>
              <w:t xml:space="preserve">变量</w:t>
            </w:r>
          </w:p>
        </w:tc>
        <w:tc>
          <w:tcPr>
            <w:tcW w:w="1978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reference variable</w:t>
            </w:r>
          </w:p>
        </w:tc>
        <w:tc>
          <w:tcPr>
            <w:tcW w:w="1318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kind</w:t>
            </w:r>
          </w:p>
        </w:tc>
        <w:tc>
          <w:tcPr>
            <w:tcW w:w="1483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left rows</w:t>
            </w:r>
          </w:p>
        </w:tc>
        <w:tc>
          <w:tcPr>
            <w:tcW w:w="1648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right rows</w:t>
            </w:r>
          </w:p>
        </w:tc>
        <w:tc>
          <w:tcPr>
            <w:tcW w:w="1153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left n</w:t>
            </w:r>
          </w:p>
        </w:tc>
        <w:tc>
          <w:tcPr>
            <w:tcW w:w="1153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right n</w:t>
            </w:r>
          </w:p>
        </w:tc>
        <w:tc>
          <w:tcPr>
            <w:tcW w:w="1978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left missing</w:t>
            </w:r>
          </w:p>
        </w:tc>
        <w:tc>
          <w:tcPr>
            <w:tcW w:w="1978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right missing</w:t>
            </w:r>
          </w:p>
        </w:tc>
      </w:tr>
      <w:tr>
        <w:trPr>
          <w:cantSplit/>
        </w:trPr>
        <w:tc>
          <w:tcPr>
            <w:tcW w:w="2307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X1</w:t>
            </w:r>
          </w:p>
        </w:tc>
        <w:tc>
          <w:tcPr>
            <w:tcW w:w="1978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X1</w:t>
            </w:r>
          </w:p>
        </w:tc>
        <w:tc>
          <w:tcPr>
            <w:tcW w:w="1318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numeric</w:t>
            </w:r>
          </w:p>
        </w:tc>
        <w:tc>
          <w:tcPr>
            <w:tcW w:w="1483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240.000</w:t>
            </w:r>
          </w:p>
        </w:tc>
        <w:tc>
          <w:tcPr>
            <w:tcW w:w="1648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240.000</w:t>
            </w:r>
          </w:p>
        </w:tc>
        <w:tc>
          <w:tcPr>
            <w:tcW w:w="1153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240.000</w:t>
            </w:r>
          </w:p>
        </w:tc>
        <w:tc>
          <w:tcPr>
            <w:tcW w:w="1153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220.000</w:t>
            </w:r>
          </w:p>
        </w:tc>
        <w:tc>
          <w:tcPr>
            <w:tcW w:w="1978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0.000</w:t>
            </w:r>
          </w:p>
        </w:tc>
        <w:tc>
          <w:tcPr>
            <w:tcW w:w="1978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20.000</w:t>
            </w:r>
          </w:p>
        </w:tc>
      </w:tr>
      <w:tr>
        <w:trPr>
          <w:cantSplit/>
        </w:trPr>
        <w:tc>
          <w:tcPr>
            <w:tcW w:w="2307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category</w:t>
            </w:r>
          </w:p>
        </w:tc>
        <w:tc>
          <w:tcPr>
            <w:tcW w:w="1978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category</w:t>
            </w:r>
          </w:p>
        </w:tc>
        <w:tc>
          <w:tcPr>
            <w:tcW w:w="1318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category</w:t>
            </w:r>
          </w:p>
        </w:tc>
        <w:tc>
          <w:tcPr>
            <w:tcW w:w="1483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240.000</w:t>
            </w:r>
          </w:p>
        </w:tc>
        <w:tc>
          <w:tcPr>
            <w:tcW w:w="1648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240.000</w:t>
            </w:r>
          </w:p>
        </w:tc>
        <w:tc>
          <w:tcPr>
            <w:tcW w:w="1153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240.000</w:t>
            </w:r>
          </w:p>
        </w:tc>
        <w:tc>
          <w:tcPr>
            <w:tcW w:w="1153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240.000</w:t>
            </w:r>
          </w:p>
        </w:tc>
        <w:tc>
          <w:tcPr>
            <w:tcW w:w="1978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0.000</w:t>
            </w:r>
          </w:p>
        </w:tc>
        <w:tc>
          <w:tcPr>
            <w:tcW w:w="1978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0.000</w:t>
            </w:r>
          </w:p>
        </w:tc>
      </w:tr>
    </w:tbl>
    <w:p>
      <w:r>
        <w:rPr>
          <w:rFonts w:ascii="Arial" w:eastAsia="Microsoft YaHei"/>
          <w:sz w:val="20"/>
        </w:rPr>
        <w:t xml:space="preserve"/>
      </w:r>
    </w:p>
    <w:p>
      <w:r>
        <w:rPr>
          <w:rFonts w:ascii="Arial" w:eastAsia="Microsoft YaHei"/>
          <w:sz w:val="20"/>
          <w:b/>
        </w:rPr>
        <w:t xml:space="preserve">批次对比汇总 (2)</w:t>
      </w:r>
    </w:p>
    <w:tbl>
      <w:tblPr>
        <w:tblW w:w="15000" w:type="dxa"/>
        <w:tblLayout w:type="fixed"/>
        <w:tblBorders>
          <w:top w:val="single" w:sz="12"/>
          <w:bottom w:val="single" w:sz="12"/>
          <w:left w:val="nil"/>
          <w:right w:val="nil"/>
          <w:insideH w:val="nil"/>
          <w:insideV w:val="nil"/>
        </w:tblBorders>
      </w:tblPr>
      <w:tblGrid>
        <w:gridCol w:w="2625"/>
        <w:gridCol w:w="2250"/>
        <w:gridCol w:w="2250"/>
        <w:gridCol w:w="1125"/>
        <w:gridCol w:w="2250"/>
        <w:gridCol w:w="2250"/>
        <w:gridCol w:w="2250"/>
      </w:tblGrid>
      <w:tr>
        <w:trPr>
          <w:cantSplit/>
          <w:tblHeader/>
        </w:trPr>
        <w:tc>
          <w:tcPr>
            <w:tcW w:w="2625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left"/>
            </w:pPr>
            <w:r>
              <w:rPr>
                <w:rFonts w:ascii="Arial" w:eastAsia="Microsoft YaHei"/>
                <w:sz w:val="18"/>
                <w:b/>
              </w:rPr>
              <w:t xml:space="preserve">变量</w:t>
            </w:r>
          </w:p>
        </w:tc>
        <w:tc>
          <w:tcPr>
            <w:tcW w:w="225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left missing ratio</w:t>
            </w:r>
          </w:p>
        </w:tc>
        <w:tc>
          <w:tcPr>
            <w:tcW w:w="225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right missing ratio</w:t>
            </w:r>
          </w:p>
        </w:tc>
        <w:tc>
          <w:tcPr>
            <w:tcW w:w="1125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unit</w:t>
            </w:r>
          </w:p>
        </w:tc>
        <w:tc>
          <w:tcPr>
            <w:tcW w:w="225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Wasserstein distance</w:t>
            </w:r>
          </w:p>
        </w:tc>
        <w:tc>
          <w:tcPr>
            <w:tcW w:w="225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mean difference B-A</w:t>
            </w:r>
          </w:p>
        </w:tc>
        <w:tc>
          <w:tcPr>
            <w:tcW w:w="225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total variation distance</w:t>
            </w:r>
          </w:p>
        </w:tc>
      </w:tr>
      <w:tr>
        <w:trPr>
          <w:cantSplit/>
        </w:trPr>
        <w:tc>
          <w:tcPr>
            <w:tcW w:w="2625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X1</w:t>
            </w:r>
          </w:p>
        </w:tc>
        <w:tc>
          <w:tcPr>
            <w:tcW w:w="22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0.000</w:t>
            </w:r>
          </w:p>
        </w:tc>
        <w:tc>
          <w:tcPr>
            <w:tcW w:w="22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0.083</w:t>
            </w:r>
          </w:p>
        </w:tc>
        <w:tc>
          <w:tcPr>
            <w:tcW w:w="1125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未记录</w:t>
            </w:r>
          </w:p>
        </w:tc>
        <w:tc>
          <w:tcPr>
            <w:tcW w:w="22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0.603</w:t>
            </w:r>
          </w:p>
        </w:tc>
        <w:tc>
          <w:tcPr>
            <w:tcW w:w="22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0.602</w:t>
            </w:r>
          </w:p>
        </w:tc>
        <w:tc>
          <w:tcPr>
            <w:tcW w:w="22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625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category</w:t>
            </w:r>
          </w:p>
        </w:tc>
        <w:tc>
          <w:tcPr>
            <w:tcW w:w="22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0.000</w:t>
            </w:r>
          </w:p>
        </w:tc>
        <w:tc>
          <w:tcPr>
            <w:tcW w:w="22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0.000</w:t>
            </w:r>
          </w:p>
        </w:tc>
        <w:tc>
          <w:tcPr>
            <w:tcW w:w="1125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—</w:t>
            </w:r>
          </w:p>
        </w:tc>
        <w:tc>
          <w:tcPr>
            <w:tcW w:w="22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—</w:t>
            </w:r>
          </w:p>
        </w:tc>
        <w:tc>
          <w:tcPr>
            <w:tcW w:w="22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—</w:t>
            </w:r>
          </w:p>
        </w:tc>
        <w:tc>
          <w:tcPr>
            <w:tcW w:w="22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0.125</w:t>
            </w:r>
          </w:p>
        </w:tc>
      </w:tr>
    </w:tbl>
    <w:p>
      <w:r>
        <w:rPr>
          <w:rFonts w:ascii="Arial" w:eastAsia="Microsoft YaHei"/>
          <w:sz w:val="20"/>
        </w:rPr>
        <w:t xml:space="preserve"/>
      </w:r>
    </w:p>
    <w:p>
      <w:r>
        <w:rPr>
          <w:rFonts w:ascii="Arial" w:eastAsia="Microsoft YaHei"/>
          <w:sz w:val="20"/>
          <w:b/>
        </w:rPr>
        <w:t xml:space="preserve">1. X1 ↔ X1 · 数值概况</w:t>
      </w:r>
    </w:p>
    <w:tbl>
      <w:tblPr>
        <w:tblW w:w="15000" w:type="dxa"/>
        <w:tblLayout w:type="fixed"/>
        <w:tblBorders>
          <w:top w:val="single" w:sz="12"/>
          <w:bottom w:val="single" w:sz="12"/>
          <w:left w:val="nil"/>
          <w:right w:val="nil"/>
          <w:insideH w:val="nil"/>
          <w:insideV w:val="nil"/>
        </w:tblBorders>
      </w:tblPr>
      <w:tblGrid>
        <w:gridCol w:w="4200"/>
        <w:gridCol w:w="1800"/>
        <w:gridCol w:w="1800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w="42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left"/>
            </w:pPr>
            <w:r>
              <w:rPr>
                <w:rFonts w:ascii="Arial" w:eastAsia="Microsoft YaHei"/>
                <w:sz w:val="18"/>
                <w:b/>
              </w:rPr>
              <w:t xml:space="preserve">batch</w:t>
            </w:r>
          </w:p>
        </w:tc>
        <w:tc>
          <w:tcPr>
            <w:tcW w:w="18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样本量</w:t>
            </w:r>
          </w:p>
        </w:tc>
        <w:tc>
          <w:tcPr>
            <w:tcW w:w="18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均值</w:t>
            </w:r>
          </w:p>
        </w:tc>
        <w:tc>
          <w:tcPr>
            <w:tcW w:w="18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标准差</w:t>
            </w:r>
          </w:p>
        </w:tc>
        <w:tc>
          <w:tcPr>
            <w:tcW w:w="18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中位数</w:t>
            </w:r>
          </w:p>
        </w:tc>
        <w:tc>
          <w:tcPr>
            <w:tcW w:w="18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最小值</w:t>
            </w:r>
          </w:p>
        </w:tc>
        <w:tc>
          <w:tcPr>
            <w:tcW w:w="18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最大值</w:t>
            </w:r>
          </w:p>
        </w:tc>
      </w:tr>
      <w:tr>
        <w:trPr>
          <w:cantSplit/>
        </w:trPr>
        <w:tc>
          <w:tcPr>
            <w:tcW w:w="4200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A</w:t>
            </w:r>
          </w:p>
        </w:tc>
        <w:tc>
          <w:tcPr>
            <w:tcW w:w="18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240</w:t>
            </w:r>
          </w:p>
        </w:tc>
        <w:tc>
          <w:tcPr>
            <w:tcW w:w="18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-0.050</w:t>
            </w:r>
          </w:p>
        </w:tc>
        <w:tc>
          <w:tcPr>
            <w:tcW w:w="18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0.927</w:t>
            </w:r>
          </w:p>
        </w:tc>
        <w:tc>
          <w:tcPr>
            <w:tcW w:w="18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-0.066</w:t>
            </w:r>
          </w:p>
        </w:tc>
        <w:tc>
          <w:tcPr>
            <w:tcW w:w="18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-2.669</w:t>
            </w:r>
          </w:p>
        </w:tc>
        <w:tc>
          <w:tcPr>
            <w:tcW w:w="18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2.326</w:t>
            </w:r>
          </w:p>
        </w:tc>
      </w:tr>
      <w:tr>
        <w:trPr>
          <w:cantSplit/>
        </w:trPr>
        <w:tc>
          <w:tcPr>
            <w:tcW w:w="4200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B</w:t>
            </w:r>
          </w:p>
        </w:tc>
        <w:tc>
          <w:tcPr>
            <w:tcW w:w="18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220</w:t>
            </w:r>
          </w:p>
        </w:tc>
        <w:tc>
          <w:tcPr>
            <w:tcW w:w="18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0.552</w:t>
            </w:r>
          </w:p>
        </w:tc>
        <w:tc>
          <w:tcPr>
            <w:tcW w:w="18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0.930</w:t>
            </w:r>
          </w:p>
        </w:tc>
        <w:tc>
          <w:tcPr>
            <w:tcW w:w="18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0.528</w:t>
            </w:r>
          </w:p>
        </w:tc>
        <w:tc>
          <w:tcPr>
            <w:tcW w:w="18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-2.069</w:t>
            </w:r>
          </w:p>
        </w:tc>
        <w:tc>
          <w:tcPr>
            <w:tcW w:w="18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2.926</w:t>
            </w:r>
          </w:p>
        </w:tc>
      </w:tr>
    </w:tbl>
    <w:p>
      <w:r>
        <w:rPr>
          <w:rFonts w:ascii="Arial" w:eastAsia="Microsoft YaHei"/>
          <w:sz w:val="20"/>
        </w:rPr>
        <w:t xml:space="preserve"/>
      </w:r>
    </w:p>
    <w:p>
      <w:r>
        <w:rPr>
          <w:rFonts w:ascii="Arial" w:eastAsia="Microsoft YaHei"/>
          <w:sz w:val="20"/>
          <w:b/>
        </w:rPr>
        <w:t xml:space="preserve">2. category ↔ category · 类别占比</w:t>
      </w:r>
    </w:p>
    <w:tbl>
      <w:tblPr>
        <w:tblW w:w="15000" w:type="dxa"/>
        <w:tblLayout w:type="fixed"/>
        <w:tblBorders>
          <w:top w:val="single" w:sz="12"/>
          <w:bottom w:val="single" w:sz="12"/>
          <w:left w:val="nil"/>
          <w:right w:val="nil"/>
          <w:insideH w:val="nil"/>
          <w:insideV w:val="nil"/>
        </w:tblBorders>
      </w:tblPr>
      <w:tblGrid>
        <w:gridCol w:w="3281"/>
        <w:gridCol w:w="1640"/>
        <w:gridCol w:w="1640"/>
        <w:gridCol w:w="2812"/>
        <w:gridCol w:w="2812"/>
        <w:gridCol w:w="2812"/>
      </w:tblGrid>
      <w:tr>
        <w:trPr>
          <w:cantSplit/>
          <w:tblHeader/>
        </w:trPr>
        <w:tc>
          <w:tcPr>
            <w:tcW w:w="3281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left"/>
            </w:pPr>
            <w:r>
              <w:rPr>
                <w:rFonts w:ascii="Arial" w:eastAsia="Microsoft YaHei"/>
                <w:sz w:val="18"/>
                <w:b/>
              </w:rPr>
              <w:t xml:space="preserve">category</w:t>
            </w:r>
          </w:p>
        </w:tc>
        <w:tc>
          <w:tcPr>
            <w:tcW w:w="164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A count</w:t>
            </w:r>
          </w:p>
        </w:tc>
        <w:tc>
          <w:tcPr>
            <w:tcW w:w="164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B count</w:t>
            </w:r>
          </w:p>
        </w:tc>
        <w:tc>
          <w:tcPr>
            <w:tcW w:w="2812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A proportion</w:t>
            </w:r>
          </w:p>
        </w:tc>
        <w:tc>
          <w:tcPr>
            <w:tcW w:w="2812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B proportion</w:t>
            </w:r>
          </w:p>
        </w:tc>
        <w:tc>
          <w:tcPr>
            <w:tcW w:w="2812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difference B-A</w:t>
            </w:r>
          </w:p>
        </w:tc>
      </w:tr>
      <w:tr>
        <w:trPr>
          <w:cantSplit/>
        </w:trPr>
        <w:tc>
          <w:tcPr>
            <w:tcW w:w="3281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High</w:t>
            </w:r>
          </w:p>
        </w:tc>
        <w:tc>
          <w:tcPr>
            <w:tcW w:w="164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70.000</w:t>
            </w:r>
          </w:p>
        </w:tc>
        <w:tc>
          <w:tcPr>
            <w:tcW w:w="164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100.000</w:t>
            </w:r>
          </w:p>
        </w:tc>
        <w:tc>
          <w:tcPr>
            <w:tcW w:w="281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0.292</w:t>
            </w:r>
          </w:p>
        </w:tc>
        <w:tc>
          <w:tcPr>
            <w:tcW w:w="281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0.417</w:t>
            </w:r>
          </w:p>
        </w:tc>
        <w:tc>
          <w:tcPr>
            <w:tcW w:w="281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0.125</w:t>
            </w:r>
          </w:p>
        </w:tc>
      </w:tr>
      <w:tr>
        <w:trPr>
          <w:cantSplit/>
        </w:trPr>
        <w:tc>
          <w:tcPr>
            <w:tcW w:w="3281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Other</w:t>
            </w:r>
          </w:p>
        </w:tc>
        <w:tc>
          <w:tcPr>
            <w:tcW w:w="164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170.000</w:t>
            </w:r>
          </w:p>
        </w:tc>
        <w:tc>
          <w:tcPr>
            <w:tcW w:w="164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140.000</w:t>
            </w:r>
          </w:p>
        </w:tc>
        <w:tc>
          <w:tcPr>
            <w:tcW w:w="281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0.708</w:t>
            </w:r>
          </w:p>
        </w:tc>
        <w:tc>
          <w:tcPr>
            <w:tcW w:w="281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0.583</w:t>
            </w:r>
          </w:p>
        </w:tc>
        <w:tc>
          <w:tcPr>
            <w:tcW w:w="281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-0.125</w:t>
            </w:r>
          </w:p>
        </w:tc>
      </w:tr>
    </w:tbl>
    <w:p>
      <w:r>
        <w:rPr>
          <w:rFonts w:ascii="Arial" w:eastAsia="Microsoft YaHei"/>
          <w:sz w:val="20"/>
        </w:rPr>
        <w:t xml:space="preserve"/>
      </w:r>
    </w:p>
    <w:p>
      <w:r>
        <w:rPr>
          <w:rFonts w:ascii="Arial" w:eastAsia="Microsoft YaHei"/>
          <w:sz w:val="20"/>
        </w:rPr>
        <w:t xml:space="preserve">A 为当前数据集，B 为对比数据集；各字段分别删除缺失或无穷值，表中报告有效样本量及缺失率。</w:t>
      </w:r>
    </w:p>
    <w:p>
      <w:r>
        <w:rPr>
          <w:rFonts w:ascii="Arial" w:eastAsia="Microsoft YaHei"/>
          <w:sz w:val="20"/>
        </w:rPr>
        <w:t xml:space="preserve">数值距离为原始量纲 Wasserstein-1，不能跨不同量纲排名或套用统一异常阈值；类别距离为总变差距离。</w:t>
      </w:r>
    </w:p>
    <w:p>
      <w:r>
        <w:rPr>
          <w:rFonts w:ascii="Arial" w:eastAsia="Microsoft YaHei"/>
          <w:sz w:val="20"/>
        </w:rPr>
        <w:t xml:space="preserve">直方图使用两批合并范围的相同等宽分箱，以各自有效样本量计算占比；缺失率另列。</w:t>
      </w:r>
    </w:p>
    <w:p>
      <w:r>
        <w:rPr>
          <w:rFonts w:ascii="Arial" w:eastAsia="Microsoft YaHei"/>
          <w:sz w:val="20"/>
        </w:rPr>
        <w:t xml:space="preserve">仅作描述性比较，不计算独立样本检验 p 值；差异不自动归因于批次、清洗或因果效应。单位与编码已由用户确认。</w:t>
      </w:r>
    </w:p>
    <w:p>
      <w:r>
        <w:rPr>
          <w:rFonts w:ascii="Arial" w:eastAsia="Microsoft YaHei"/>
          <w:sz w:val="20"/>
        </w:rPr>
        <w:t xml:space="preserve">1. X1 ↔ X1：字典单位未完整记录，采用用户确认的口径。</w:t>
      </w:r>
    </w:p>
    <w:p>
      <w:r>
        <w:rPr>
          <w:rFonts w:ascii="Arial" w:eastAsia="Microsoft YaHei"/>
          <w:sz w:val="20"/>
        </w:rPr>
        <w:t xml:space="preserve">宽矩阵按列分段列示，保持原始变量顺序。</w:t>
      </w:r>
    </w:p>
    <w:p>
      <w:r>
        <w:rPr>
          <w:rFonts w:ascii="Arial" w:eastAsia="Microsoft YaHei"/>
          <w:sz w:val="20"/>
        </w:rPr>
        <w:t xml:space="preserve">显示值按所选精度舍入，原始结果保留完整精度；— 表示不可用。不自动添加显著性星号。</w:t>
      </w:r>
    </w:p>
    <w:sectPr>
      <w:pgSz w:w="16838" w:h="11906" w:orient="landscape"/>
      <w:pgMar w:top="850" w:right="850" w:bottom="850" w:left="850"/>
    </w:sectPr>
  </w:body>
</w:document>
</file>