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数据集：research-A.csv | 数据版本：469102e7-224d-455f-a183-f5c55652402d | 运行时间：2026-10-20T16:06:01.300509+00:00</w:t>
      </w:r>
    </w:p>
    <w:p>
      <w:r>
        <w:rPr>
          <w:rFonts w:ascii="Arial" w:eastAsia="Microsoft YaHei"/>
          <w:sz w:val="20"/>
          <w:b/>
        </w:rPr>
        <w:t xml:space="preserve">因子模型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2625"/>
        <w:gridCol w:w="1125"/>
        <w:gridCol w:w="1125"/>
        <w:gridCol w:w="1312"/>
        <w:gridCol w:w="1125"/>
        <w:gridCol w:w="937"/>
        <w:gridCol w:w="2250"/>
        <w:gridCol w:w="1125"/>
        <w:gridCol w:w="1125"/>
        <w:gridCol w:w="2250"/>
      </w:tblGrid>
      <w:tr>
        <w:trPr>
          <w:cantSplit/>
          <w:tblHeader/>
        </w:trPr>
        <w:tc>
          <w:tcPr>
            <w:tcW w:w="26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题项数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因子数</w:t>
            </w:r>
          </w:p>
        </w:tc>
        <w:tc>
          <w:tcPr>
            <w:tcW w:w="131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旋转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迭代数</w:t>
            </w:r>
          </w:p>
        </w:tc>
        <w:tc>
          <w:tcPr>
            <w:tcW w:w="93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KMO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Bartlett chi2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自由度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 值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RMS off-diagonal residual</w:t>
            </w:r>
          </w:p>
        </w:tc>
      </w:tr>
      <w:tr>
        <w:trPr>
          <w:cantSplit/>
        </w:trPr>
        <w:tc>
          <w:tcPr>
            <w:tcW w:w="2625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6.000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2.000</w:t>
            </w:r>
          </w:p>
        </w:tc>
        <w:tc>
          <w:tcPr>
            <w:tcW w:w="1312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varimax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22.000</w:t>
            </w:r>
          </w:p>
        </w:tc>
        <w:tc>
          <w:tcPr>
            <w:tcW w:w="93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0.732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704.426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15</w:t>
            </w:r>
          </w:p>
        </w:tc>
        <w:tc>
          <w:tcPr>
            <w:tcW w:w="112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225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0.006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因子载荷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4666"/>
        <w:gridCol w:w="2000"/>
        <w:gridCol w:w="2000"/>
        <w:gridCol w:w="2000"/>
        <w:gridCol w:w="2666"/>
        <w:gridCol w:w="1666"/>
      </w:tblGrid>
      <w:tr>
        <w:trPr>
          <w:cantSplit/>
          <w:tblHeader/>
        </w:trPr>
        <w:tc>
          <w:tcPr>
            <w:tcW w:w="4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F1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F2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共同度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独特方差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KMO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X1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0.879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-0.022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0.774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0.226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0.693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X2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0.829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0.089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0.696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0.304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0.726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X3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0.771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-0.032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0.595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0.405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0.783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X4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-0.049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0.847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0.719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0.281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0.716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X5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0.140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0.787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0.638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0.362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0.771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X6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-0.018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0.849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0.721</w:t>
            </w:r>
          </w:p>
        </w:tc>
        <w:tc>
          <w:tcPr>
            <w:tcW w:w="2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0.279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0.718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因子方差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5526"/>
        <w:gridCol w:w="4736"/>
        <w:gridCol w:w="4736"/>
      </w:tblGrid>
      <w:tr>
        <w:trPr>
          <w:cantSplit/>
          <w:tblHeader/>
        </w:trPr>
        <w:tc>
          <w:tcPr>
            <w:tcW w:w="552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factor</w:t>
            </w:r>
          </w:p>
        </w:tc>
        <w:tc>
          <w:tcPr>
            <w:tcW w:w="473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sum squared loadings</w:t>
            </w:r>
          </w:p>
        </w:tc>
        <w:tc>
          <w:tcPr>
            <w:tcW w:w="473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proportion total variance</w:t>
            </w:r>
          </w:p>
        </w:tc>
      </w:tr>
      <w:tr>
        <w:trPr>
          <w:cantSplit/>
        </w:trPr>
        <w:tc>
          <w:tcPr>
            <w:tcW w:w="552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F1</w:t>
            </w:r>
          </w:p>
        </w:tc>
        <w:tc>
          <w:tcPr>
            <w:tcW w:w="473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2.078</w:t>
            </w:r>
          </w:p>
        </w:tc>
        <w:tc>
          <w:tcPr>
            <w:tcW w:w="473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0.346</w:t>
            </w:r>
          </w:p>
        </w:tc>
      </w:tr>
      <w:tr>
        <w:trPr>
          <w:cantSplit/>
        </w:trPr>
        <w:tc>
          <w:tcPr>
            <w:tcW w:w="552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F2</w:t>
            </w:r>
          </w:p>
        </w:tc>
        <w:tc>
          <w:tcPr>
            <w:tcW w:w="473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2.066</w:t>
            </w:r>
          </w:p>
        </w:tc>
        <w:tc>
          <w:tcPr>
            <w:tcW w:w="473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0.344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平行分析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3888"/>
        <w:gridCol w:w="3333"/>
        <w:gridCol w:w="2777"/>
        <w:gridCol w:w="3333"/>
        <w:gridCol w:w="1666"/>
      </w:tblGrid>
      <w:tr>
        <w:trPr>
          <w:cantSplit/>
          <w:tblHeader/>
        </w:trPr>
        <w:tc>
          <w:tcPr>
            <w:tcW w:w="388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主成分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observed eigenvalue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random 95%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above benchmark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2.464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1.307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True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2.000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2.291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1.160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True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3.000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0.370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1.071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4.000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0.335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1.002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5.000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0.290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0.936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w="3888" w:type="dxa"/>
            <w:tcMar>
              <w:left w:w="25" w:type="dxa"/>
              <w:right w:w="25" w:type="dxa"/>
            </w:tcMar>
            <w:noWrap/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6.000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0.249</w:t>
            </w:r>
          </w:p>
        </w:tc>
        <w:tc>
          <w:tcPr>
            <w:tcW w:w="277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0.857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False</w:t>
            </w:r>
          </w:p>
        </w:tc>
        <w:tc>
          <w:tcPr>
            <w:tcW w:w="166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240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EFA 使用高斯最大似然公共因子模型与 Pearson 相关；按样本标准差标准化，支持不旋转或正交 Varimax。</w:t>
      </w:r>
    </w:p>
    <w:p>
      <w:r>
        <w:rPr>
          <w:rFonts w:ascii="Arial" w:eastAsia="Microsoft YaHei"/>
          <w:sz w:val="20"/>
        </w:rPr>
        <w:t xml:space="preserve">因子数由用户设定；平行分析使用相关矩阵特征值、100 次逐列置换、95% 分位、seed 937，最多 5000 行；仅作保留因子的辅助证据。</w:t>
      </w:r>
    </w:p>
    <w:p>
      <w:r>
        <w:rPr>
          <w:rFonts w:ascii="Arial" w:eastAsia="Microsoft YaHei"/>
          <w:sz w:val="20"/>
        </w:rPr>
        <w:t xml:space="preserve">KMO 与 Bartlett 基于全部完整案例；Bartlett 拒绝单位相关矩阵不证明模型正确。载荷符号以绝对值最大题项为正。</w:t>
      </w:r>
    </w:p>
    <w:p>
      <w:r>
        <w:rPr>
          <w:rFonts w:ascii="Arial" w:eastAsia="Microsoft YaHei"/>
          <w:sz w:val="20"/>
        </w:rPr>
        <w:t xml:space="preserve">本模块不是 PCA 或验证性因子分析；未计算多分相关。少类别有序题项、非正态数据和边界解需另行评估。因子方差占比相对于全部标准化变量方差。</w:t>
      </w:r>
    </w:p>
    <w:p>
      <w:r>
        <w:rPr>
          <w:rFonts w:ascii="Arial" w:eastAsia="Microsoft YaHei"/>
          <w:sz w:val="20"/>
        </w:rPr>
        <w:t xml:space="preserve">完整案例分析：删除 0 行。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