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Arial" w:eastAsia="Microsoft YaHei"/>
          <w:sz w:val="20"/>
          <w:b/>
        </w:rPr>
        <w:t xml:space="preserve">StatM · 科研表格</w:t>
      </w:r>
    </w:p>
    <w:p>
      <w:r>
        <w:rPr>
          <w:rFonts w:ascii="Arial" w:eastAsia="Microsoft YaHei"/>
          <w:sz w:val="20"/>
        </w:rPr>
        <w:t xml:space="preserve">数据集：research-A.csv | 数据版本：469102e7-224d-455f-a183-f5c55652402d | 运行时间：2026-10-20T16:05:50.249464+00:00</w:t>
      </w:r>
    </w:p>
    <w:p>
      <w:r>
        <w:rPr>
          <w:rFonts w:ascii="Arial" w:eastAsia="Microsoft YaHei"/>
          <w:sz w:val="20"/>
          <w:b/>
        </w:rPr>
        <w:t xml:space="preserve">信度汇总</w:t>
      </w:r>
    </w:p>
    <w:tbl>
      <w:tblPr>
        <w:tblW w:w="15000" w:type="dxa"/>
        <w:tblLayout w:type="fixed"/>
        <w:tblBorders>
          <w:top w:val="single" w:sz="12"/>
          <w:bottom w:val="single" w:sz="12"/>
          <w:left w:val="nil"/>
          <w:right w:val="nil"/>
          <w:insideH w:val="nil"/>
          <w:insideV w:val="nil"/>
        </w:tblBorders>
      </w:tblPr>
      <w:tblGrid>
        <w:gridCol w:w="3750"/>
        <w:gridCol w:w="1607"/>
        <w:gridCol w:w="3214"/>
        <w:gridCol w:w="2142"/>
        <w:gridCol w:w="2142"/>
        <w:gridCol w:w="2142"/>
      </w:tblGrid>
      <w:tr>
        <w:trPr>
          <w:cantSplit/>
          <w:tblHeader/>
        </w:trPr>
        <w:tc>
          <w:tcPr>
            <w:tcW w:w="3750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left"/>
            </w:pPr>
            <w:r>
              <w:rPr>
                <w:rFonts w:ascii="Arial" w:eastAsia="Microsoft YaHei"/>
                <w:sz w:val="18"/>
                <w:b/>
              </w:rPr>
              <w:t xml:space="preserve">样本量</w:t>
            </w:r>
          </w:p>
        </w:tc>
        <w:tc>
          <w:tcPr>
            <w:tcW w:w="1607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题项数</w:t>
            </w:r>
          </w:p>
        </w:tc>
        <w:tc>
          <w:tcPr>
            <w:tcW w:w="3214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Cronbach’s α</w:t>
            </w:r>
          </w:p>
        </w:tc>
        <w:tc>
          <w:tcPr>
            <w:tcW w:w="2142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区间下限</w:t>
            </w:r>
          </w:p>
        </w:tc>
        <w:tc>
          <w:tcPr>
            <w:tcW w:w="2142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区间上限</w:t>
            </w:r>
          </w:p>
        </w:tc>
        <w:tc>
          <w:tcPr>
            <w:tcW w:w="2142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置信水平</w:t>
            </w:r>
          </w:p>
        </w:tc>
      </w:tr>
      <w:tr>
        <w:trPr>
          <w:cantSplit/>
        </w:trPr>
        <w:tc>
          <w:tcPr>
            <w:tcW w:w="3750" w:type="dxa"/>
            <w:tcMar>
              <w:left w:w="25" w:type="dxa"/>
              <w:right w:w="25" w:type="dxa"/>
            </w:tcMar>
            <w:noWrap/>
          </w:tcPr>
          <w:p>
            <w:pPr>
              <w:jc w:val="left"/>
            </w:pPr>
            <w:r>
              <w:rPr>
                <w:rFonts w:ascii="Arial" w:eastAsia="Microsoft YaHei"/>
                <w:sz w:val="18"/>
              </w:rPr>
              <w:t xml:space="preserve">240</w:t>
            </w:r>
          </w:p>
        </w:tc>
        <w:tc>
          <w:tcPr>
            <w:tcW w:w="1607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4.000</w:t>
            </w:r>
          </w:p>
        </w:tc>
        <w:tc>
          <w:tcPr>
            <w:tcW w:w="3214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0.918</w:t>
            </w:r>
          </w:p>
        </w:tc>
        <w:tc>
          <w:tcPr>
            <w:tcW w:w="2142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0.900</w:t>
            </w:r>
          </w:p>
        </w:tc>
        <w:tc>
          <w:tcPr>
            <w:tcW w:w="2142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0.934</w:t>
            </w:r>
          </w:p>
        </w:tc>
        <w:tc>
          <w:tcPr>
            <w:tcW w:w="2142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0.950</w:t>
            </w:r>
          </w:p>
        </w:tc>
      </w:tr>
    </w:tbl>
    <w:p>
      <w:r>
        <w:rPr>
          <w:rFonts w:ascii="Arial" w:eastAsia="Microsoft YaHei"/>
          <w:sz w:val="20"/>
        </w:rPr>
        <w:t xml:space="preserve"/>
      </w:r>
    </w:p>
    <w:p>
      <w:r>
        <w:rPr>
          <w:rFonts w:ascii="Arial" w:eastAsia="Microsoft YaHei"/>
          <w:sz w:val="20"/>
          <w:b/>
        </w:rPr>
        <w:t xml:space="preserve">题项诊断</w:t>
      </w:r>
    </w:p>
    <w:tbl>
      <w:tblPr>
        <w:tblW w:w="15000" w:type="dxa"/>
        <w:tblLayout w:type="fixed"/>
        <w:tblBorders>
          <w:top w:val="single" w:sz="12"/>
          <w:bottom w:val="single" w:sz="12"/>
          <w:left w:val="nil"/>
          <w:right w:val="nil"/>
          <w:insideH w:val="nil"/>
          <w:insideV w:val="nil"/>
        </w:tblBorders>
      </w:tblPr>
      <w:tblGrid>
        <w:gridCol w:w="3500"/>
        <w:gridCol w:w="1500"/>
        <w:gridCol w:w="1250"/>
        <w:gridCol w:w="1500"/>
        <w:gridCol w:w="3000"/>
        <w:gridCol w:w="2250"/>
        <w:gridCol w:w="2000"/>
      </w:tblGrid>
      <w:tr>
        <w:trPr>
          <w:cantSplit/>
          <w:tblHeader/>
        </w:trPr>
        <w:tc>
          <w:tcPr>
            <w:tcW w:w="3500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left"/>
            </w:pPr>
            <w:r>
              <w:rPr>
                <w:rFonts w:ascii="Arial" w:eastAsia="Microsoft YaHei"/>
                <w:sz w:val="18"/>
                <w:b/>
              </w:rPr>
              <w:t xml:space="preserve">变量</w:t>
            </w:r>
          </w:p>
        </w:tc>
        <w:tc>
          <w:tcPr>
            <w:tcW w:w="1500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样本量</w:t>
            </w:r>
          </w:p>
        </w:tc>
        <w:tc>
          <w:tcPr>
            <w:tcW w:w="1250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均值</w:t>
            </w:r>
          </w:p>
        </w:tc>
        <w:tc>
          <w:tcPr>
            <w:tcW w:w="1500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标准差</w:t>
            </w:r>
          </w:p>
        </w:tc>
        <w:tc>
          <w:tcPr>
            <w:tcW w:w="3000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校正题总相关</w:t>
            </w:r>
          </w:p>
        </w:tc>
        <w:tc>
          <w:tcPr>
            <w:tcW w:w="2250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删题后 α</w:t>
            </w:r>
          </w:p>
        </w:tc>
        <w:tc>
          <w:tcPr>
            <w:tcW w:w="2000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反向计分</w:t>
            </w:r>
          </w:p>
        </w:tc>
      </w:tr>
      <w:tr>
        <w:trPr>
          <w:cantSplit/>
        </w:trPr>
        <w:tc>
          <w:tcPr>
            <w:tcW w:w="3500" w:type="dxa"/>
            <w:tcMar>
              <w:left w:w="25" w:type="dxa"/>
              <w:right w:w="25" w:type="dxa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18"/>
              </w:rPr>
              <w:t xml:space="preserve">Q1</w:t>
            </w:r>
          </w:p>
        </w:tc>
        <w:tc>
          <w:tcPr>
            <w:tcW w:w="150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240</w:t>
            </w:r>
          </w:p>
        </w:tc>
        <w:tc>
          <w:tcPr>
            <w:tcW w:w="125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2.925</w:t>
            </w:r>
          </w:p>
        </w:tc>
        <w:tc>
          <w:tcPr>
            <w:tcW w:w="150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1.155</w:t>
            </w:r>
          </w:p>
        </w:tc>
        <w:tc>
          <w:tcPr>
            <w:tcW w:w="300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0.818</w:t>
            </w:r>
          </w:p>
        </w:tc>
        <w:tc>
          <w:tcPr>
            <w:tcW w:w="225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0.892</w:t>
            </w:r>
          </w:p>
        </w:tc>
        <w:tc>
          <w:tcPr>
            <w:tcW w:w="2000" w:type="dxa"/>
            <w:tcMar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False</w:t>
            </w:r>
          </w:p>
        </w:tc>
      </w:tr>
      <w:tr>
        <w:trPr>
          <w:cantSplit/>
        </w:trPr>
        <w:tc>
          <w:tcPr>
            <w:tcW w:w="3500" w:type="dxa"/>
            <w:tcMar>
              <w:left w:w="25" w:type="dxa"/>
              <w:right w:w="25" w:type="dxa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18"/>
              </w:rPr>
              <w:t xml:space="preserve">Q2</w:t>
            </w:r>
          </w:p>
        </w:tc>
        <w:tc>
          <w:tcPr>
            <w:tcW w:w="150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240</w:t>
            </w:r>
          </w:p>
        </w:tc>
        <w:tc>
          <w:tcPr>
            <w:tcW w:w="125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2.917</w:t>
            </w:r>
          </w:p>
        </w:tc>
        <w:tc>
          <w:tcPr>
            <w:tcW w:w="150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1.102</w:t>
            </w:r>
          </w:p>
        </w:tc>
        <w:tc>
          <w:tcPr>
            <w:tcW w:w="300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0.808</w:t>
            </w:r>
          </w:p>
        </w:tc>
        <w:tc>
          <w:tcPr>
            <w:tcW w:w="225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0.895</w:t>
            </w:r>
          </w:p>
        </w:tc>
        <w:tc>
          <w:tcPr>
            <w:tcW w:w="2000" w:type="dxa"/>
            <w:tcMar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False</w:t>
            </w:r>
          </w:p>
        </w:tc>
      </w:tr>
      <w:tr>
        <w:trPr>
          <w:cantSplit/>
        </w:trPr>
        <w:tc>
          <w:tcPr>
            <w:tcW w:w="3500" w:type="dxa"/>
            <w:tcMar>
              <w:left w:w="25" w:type="dxa"/>
              <w:right w:w="25" w:type="dxa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18"/>
              </w:rPr>
              <w:t xml:space="preserve">Q3</w:t>
            </w:r>
          </w:p>
        </w:tc>
        <w:tc>
          <w:tcPr>
            <w:tcW w:w="150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240</w:t>
            </w:r>
          </w:p>
        </w:tc>
        <w:tc>
          <w:tcPr>
            <w:tcW w:w="125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2.987</w:t>
            </w:r>
          </w:p>
        </w:tc>
        <w:tc>
          <w:tcPr>
            <w:tcW w:w="150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1.130</w:t>
            </w:r>
          </w:p>
        </w:tc>
        <w:tc>
          <w:tcPr>
            <w:tcW w:w="300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0.789</w:t>
            </w:r>
          </w:p>
        </w:tc>
        <w:tc>
          <w:tcPr>
            <w:tcW w:w="225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0.902</w:t>
            </w:r>
          </w:p>
        </w:tc>
        <w:tc>
          <w:tcPr>
            <w:tcW w:w="2000" w:type="dxa"/>
            <w:tcMar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False</w:t>
            </w:r>
          </w:p>
        </w:tc>
      </w:tr>
      <w:tr>
        <w:trPr>
          <w:cantSplit/>
        </w:trPr>
        <w:tc>
          <w:tcPr>
            <w:tcW w:w="3500" w:type="dxa"/>
            <w:tcMar>
              <w:left w:w="25" w:type="dxa"/>
              <w:right w:w="25" w:type="dxa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18"/>
              </w:rPr>
              <w:t xml:space="preserve">Q4</w:t>
            </w:r>
          </w:p>
        </w:tc>
        <w:tc>
          <w:tcPr>
            <w:tcW w:w="150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240</w:t>
            </w:r>
          </w:p>
        </w:tc>
        <w:tc>
          <w:tcPr>
            <w:tcW w:w="125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2.917</w:t>
            </w:r>
          </w:p>
        </w:tc>
        <w:tc>
          <w:tcPr>
            <w:tcW w:w="150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1.015</w:t>
            </w:r>
          </w:p>
        </w:tc>
        <w:tc>
          <w:tcPr>
            <w:tcW w:w="300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0.841</w:t>
            </w:r>
          </w:p>
        </w:tc>
        <w:tc>
          <w:tcPr>
            <w:tcW w:w="225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0.886</w:t>
            </w:r>
          </w:p>
        </w:tc>
        <w:tc>
          <w:tcPr>
            <w:tcW w:w="2000" w:type="dxa"/>
            <w:tcMar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True</w:t>
            </w:r>
          </w:p>
        </w:tc>
      </w:tr>
    </w:tbl>
    <w:p>
      <w:r>
        <w:rPr>
          <w:rFonts w:ascii="Arial" w:eastAsia="Microsoft YaHei"/>
          <w:sz w:val="20"/>
        </w:rPr>
        <w:t xml:space="preserve"/>
      </w:r>
    </w:p>
    <w:p>
      <w:r>
        <w:rPr>
          <w:rFonts w:ascii="Arial" w:eastAsia="Microsoft YaHei"/>
          <w:sz w:val="20"/>
        </w:rPr>
        <w:t xml:space="preserve">使用原始题分 Cronbach’s α；所有统计及删题诊断使用同一批完整案例，区间采用 Feldt 方法。</w:t>
      </w:r>
    </w:p>
    <w:p>
      <w:r>
        <w:rPr>
          <w:rFonts w:ascii="Arial" w:eastAsia="Microsoft YaHei"/>
          <w:sz w:val="20"/>
        </w:rPr>
        <w:t xml:space="preserve">α 不检验单维性，也不证明效度；不按阈值自动判定合格或删除题项。完整案例删除可能引入选择偏倚。</w:t>
      </w:r>
    </w:p>
    <w:p>
      <w:r>
        <w:rPr>
          <w:rFonts w:ascii="Arial" w:eastAsia="Microsoft YaHei"/>
          <w:sz w:val="20"/>
        </w:rPr>
        <w:t xml:space="preserve">反向计分为下限＋上限−原分；仅用于本次计算，不修改原始数据。</w:t>
      </w:r>
    </w:p>
    <w:p>
      <w:r>
        <w:rPr>
          <w:rFonts w:ascii="Arial" w:eastAsia="Microsoft YaHei"/>
          <w:sz w:val="20"/>
        </w:rPr>
        <w:t xml:space="preserve">完整案例分析：删除 0 行。</w:t>
      </w:r>
    </w:p>
    <w:p>
      <w:r>
        <w:rPr>
          <w:rFonts w:ascii="Arial" w:eastAsia="Microsoft YaHei"/>
          <w:sz w:val="20"/>
        </w:rPr>
        <w:t xml:space="preserve">显示值按所选精度舍入，原始结果保留完整精度；— 表示不可用。不自动添加显著性星号。</w:t>
      </w:r>
    </w:p>
    <w:sectPr>
      <w:pgSz w:w="16838" w:h="11906" w:orient="landscape"/>
      <w:pgMar w:top="850" w:right="850" w:bottom="850" w:left="850"/>
    </w:sectPr>
  </w:body>
</w:document>
</file>