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2"/>
        </w:rPr>
        <w:t>回归分析结果</w:t>
      </w:r>
    </w:p>
    <w:p>
      <w:pPr>
        <w:jc w:val="center"/>
      </w:pPr>
      <w:r>
        <w:rPr>
          <w:rFonts w:ascii="Times New Roman" w:hAnsi="Times New Roman" w:eastAsia="宋体"/>
          <w:sz w:val="24"/>
        </w:rPr>
        <w:t>基于数据挖掘的上市公司财政补贴与高管超额薪酬研究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表1  主要变量描述性统计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44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N</w:t>
            </w:r>
          </w:p>
        </w:tc>
        <w:tc>
          <w:tcPr>
            <w:tcW w:type="dxa" w:w="144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均值</w:t>
            </w:r>
          </w:p>
        </w:tc>
        <w:tc>
          <w:tcPr>
            <w:tcW w:type="dxa" w:w="144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标准差</w:t>
            </w:r>
          </w:p>
        </w:tc>
        <w:tc>
          <w:tcPr>
            <w:tcW w:type="dxa" w:w="144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最小值</w:t>
            </w:r>
          </w:p>
        </w:tc>
        <w:tc>
          <w:tcPr>
            <w:tcW w:type="dxa" w:w="144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最大值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高管前三名薪酬总额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52358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2.62e+06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2.92e+06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10800.0000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1.18e+08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政府补助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52358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5.26e+07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4.35e+08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12.6300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8.41e+10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超额薪酬(Overpay)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52182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0.5777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-4.7468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3.6420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管理层权力(Power)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44965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1.3147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-6.0324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4.5005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资产收益率(Roa)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52358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0.0310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0.0707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-0.3095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0.1991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营业收入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52345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8.57e+09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5.38e+10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-1.15e+08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2.89e+12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财务杠杆(Lever)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52358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0.4260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0.2145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0.0514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0.9665</w:t>
            </w:r>
          </w:p>
        </w:tc>
      </w:tr>
      <w:tr>
        <w:tc>
          <w:tcPr>
            <w:tcW w:type="dxa" w:w="144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第一大股东持股比例(Top1)</w:t>
            </w:r>
          </w:p>
        </w:tc>
        <w:tc>
          <w:tcPr>
            <w:tcW w:type="dxa" w:w="144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52358</w:t>
            </w:r>
          </w:p>
        </w:tc>
        <w:tc>
          <w:tcPr>
            <w:tcW w:type="dxa" w:w="144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33.7576</w:t>
            </w:r>
          </w:p>
        </w:tc>
        <w:tc>
          <w:tcPr>
            <w:tcW w:type="dxa" w:w="144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14.8049</w:t>
            </w:r>
          </w:p>
        </w:tc>
        <w:tc>
          <w:tcPr>
            <w:tcW w:type="dxa" w:w="144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8.3300</w:t>
            </w:r>
          </w:p>
        </w:tc>
        <w:tc>
          <w:tcPr>
            <w:tcW w:type="dxa" w:w="144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73.3500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注：薪酬和政府补助单位为元，连续变量已进行1%/99%缩尾处理。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表2  政府补助、管理层权力与高管超额薪酬的回归结果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16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模型(3)</w:t>
            </w:r>
          </w:p>
        </w:tc>
        <w:tc>
          <w:tcPr>
            <w:tcW w:type="dxa" w:w="216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模型(4)</w:t>
            </w:r>
          </w:p>
        </w:tc>
        <w:tc>
          <w:tcPr>
            <w:tcW w:type="dxa" w:w="216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模型(5)</w:t>
            </w:r>
          </w:p>
        </w:tc>
      </w:tr>
      <w:tr>
        <w:tc>
          <w:tcPr>
            <w:tcW w:type="dxa" w:w="216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216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216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216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Power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0.0582***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0.0576***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0.0973***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(14.3246)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(14.1104)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(11.2698)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Power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0.0062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(1.2427)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-0.3893***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-0.3904***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0.1686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(-4.7021)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(-4.7160)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(1.0433)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-0.4011***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-0.4081***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1.1222***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(-11.7087)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(-11.7400)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(15.2952)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-0.0039***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-0.0038***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-0.0043***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(-7.9020)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(-7.8305)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(-4.0243)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0.0108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0.0093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0.2482***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(0.7166)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(0.6103)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(7.4981)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Industry FE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44831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44831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44831</w:t>
            </w:r>
          </w:p>
        </w:tc>
      </w:tr>
      <w:tr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0.0372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0.0374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0.1427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表3  管理层权力中介效应检验（全样本）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路径</w:t>
            </w:r>
          </w:p>
        </w:tc>
        <w:tc>
          <w:tcPr>
            <w:tcW w:type="dxa" w:w="288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系数</w:t>
            </w:r>
          </w:p>
        </w:tc>
        <w:tc>
          <w:tcPr>
            <w:tcW w:type="dxa" w:w="288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p值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 → Overpay（总效应 c）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0.0582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&lt;0.001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 → Power（路径 a）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0.0973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&lt;0.001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Power → Overpay（路径 b）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0.0062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0.2140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 → Overpay（直接效应 c'）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0.0576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&lt;0.001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间接效应（a×b）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0.000606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Sobel Z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1.2352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Sobel p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0.2168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Bootstrap p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0.1733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Bootstrap 95%CI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[-0.000291, 0.001701]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中介效应占比(%)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1.04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注：原始结论为“不存在中介效应”，严格口径为“无稳健证据”；cluster bootstrap 次数=300。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表4  分产权性质回归结果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国有-模型(3)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国有-模型(4)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私营-模型(3)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私营-模型(4)</w:t>
            </w:r>
          </w:p>
        </w:tc>
      </w:tr>
      <w:tr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0.0437***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0.0431***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0.0723***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0.0725***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(7.3200)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(7.2297)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(12.5227)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(12.5430)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Power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0.0139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-0.0014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(1.4689)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(-0.2081)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0.6262***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0.6133***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-0.7741***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-0.7743***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(3.7719)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(3.6916)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(-8.6872)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(-8.6855)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-0.4277***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-0.4321***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-0.2836***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-0.2824***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(-7.0928)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(-7.1779)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(-6.7157)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(-6.5869)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-0.0060***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-0.0060***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-0.0017***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-0.0017***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(-7.3994)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(-7.3718)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(-2.6711)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(-2.6546)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-0.0390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-0.0395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0.0531***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0.0534***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(-1.5144)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(-1.5347)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(2.7448)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(2.7488)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Industry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15623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15623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25145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25145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0.0716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0.0722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0.0455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0.0455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表5  分行业管制回归结果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管制行业-模型(3)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管制行业-模型(4)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非管制行业-模型(3)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非管制行业-模型(4)</w:t>
            </w:r>
          </w:p>
        </w:tc>
      </w:tr>
      <w:tr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0.0260***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0.0259***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0.0662***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0.0655***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(3.3291)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(3.3082)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(14.3484)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(14.1262)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Power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0.0017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0.0073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(0.1471)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(1.3245)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-0.8719***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-0.8715***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-0.3193***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-0.3211***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(-5.5853)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(-5.5821)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(-3.3806)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(-3.4005)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-0.3641***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-0.3659***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-0.4076***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-0.4158***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(-5.0777)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(-4.9627)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(-10.7134)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(-10.7836)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-0.0060***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-0.0060***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-0.0034***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-0.0033***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(-6.0701)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(-6.0686)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(-6.2465)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(-6.1619)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0.0331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0.0328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0.0062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0.0043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(0.9863)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(0.9685)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(0.3737)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(0.2611)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Industry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7121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7121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37710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37710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0.0679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0.0679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0.0397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0.0399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表6  央企与地方国企回归结果（央地可识别比例=73.67%）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央企-模型(3)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央企-模型(4)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地方国企-模型(3)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地方国企-模型(4)</w:t>
            </w:r>
          </w:p>
        </w:tc>
      </w:tr>
      <w:tr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0.0205*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0.0204*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0.0438***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0.0424***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(1.9537)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(1.9394)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(5.5125)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(5.3672)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Power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0.0284*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0.0262**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(1.8566)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(1.9800)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0.7896**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0.7699**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0.9210***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0.8977***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(2.5161)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(2.4613)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(4.5525)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(4.4317)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-0.4334***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-0.4403***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-0.4321***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-0.4384***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(-3.8298)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(-3.9054)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(-5.6547)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(-5.7346)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-0.0047***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-0.0047***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-0.0055***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-0.0053***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(-3.4051)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(-3.4213)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(-4.9620)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(-4.8634)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0.0214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0.0241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-0.0818**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-0.0834**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(0.4727)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(0.5346)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(-2.4367)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(-2.4875)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Industry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3605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3605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7901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7901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0.1087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0.1118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0.1085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0.1106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表7  稳健性检验结果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234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(1) 替换因变量</w:t>
            </w:r>
          </w:p>
        </w:tc>
        <w:tc>
          <w:tcPr>
            <w:tcW w:type="dxa" w:w="1234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(2) 缩小样本期</w:t>
            </w:r>
          </w:p>
        </w:tc>
        <w:tc>
          <w:tcPr>
            <w:tcW w:type="dxa" w:w="1234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(3) 剔除极端补助</w:t>
            </w:r>
          </w:p>
        </w:tc>
        <w:tc>
          <w:tcPr>
            <w:tcW w:type="dxa" w:w="1234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(4) 仅制造业</w:t>
            </w:r>
          </w:p>
        </w:tc>
        <w:tc>
          <w:tcPr>
            <w:tcW w:type="dxa" w:w="1234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(5) 替换解释变量</w:t>
            </w:r>
          </w:p>
        </w:tc>
        <w:tc>
          <w:tcPr>
            <w:tcW w:type="dxa" w:w="1234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(6) 滞后一期</w:t>
            </w:r>
          </w:p>
        </w:tc>
      </w:tr>
      <w:tr>
        <w:tc>
          <w:tcPr>
            <w:tcW w:type="dxa" w:w="1234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1234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lnCEOpay</w:t>
            </w:r>
          </w:p>
        </w:tc>
        <w:tc>
          <w:tcPr>
            <w:tcW w:type="dxa" w:w="1234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234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234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234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234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补助变量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0.1365***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0.0551***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0.0594***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0.0751***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0.0539***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0.0530***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(32.4391)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(12.1574)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(12.6446)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(14.4900)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(14.4854)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(13.5843)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Controls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Industry FE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52358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29946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47011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35031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52182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46930</w:t>
            </w:r>
          </w:p>
        </w:tc>
      </w:tr>
      <w:tr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0.4234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0.0353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0.0351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0.0500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0.0375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0.0364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附表A  分组中介效应汇总（含分层FDR与bootstrap复核）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层级</w:t>
            </w:r>
          </w:p>
        </w:tc>
        <w:tc>
          <w:tcPr>
            <w:tcW w:type="dxa" w:w="9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分组</w:t>
            </w:r>
          </w:p>
        </w:tc>
        <w:tc>
          <w:tcPr>
            <w:tcW w:type="dxa" w:w="9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N</w:t>
            </w:r>
          </w:p>
        </w:tc>
        <w:tc>
          <w:tcPr>
            <w:tcW w:type="dxa" w:w="9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聚类数</w:t>
            </w:r>
          </w:p>
        </w:tc>
        <w:tc>
          <w:tcPr>
            <w:tcW w:type="dxa" w:w="9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路径a</w:t>
            </w:r>
          </w:p>
        </w:tc>
        <w:tc>
          <w:tcPr>
            <w:tcW w:type="dxa" w:w="9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路径b</w:t>
            </w:r>
          </w:p>
        </w:tc>
        <w:tc>
          <w:tcPr>
            <w:tcW w:type="dxa" w:w="9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原始Sobel_p</w:t>
            </w:r>
          </w:p>
        </w:tc>
        <w:tc>
          <w:tcPr>
            <w:tcW w:type="dxa" w:w="9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FDR_p</w:t>
            </w:r>
          </w:p>
        </w:tc>
        <w:tc>
          <w:tcPr>
            <w:tcW w:type="dxa" w:w="9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严格口径</w:t>
            </w:r>
          </w:p>
        </w:tc>
      </w:tr>
      <w:tr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产权直分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国有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15623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1409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0.0412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0.0139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0.1735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0.3471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无稳健证据</w:t>
            </w:r>
          </w:p>
        </w:tc>
      </w:tr>
      <w:tr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产权直分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私营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25145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3300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0.1030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-0.0014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0.8352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0.9306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无稳健证据</w:t>
            </w:r>
          </w:p>
        </w:tc>
      </w:tr>
      <w:tr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产权直分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央企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3605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400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0.0019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0.0284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0.9306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0.9306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无稳健证据</w:t>
            </w:r>
          </w:p>
        </w:tc>
      </w:tr>
      <w:tr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产权直分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地方国企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7901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826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0.0538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0.0262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0.0837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0.3347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仅原始Sobel支持</w:t>
            </w:r>
          </w:p>
        </w:tc>
      </w:tr>
      <w:tr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补充分组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东部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28078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3432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0.1079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0.0150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0.0204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0.0714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探索性稳健支持</w:t>
            </w:r>
          </w:p>
        </w:tc>
      </w:tr>
      <w:tr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补充分组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中西部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16753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1897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0.0774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-0.0093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0.2619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0.3055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无稳健证据</w:t>
            </w:r>
          </w:p>
        </w:tc>
      </w:tr>
      <w:tr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补充分组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2003-2012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9704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2422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0.0516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0.0271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0.0153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0.0714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探索性稳健支持</w:t>
            </w:r>
          </w:p>
        </w:tc>
      </w:tr>
      <w:tr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补充分组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2013-2024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35127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5186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0.1166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0.0007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0.8837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0.8837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无稳健证据</w:t>
            </w:r>
          </w:p>
        </w:tc>
      </w:tr>
      <w:tr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补充分组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国有×东部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8406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789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0.0410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0.0398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0.0503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0.0880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探索性稳健支持</w:t>
            </w:r>
          </w:p>
        </w:tc>
      </w:tr>
      <w:tr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补充分组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地方国企×东部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4273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437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0.0602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0.0569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0.0372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0.0867</w:t>
            </w:r>
          </w:p>
        </w:tc>
        <w:tc>
          <w:tcPr>
            <w:tcW w:type="dxa" w:w="9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探索性稳健支持</w:t>
            </w:r>
          </w:p>
        </w:tc>
      </w:tr>
      <w:tr>
        <w:tc>
          <w:tcPr>
            <w:tcW w:type="dxa" w:w="9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补充分组</w:t>
            </w:r>
          </w:p>
        </w:tc>
        <w:tc>
          <w:tcPr>
            <w:tcW w:type="dxa" w:w="9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地方国企×后期</w:t>
            </w:r>
          </w:p>
        </w:tc>
        <w:tc>
          <w:tcPr>
            <w:tcW w:type="dxa" w:w="9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5156</w:t>
            </w:r>
          </w:p>
        </w:tc>
        <w:tc>
          <w:tcPr>
            <w:tcW w:type="dxa" w:w="9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731</w:t>
            </w:r>
          </w:p>
        </w:tc>
        <w:tc>
          <w:tcPr>
            <w:tcW w:type="dxa" w:w="9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0.0623</w:t>
            </w:r>
          </w:p>
        </w:tc>
        <w:tc>
          <w:tcPr>
            <w:tcW w:type="dxa" w:w="9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0.0256</w:t>
            </w:r>
          </w:p>
        </w:tc>
        <w:tc>
          <w:tcPr>
            <w:tcW w:type="dxa" w:w="9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0.0902</w:t>
            </w:r>
          </w:p>
        </w:tc>
        <w:tc>
          <w:tcPr>
            <w:tcW w:type="dxa" w:w="9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0.1263</w:t>
            </w:r>
          </w:p>
        </w:tc>
        <w:tc>
          <w:tcPr>
            <w:tcW w:type="dxa" w:w="9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仅原始Sobel支持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注：FDR 为在“产权直分”“补充分组”两个层级内分别进行的 BH 校正；bootstrap 仅对原始 Sobel p&lt;0.10 的分组执行。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