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数据分析部分论文第四五章"/>
    <w:p>
      <w:pPr>
        <w:pStyle w:val="Heading1"/>
      </w:pPr>
      <w:r>
        <w:rPr>
          <w:rFonts w:hint="eastAsia"/>
        </w:rPr>
        <w:t xml:space="preserve">数据分析部分（论文第四、五章）</w:t>
      </w:r>
    </w:p>
    <w:p>
      <w:pPr>
        <w:pStyle w:val="BlockText"/>
      </w:pPr>
      <w:r>
        <w:rPr>
          <w:rFonts w:hint="eastAsia"/>
          <w:b/>
          <w:bCs/>
        </w:rPr>
        <w:t xml:space="preserve">论文题目</w:t>
      </w:r>
      <w:r>
        <w:rPr>
          <w:rFonts w:hint="eastAsia"/>
        </w:rPr>
        <w:t xml:space="preserve">：基于数据挖掘的上市公司财政补贴与高管超额薪酬研究</w:t>
      </w:r>
      <w:r>
        <w:t xml:space="preserve"> </w:t>
      </w:r>
      <w:r>
        <w:rPr>
          <w:rFonts w:hint="eastAsia"/>
          <w:b/>
          <w:bCs/>
        </w:rPr>
        <w:t xml:space="preserve">数据来源</w:t>
      </w:r>
      <w:r>
        <w:rPr>
          <w:rFonts w:hint="eastAsia"/>
        </w:rPr>
        <w:t xml:space="preserve">：CSMAR</w:t>
      </w:r>
      <w:r>
        <w:t xml:space="preserve"> </w:t>
      </w:r>
      <w:r>
        <w:rPr>
          <w:rFonts w:hint="eastAsia"/>
        </w:rPr>
        <w:t xml:space="preserve">数据库，沪深</w:t>
      </w:r>
      <w:r>
        <w:t xml:space="preserve"> A </w:t>
      </w:r>
      <w:r>
        <w:rPr>
          <w:rFonts w:hint="eastAsia"/>
        </w:rPr>
        <w:t xml:space="preserve">股上市公司（剔除金融行业）</w:t>
      </w:r>
      <w:r>
        <w:t xml:space="preserve"> </w:t>
      </w:r>
      <w:r>
        <w:rPr>
          <w:rFonts w:hint="eastAsia"/>
          <w:b/>
          <w:bCs/>
        </w:rPr>
        <w:t xml:space="preserve">样本区间</w:t>
      </w:r>
      <w:r>
        <w:rPr>
          <w:rFonts w:hint="eastAsia"/>
        </w:rPr>
        <w:t xml:space="preserve">：2003–2024</w:t>
      </w:r>
      <w:r>
        <w:t xml:space="preserve"> </w:t>
      </w:r>
      <w:r>
        <w:rPr>
          <w:rFonts w:hint="eastAsia"/>
        </w:rPr>
        <w:t xml:space="preserve">年</w:t>
      </w:r>
      <w:r>
        <w:t xml:space="preserve"> </w:t>
      </w:r>
      <w:r>
        <w:rPr>
          <w:rFonts w:hint="eastAsia"/>
          <w:b/>
          <w:bCs/>
        </w:rPr>
        <w:t xml:space="preserve">估计方法</w:t>
      </w:r>
      <w:r>
        <w:rPr>
          <w:rFonts w:hint="eastAsia"/>
        </w:rPr>
        <w:t xml:space="preserve">：OLS</w:t>
      </w:r>
      <w:r>
        <w:t xml:space="preserve"> + </w:t>
      </w:r>
      <w:r>
        <w:rPr>
          <w:rFonts w:hint="eastAsia"/>
        </w:rPr>
        <w:t xml:space="preserve">行业固定效应</w:t>
      </w:r>
      <w:r>
        <w:t xml:space="preserve"> + </w:t>
      </w:r>
      <w:r>
        <w:rPr>
          <w:rFonts w:hint="eastAsia"/>
        </w:rPr>
        <w:t xml:space="preserve">年份固定效应</w:t>
      </w:r>
      <w:r>
        <w:t xml:space="preserve"> + </w:t>
      </w:r>
      <w:r>
        <w:rPr>
          <w:rFonts w:hint="eastAsia"/>
        </w:rPr>
        <w:t xml:space="preserve">公司层面聚类稳健标准误</w:t>
      </w:r>
      <w:r>
        <w:t xml:space="preserve"> </w:t>
      </w:r>
      <w:r>
        <w:rPr>
          <w:rFonts w:hint="eastAsia"/>
          <w:b/>
          <w:bCs/>
        </w:rPr>
        <w:t xml:space="preserve">样本处理</w:t>
      </w:r>
      <w:r>
        <w:rPr>
          <w:rFonts w:hint="eastAsia"/>
        </w:rPr>
        <w:t xml:space="preserve">：原始薪酬数据沿用源数据既有缩尾口径，</w:t>
      </w:r>
      <w:r>
        <w:rPr>
          <w:rStyle w:val="VerbatimChar"/>
        </w:rPr>
        <w:t xml:space="preserve">lnCEOpay</w:t>
      </w:r>
      <w:r>
        <w:t xml:space="preserve"> </w:t>
      </w:r>
      <w:r>
        <w:rPr>
          <w:rFonts w:hint="eastAsia"/>
        </w:rPr>
        <w:t xml:space="preserve">与</w:t>
      </w:r>
      <w:r>
        <w:t xml:space="preserve"> </w:t>
      </w:r>
      <w:r>
        <w:rPr>
          <w:rStyle w:val="VerbatimChar"/>
        </w:rPr>
        <w:t xml:space="preserve">Overpay</w:t>
      </w:r>
      <w:r>
        <w:t xml:space="preserve"> </w:t>
      </w:r>
      <w:r>
        <w:rPr>
          <w:rFonts w:hint="eastAsia"/>
        </w:rPr>
        <w:t xml:space="preserve">不再二次缩尾；其余连续变量在</w:t>
      </w:r>
      <w:r>
        <w:t xml:space="preserve"> 1% </w:t>
      </w:r>
      <w:r>
        <w:rPr>
          <w:rFonts w:hint="eastAsia"/>
        </w:rPr>
        <w:t xml:space="preserve">和</w:t>
      </w:r>
      <w:r>
        <w:t xml:space="preserve"> 99% </w:t>
      </w:r>
      <w:r>
        <w:rPr>
          <w:rFonts w:hint="eastAsia"/>
        </w:rPr>
        <w:t xml:space="preserve">分位数处进行</w:t>
      </w:r>
      <w:r>
        <w:t xml:space="preserve"> Winsorize</w:t>
      </w:r>
    </w:p>
    <w:p>
      <w:r>
        <w:pict>
          <v:rect style="width:0;height:1.5pt" o:hralign="center" o:hrstd="t" o:hr="t"/>
        </w:pict>
      </w:r>
    </w:p>
    <w:bookmarkStart w:id="9" w:name="研究假设"/>
    <w:p>
      <w:pPr>
        <w:pStyle w:val="Heading2"/>
      </w:pPr>
      <w:r>
        <w:t xml:space="preserve">4. </w:t>
      </w:r>
      <w:r>
        <w:rPr>
          <w:rFonts w:hint="eastAsia"/>
        </w:rPr>
        <w:t xml:space="preserve">研究假设</w:t>
      </w:r>
    </w:p>
    <w:p>
      <w:pPr>
        <w:pStyle w:val="FirstParagraph"/>
      </w:pPr>
      <w:r>
        <w:rPr>
          <w:rFonts w:hint="eastAsia"/>
          <w:b/>
          <w:bCs/>
        </w:rPr>
        <w:t xml:space="preserve">假设</w:t>
      </w:r>
      <w:r>
        <w:rPr>
          <w:b/>
          <w:bCs/>
        </w:rPr>
        <w:t xml:space="preserve"> </w:t>
      </w:r>
      <w:r>
        <w:rPr>
          <w:rFonts w:hint="eastAsia"/>
          <w:b/>
          <w:bCs/>
        </w:rPr>
        <w:t xml:space="preserve">H1（主效应假设）</w:t>
      </w:r>
      <w:r>
        <w:t xml:space="preserve"> </w:t>
      </w:r>
      <w:r>
        <w:rPr>
          <w:rFonts w:hint="eastAsia"/>
        </w:rPr>
        <w:t xml:space="preserve">政府补助（lnSubsidy）对高管超额薪酬（Overpay）具有显著正向影响，即财政补贴越多，高管获得超额薪酬越高。</w:t>
      </w:r>
    </w:p>
    <w:p>
      <w:pPr>
        <w:pStyle w:val="BodyText"/>
      </w:pPr>
      <w:r>
        <w:rPr>
          <w:rFonts w:hint="eastAsia"/>
          <w:b/>
          <w:bCs/>
        </w:rPr>
        <w:t xml:space="preserve">假设</w:t>
      </w:r>
      <w:r>
        <w:rPr>
          <w:b/>
          <w:bCs/>
        </w:rPr>
        <w:t xml:space="preserve"> </w:t>
      </w:r>
      <w:r>
        <w:rPr>
          <w:rFonts w:hint="eastAsia"/>
          <w:b/>
          <w:bCs/>
        </w:rPr>
        <w:t xml:space="preserve">H2（中介效应假设）</w:t>
      </w:r>
      <w:r>
        <w:t xml:space="preserve"> </w:t>
      </w:r>
      <w:r>
        <w:rPr>
          <w:rFonts w:hint="eastAsia"/>
        </w:rPr>
        <w:t xml:space="preserve">管理层权力（Power）在政府补助与高管超额薪酬之间发挥中介作用，即政府补助通过增强管理层权力间接提升高管超额薪酬。</w:t>
      </w:r>
    </w:p>
    <w:p>
      <w:r>
        <w:pict>
          <v:rect style="width:0;height:1.5pt" o:hralign="center" o:hrstd="t" o:hr="t"/>
        </w:pict>
      </w:r>
    </w:p>
    <w:bookmarkEnd w:id="9"/>
    <w:bookmarkStart w:id="25" w:name="实证结果与分析"/>
    <w:p>
      <w:pPr>
        <w:pStyle w:val="Heading2"/>
      </w:pPr>
      <w:r>
        <w:t xml:space="preserve">5. </w:t>
      </w:r>
      <w:r>
        <w:rPr>
          <w:rFonts w:hint="eastAsia"/>
        </w:rPr>
        <w:t xml:space="preserve">实证结果与分析</w:t>
      </w:r>
    </w:p>
    <w:bookmarkStart w:id="10" w:name="描述性统计与变量诊断"/>
    <w:p>
      <w:pPr>
        <w:pStyle w:val="Heading3"/>
      </w:pPr>
      <w:r>
        <w:t xml:space="preserve">5.1 </w:t>
      </w:r>
      <w:r>
        <w:rPr>
          <w:rFonts w:hint="eastAsia"/>
        </w:rPr>
        <w:t xml:space="preserve">描述性统计与变量诊断</w:t>
      </w:r>
    </w:p>
    <w:p>
      <w:pPr>
        <w:pStyle w:val="FirstParagraph"/>
      </w:pPr>
      <w:r>
        <w:rPr>
          <w:rFonts w:hint="eastAsia"/>
        </w:rPr>
        <w:t xml:space="preserve">表</w:t>
      </w:r>
      <w:r>
        <w:t xml:space="preserve"> 1 </w:t>
      </w:r>
      <w:r>
        <w:rPr>
          <w:rFonts w:hint="eastAsia"/>
        </w:rPr>
        <w:t xml:space="preserve">报告了主要变量的描述性统计结果。最终筛选后的基础样本为</w:t>
      </w:r>
      <w:r>
        <w:t xml:space="preserve"> 52,358 </w:t>
      </w:r>
      <w:r>
        <w:rPr>
          <w:rFonts w:hint="eastAsia"/>
        </w:rPr>
        <w:t xml:space="preserve">个公司-年观测值，其中可用于构造超额薪酬的样本为</w:t>
      </w:r>
      <w:r>
        <w:t xml:space="preserve"> 52,182 </w:t>
      </w:r>
      <w:r>
        <w:rPr>
          <w:rFonts w:hint="eastAsia"/>
        </w:rPr>
        <w:t xml:space="preserve">个，可用于构造管理层权力的样本为</w:t>
      </w:r>
      <w:r>
        <w:t xml:space="preserve"> 44,965 </w:t>
      </w:r>
      <w:r>
        <w:rPr>
          <w:rFonts w:hint="eastAsia"/>
        </w:rPr>
        <w:t xml:space="preserve">个。高管前三名薪酬总额均值为</w:t>
      </w:r>
      <w:r>
        <w:t xml:space="preserve"> 261.60 </w:t>
      </w:r>
      <w:r>
        <w:rPr>
          <w:rFonts w:hint="eastAsia"/>
        </w:rPr>
        <w:t xml:space="preserve">万元，标准差为</w:t>
      </w:r>
      <w:r>
        <w:t xml:space="preserve"> 291.51 </w:t>
      </w:r>
      <w:r>
        <w:rPr>
          <w:rFonts w:hint="eastAsia"/>
        </w:rPr>
        <w:t xml:space="preserve">万元，表明不同企业之间的薪酬差异较大；政府补助均值约为</w:t>
      </w:r>
      <w:r>
        <w:t xml:space="preserve"> 5,260.31 </w:t>
      </w:r>
      <w:r>
        <w:rPr>
          <w:rFonts w:hint="eastAsia"/>
        </w:rPr>
        <w:t xml:space="preserve">万元，企业间补助规模分化显著。超额薪酬的均值接近于零，符合残差变量的统计特征，但由于不再对残差二次缩尾，其分布区间较宽，最小值为</w:t>
      </w:r>
      <w:r>
        <w:t xml:space="preserve"> </w:t>
      </w:r>
      <w:r>
        <w:rPr>
          <w:rFonts w:hint="eastAsia"/>
        </w:rPr>
        <w:t xml:space="preserve">-4.7468，最大值为</w:t>
      </w:r>
      <w:r>
        <w:t xml:space="preserve"> 3.6420。</w:t>
      </w:r>
    </w:p>
    <w:p>
      <w:pPr>
        <w:pStyle w:val="BodyText"/>
      </w:pPr>
      <w:r>
        <w:rPr>
          <w:rFonts w:hint="eastAsia"/>
        </w:rPr>
        <w:t xml:space="preserve">管理层权力（Power）由</w:t>
      </w:r>
      <w:r>
        <w:t xml:space="preserve"> </w:t>
      </w:r>
      <w:r>
        <w:rPr>
          <w:rStyle w:val="VerbatimChar"/>
        </w:rPr>
        <w:t xml:space="preserve">Tenure</w:t>
      </w:r>
      <w:r>
        <w:t xml:space="preserve">、</w:t>
      </w:r>
      <w:r>
        <w:rPr>
          <w:rStyle w:val="VerbatimChar"/>
        </w:rPr>
        <w:t xml:space="preserve">Dual</w:t>
      </w:r>
      <w:r>
        <w:t xml:space="preserve">、</w:t>
      </w:r>
      <w:r>
        <w:rPr>
          <w:rStyle w:val="VerbatimChar"/>
        </w:rPr>
        <w:t xml:space="preserve">Boardsize</w:t>
      </w:r>
      <w:r>
        <w:t xml:space="preserve">、</w:t>
      </w:r>
      <w:r>
        <w:rPr>
          <w:rStyle w:val="VerbatimChar"/>
        </w:rPr>
        <w:t xml:space="preserve">Insider</w:t>
      </w:r>
      <w:r>
        <w:t xml:space="preserve">、</w:t>
      </w:r>
      <w:r>
        <w:rPr>
          <w:rStyle w:val="VerbatimChar"/>
        </w:rPr>
        <w:t xml:space="preserve">Mgshder</w:t>
      </w:r>
      <w:r>
        <w:t xml:space="preserve"> </w:t>
      </w:r>
      <w:r>
        <w:rPr>
          <w:rFonts w:hint="eastAsia"/>
        </w:rPr>
        <w:t xml:space="preserve">五个指标进行</w:t>
      </w:r>
      <w:r>
        <w:t xml:space="preserve"> PCA </w:t>
      </w:r>
      <w:r>
        <w:rPr>
          <w:rFonts w:hint="eastAsia"/>
        </w:rPr>
        <w:t xml:space="preserve">提取。诊断结果显示：KMO</w:t>
      </w:r>
      <w:r>
        <w:t xml:space="preserve"> = </w:t>
      </w:r>
      <w:r>
        <w:rPr>
          <w:rFonts w:hint="eastAsia"/>
        </w:rPr>
        <w:t xml:space="preserve">0.5649，高于</w:t>
      </w:r>
      <w:r>
        <w:t xml:space="preserve"> 0.5 </w:t>
      </w:r>
      <w:r>
        <w:rPr>
          <w:rFonts w:hint="eastAsia"/>
        </w:rPr>
        <w:t xml:space="preserve">的基本适用阈值；Bartlett</w:t>
      </w:r>
      <w:r>
        <w:t xml:space="preserve"> </w:t>
      </w:r>
      <w:r>
        <w:rPr>
          <w:rFonts w:hint="eastAsia"/>
        </w:rPr>
        <w:t xml:space="preserve">球形检验</w:t>
      </w:r>
      <w:r>
        <w:t xml:space="preserve"> Chi² = </w:t>
      </w:r>
      <w:r>
        <w:rPr>
          <w:rFonts w:hint="eastAsia"/>
        </w:rPr>
        <w:t xml:space="preserve">19929.35，df</w:t>
      </w:r>
      <w:r>
        <w:t xml:space="preserve"> = </w:t>
      </w:r>
      <w:r>
        <w:rPr>
          <w:rFonts w:hint="eastAsia"/>
        </w:rPr>
        <w:t xml:space="preserve">10，p</w:t>
      </w:r>
      <w:r>
        <w:t xml:space="preserve"> &lt; </w:t>
      </w:r>
      <w:r>
        <w:rPr>
          <w:rFonts w:hint="eastAsia"/>
        </w:rPr>
        <w:t xml:space="preserve">0.001，显著拒绝相关矩阵为单位阵；第一主成分方差贡献率为</w:t>
      </w:r>
      <w:r>
        <w:t xml:space="preserve"> </w:t>
      </w:r>
      <w:r>
        <w:rPr>
          <w:rFonts w:hint="eastAsia"/>
        </w:rPr>
        <w:t xml:space="preserve">34.57%，前两主成分累计方差贡献率为</w:t>
      </w:r>
      <w:r>
        <w:t xml:space="preserve"> </w:t>
      </w:r>
      <w:r>
        <w:rPr>
          <w:rFonts w:hint="eastAsia"/>
        </w:rPr>
        <w:t xml:space="preserve">57.19%。因此，管理层权力综合指标在统计上具备采用</w:t>
      </w:r>
      <w:r>
        <w:t xml:space="preserve"> PCA </w:t>
      </w:r>
      <w:r>
        <w:rPr>
          <w:rFonts w:hint="eastAsia"/>
        </w:rPr>
        <w:t xml:space="preserve">提取的基本合理性，但</w:t>
      </w:r>
      <w:r>
        <w:t xml:space="preserve"> KMO </w:t>
      </w:r>
      <w:r>
        <w:rPr>
          <w:rFonts w:hint="eastAsia"/>
        </w:rPr>
        <w:t xml:space="preserve">水平并不高，后文表述以“通过基本适用性检验”为宜。</w:t>
      </w:r>
    </w:p>
    <w:p>
      <w:pPr>
        <w:pStyle w:val="BodyText"/>
      </w:pPr>
      <w:r>
        <w:rPr>
          <w:rFonts w:hint="eastAsia"/>
          <w:b/>
          <w:bCs/>
        </w:rPr>
        <w:t xml:space="preserve">表</w:t>
      </w:r>
      <w:r>
        <w:rPr>
          <w:b/>
          <w:bCs/>
        </w:rPr>
        <w:t xml:space="preserve"> 1 </w:t>
      </w:r>
      <w:r>
        <w:rPr>
          <w:rFonts w:hint="eastAsia"/>
          <w:b/>
          <w:bCs/>
        </w:rPr>
        <w:t xml:space="preserve">主要变量描述性统计</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rPr>
                <w:rFonts w:hint="eastAsia"/>
              </w:rPr>
              <w:t xml:space="preserve">变量</w:t>
            </w:r>
          </w:p>
        </w:tc>
        <w:tc>
          <w:tcPr/>
          <w:p>
            <w:pPr>
              <w:pStyle w:val="Compact"/>
              <w:jc w:val="center"/>
            </w:pPr>
            <w:r>
              <w:t xml:space="preserve">N</w:t>
            </w:r>
          </w:p>
        </w:tc>
        <w:tc>
          <w:tcPr/>
          <w:p>
            <w:pPr>
              <w:pStyle w:val="Compact"/>
              <w:jc w:val="center"/>
            </w:pPr>
            <w:r>
              <w:rPr>
                <w:rFonts w:hint="eastAsia"/>
              </w:rPr>
              <w:t xml:space="preserve">均值</w:t>
            </w:r>
          </w:p>
        </w:tc>
        <w:tc>
          <w:tcPr/>
          <w:p>
            <w:pPr>
              <w:pStyle w:val="Compact"/>
              <w:jc w:val="center"/>
            </w:pPr>
            <w:r>
              <w:rPr>
                <w:rFonts w:hint="eastAsia"/>
              </w:rPr>
              <w:t xml:space="preserve">标准差</w:t>
            </w:r>
          </w:p>
        </w:tc>
        <w:tc>
          <w:tcPr/>
          <w:p>
            <w:pPr>
              <w:pStyle w:val="Compact"/>
              <w:jc w:val="center"/>
            </w:pPr>
            <w:r>
              <w:rPr>
                <w:rFonts w:hint="eastAsia"/>
              </w:rPr>
              <w:t xml:space="preserve">最小值</w:t>
            </w:r>
          </w:p>
        </w:tc>
        <w:tc>
          <w:tcPr/>
          <w:p>
            <w:pPr>
              <w:pStyle w:val="Compact"/>
              <w:jc w:val="center"/>
            </w:pPr>
            <w:r>
              <w:rPr>
                <w:rFonts w:hint="eastAsia"/>
              </w:rPr>
              <w:t xml:space="preserve">最大值</w:t>
            </w:r>
          </w:p>
        </w:tc>
      </w:tr>
      <w:tr>
        <w:tc>
          <w:tcPr/>
          <w:p>
            <w:pPr>
              <w:pStyle w:val="Compact"/>
              <w:jc w:val="left"/>
            </w:pPr>
            <w:r>
              <w:rPr>
                <w:rFonts w:hint="eastAsia"/>
              </w:rPr>
              <w:t xml:space="preserve">高管前三名薪酬总额</w:t>
            </w:r>
          </w:p>
        </w:tc>
        <w:tc>
          <w:tcPr/>
          <w:p>
            <w:pPr>
              <w:pStyle w:val="Compact"/>
              <w:jc w:val="center"/>
            </w:pPr>
            <w:r>
              <w:t xml:space="preserve">52,358</w:t>
            </w:r>
          </w:p>
        </w:tc>
        <w:tc>
          <w:tcPr/>
          <w:p>
            <w:pPr>
              <w:pStyle w:val="Compact"/>
              <w:jc w:val="center"/>
            </w:pPr>
            <w:r>
              <w:t xml:space="preserve">2.62×10⁶</w:t>
            </w:r>
          </w:p>
        </w:tc>
        <w:tc>
          <w:tcPr/>
          <w:p>
            <w:pPr>
              <w:pStyle w:val="Compact"/>
              <w:jc w:val="center"/>
            </w:pPr>
            <w:r>
              <w:t xml:space="preserve">2.92×10⁶</w:t>
            </w:r>
          </w:p>
        </w:tc>
        <w:tc>
          <w:tcPr/>
          <w:p>
            <w:pPr>
              <w:pStyle w:val="Compact"/>
              <w:jc w:val="center"/>
            </w:pPr>
            <w:r>
              <w:t xml:space="preserve">10800.0000</w:t>
            </w:r>
          </w:p>
        </w:tc>
        <w:tc>
          <w:tcPr/>
          <w:p>
            <w:pPr>
              <w:pStyle w:val="Compact"/>
              <w:jc w:val="center"/>
            </w:pPr>
            <w:r>
              <w:t xml:space="preserve">1.18×10⁸</w:t>
            </w:r>
          </w:p>
        </w:tc>
      </w:tr>
      <w:tr>
        <w:tc>
          <w:tcPr/>
          <w:p>
            <w:pPr>
              <w:pStyle w:val="Compact"/>
              <w:jc w:val="left"/>
            </w:pPr>
            <w:r>
              <w:rPr>
                <w:rFonts w:hint="eastAsia"/>
              </w:rPr>
              <w:t xml:space="preserve">政府补助</w:t>
            </w:r>
          </w:p>
        </w:tc>
        <w:tc>
          <w:tcPr/>
          <w:p>
            <w:pPr>
              <w:pStyle w:val="Compact"/>
              <w:jc w:val="center"/>
            </w:pPr>
            <w:r>
              <w:t xml:space="preserve">52,358</w:t>
            </w:r>
          </w:p>
        </w:tc>
        <w:tc>
          <w:tcPr/>
          <w:p>
            <w:pPr>
              <w:pStyle w:val="Compact"/>
              <w:jc w:val="center"/>
            </w:pPr>
            <w:r>
              <w:t xml:space="preserve">5.26×10⁷</w:t>
            </w:r>
          </w:p>
        </w:tc>
        <w:tc>
          <w:tcPr/>
          <w:p>
            <w:pPr>
              <w:pStyle w:val="Compact"/>
              <w:jc w:val="center"/>
            </w:pPr>
            <w:r>
              <w:t xml:space="preserve">4.35×10⁸</w:t>
            </w:r>
          </w:p>
        </w:tc>
        <w:tc>
          <w:tcPr/>
          <w:p>
            <w:pPr>
              <w:pStyle w:val="Compact"/>
              <w:jc w:val="center"/>
            </w:pPr>
            <w:r>
              <w:t xml:space="preserve">12.6300</w:t>
            </w:r>
          </w:p>
        </w:tc>
        <w:tc>
          <w:tcPr/>
          <w:p>
            <w:pPr>
              <w:pStyle w:val="Compact"/>
              <w:jc w:val="center"/>
            </w:pPr>
            <w:r>
              <w:t xml:space="preserve">8.41×10¹⁰</w:t>
            </w:r>
          </w:p>
        </w:tc>
      </w:tr>
      <w:tr>
        <w:tc>
          <w:tcPr/>
          <w:p>
            <w:pPr>
              <w:pStyle w:val="Compact"/>
              <w:jc w:val="left"/>
            </w:pPr>
            <w:r>
              <w:rPr>
                <w:rFonts w:hint="eastAsia"/>
              </w:rPr>
              <w:t xml:space="preserve">超额薪酬（Overpay）</w:t>
            </w:r>
          </w:p>
        </w:tc>
        <w:tc>
          <w:tcPr/>
          <w:p>
            <w:pPr>
              <w:pStyle w:val="Compact"/>
              <w:jc w:val="center"/>
            </w:pPr>
            <w:r>
              <w:t xml:space="preserve">52,182</w:t>
            </w:r>
          </w:p>
        </w:tc>
        <w:tc>
          <w:tcPr/>
          <w:p>
            <w:pPr>
              <w:pStyle w:val="Compact"/>
              <w:jc w:val="center"/>
            </w:pPr>
            <w:r>
              <w:t xml:space="preserve">0.0000</w:t>
            </w:r>
          </w:p>
        </w:tc>
        <w:tc>
          <w:tcPr/>
          <w:p>
            <w:pPr>
              <w:pStyle w:val="Compact"/>
              <w:jc w:val="center"/>
            </w:pPr>
            <w:r>
              <w:t xml:space="preserve">0.5777</w:t>
            </w:r>
          </w:p>
        </w:tc>
        <w:tc>
          <w:tcPr/>
          <w:p>
            <w:pPr>
              <w:pStyle w:val="Compact"/>
              <w:jc w:val="center"/>
            </w:pPr>
            <w:r>
              <w:t xml:space="preserve">-4.7468</w:t>
            </w:r>
          </w:p>
        </w:tc>
        <w:tc>
          <w:tcPr/>
          <w:p>
            <w:pPr>
              <w:pStyle w:val="Compact"/>
              <w:jc w:val="center"/>
            </w:pPr>
            <w:r>
              <w:t xml:space="preserve">3.6420</w:t>
            </w:r>
          </w:p>
        </w:tc>
      </w:tr>
      <w:tr>
        <w:tc>
          <w:tcPr/>
          <w:p>
            <w:pPr>
              <w:pStyle w:val="Compact"/>
              <w:jc w:val="left"/>
            </w:pPr>
            <w:r>
              <w:rPr>
                <w:rFonts w:hint="eastAsia"/>
              </w:rPr>
              <w:t xml:space="preserve">管理层权力（Power）</w:t>
            </w:r>
          </w:p>
        </w:tc>
        <w:tc>
          <w:tcPr/>
          <w:p>
            <w:pPr>
              <w:pStyle w:val="Compact"/>
              <w:jc w:val="center"/>
            </w:pPr>
            <w:r>
              <w:t xml:space="preserve">44,965</w:t>
            </w:r>
          </w:p>
        </w:tc>
        <w:tc>
          <w:tcPr/>
          <w:p>
            <w:pPr>
              <w:pStyle w:val="Compact"/>
              <w:jc w:val="center"/>
            </w:pPr>
            <w:r>
              <w:t xml:space="preserve">0.0000</w:t>
            </w:r>
          </w:p>
        </w:tc>
        <w:tc>
          <w:tcPr/>
          <w:p>
            <w:pPr>
              <w:pStyle w:val="Compact"/>
              <w:jc w:val="center"/>
            </w:pPr>
            <w:r>
              <w:t xml:space="preserve">1.3147</w:t>
            </w:r>
          </w:p>
        </w:tc>
        <w:tc>
          <w:tcPr/>
          <w:p>
            <w:pPr>
              <w:pStyle w:val="Compact"/>
              <w:jc w:val="center"/>
            </w:pPr>
            <w:r>
              <w:t xml:space="preserve">-6.0324</w:t>
            </w:r>
          </w:p>
        </w:tc>
        <w:tc>
          <w:tcPr/>
          <w:p>
            <w:pPr>
              <w:pStyle w:val="Compact"/>
              <w:jc w:val="center"/>
            </w:pPr>
            <w:r>
              <w:t xml:space="preserve">4.5005</w:t>
            </w:r>
          </w:p>
        </w:tc>
      </w:tr>
      <w:tr>
        <w:tc>
          <w:tcPr/>
          <w:p>
            <w:pPr>
              <w:pStyle w:val="Compact"/>
              <w:jc w:val="left"/>
            </w:pPr>
            <w:r>
              <w:rPr>
                <w:rFonts w:hint="eastAsia"/>
              </w:rPr>
              <w:t xml:space="preserve">业绩（Roa）</w:t>
            </w:r>
          </w:p>
        </w:tc>
        <w:tc>
          <w:tcPr/>
          <w:p>
            <w:pPr>
              <w:pStyle w:val="Compact"/>
              <w:jc w:val="center"/>
            </w:pPr>
            <w:r>
              <w:t xml:space="preserve">52,358</w:t>
            </w:r>
          </w:p>
        </w:tc>
        <w:tc>
          <w:tcPr/>
          <w:p>
            <w:pPr>
              <w:pStyle w:val="Compact"/>
              <w:jc w:val="center"/>
            </w:pPr>
            <w:r>
              <w:t xml:space="preserve">0.0310</w:t>
            </w:r>
          </w:p>
        </w:tc>
        <w:tc>
          <w:tcPr/>
          <w:p>
            <w:pPr>
              <w:pStyle w:val="Compact"/>
              <w:jc w:val="center"/>
            </w:pPr>
            <w:r>
              <w:t xml:space="preserve">0.0707</w:t>
            </w:r>
          </w:p>
        </w:tc>
        <w:tc>
          <w:tcPr/>
          <w:p>
            <w:pPr>
              <w:pStyle w:val="Compact"/>
              <w:jc w:val="center"/>
            </w:pPr>
            <w:r>
              <w:t xml:space="preserve">-0.3095</w:t>
            </w:r>
          </w:p>
        </w:tc>
        <w:tc>
          <w:tcPr/>
          <w:p>
            <w:pPr>
              <w:pStyle w:val="Compact"/>
              <w:jc w:val="center"/>
            </w:pPr>
            <w:r>
              <w:t xml:space="preserve">0.1991</w:t>
            </w:r>
          </w:p>
        </w:tc>
      </w:tr>
      <w:tr>
        <w:tc>
          <w:tcPr/>
          <w:p>
            <w:pPr>
              <w:pStyle w:val="Compact"/>
              <w:jc w:val="left"/>
            </w:pPr>
            <w:r>
              <w:rPr>
                <w:rFonts w:hint="eastAsia"/>
              </w:rPr>
              <w:t xml:space="preserve">财务杠杆（Lever）</w:t>
            </w:r>
          </w:p>
        </w:tc>
        <w:tc>
          <w:tcPr/>
          <w:p>
            <w:pPr>
              <w:pStyle w:val="Compact"/>
              <w:jc w:val="center"/>
            </w:pPr>
            <w:r>
              <w:t xml:space="preserve">52,358</w:t>
            </w:r>
          </w:p>
        </w:tc>
        <w:tc>
          <w:tcPr/>
          <w:p>
            <w:pPr>
              <w:pStyle w:val="Compact"/>
              <w:jc w:val="center"/>
            </w:pPr>
            <w:r>
              <w:t xml:space="preserve">0.4260</w:t>
            </w:r>
          </w:p>
        </w:tc>
        <w:tc>
          <w:tcPr/>
          <w:p>
            <w:pPr>
              <w:pStyle w:val="Compact"/>
              <w:jc w:val="center"/>
            </w:pPr>
            <w:r>
              <w:t xml:space="preserve">0.2145</w:t>
            </w:r>
          </w:p>
        </w:tc>
        <w:tc>
          <w:tcPr/>
          <w:p>
            <w:pPr>
              <w:pStyle w:val="Compact"/>
              <w:jc w:val="center"/>
            </w:pPr>
            <w:r>
              <w:t xml:space="preserve">0.0514</w:t>
            </w:r>
          </w:p>
        </w:tc>
        <w:tc>
          <w:tcPr/>
          <w:p>
            <w:pPr>
              <w:pStyle w:val="Compact"/>
              <w:jc w:val="center"/>
            </w:pPr>
            <w:r>
              <w:t xml:space="preserve">0.9665</w:t>
            </w:r>
          </w:p>
        </w:tc>
      </w:tr>
      <w:tr>
        <w:tc>
          <w:tcPr/>
          <w:p>
            <w:pPr>
              <w:pStyle w:val="Compact"/>
              <w:jc w:val="left"/>
            </w:pPr>
            <w:r>
              <w:rPr>
                <w:rFonts w:hint="eastAsia"/>
              </w:rPr>
              <w:t xml:space="preserve">第一大股东持股比例（Top1）</w:t>
            </w:r>
          </w:p>
        </w:tc>
        <w:tc>
          <w:tcPr/>
          <w:p>
            <w:pPr>
              <w:pStyle w:val="Compact"/>
              <w:jc w:val="center"/>
            </w:pPr>
            <w:r>
              <w:t xml:space="preserve">52,358</w:t>
            </w:r>
          </w:p>
        </w:tc>
        <w:tc>
          <w:tcPr/>
          <w:p>
            <w:pPr>
              <w:pStyle w:val="Compact"/>
              <w:jc w:val="center"/>
            </w:pPr>
            <w:r>
              <w:t xml:space="preserve">33.7576</w:t>
            </w:r>
          </w:p>
        </w:tc>
        <w:tc>
          <w:tcPr/>
          <w:p>
            <w:pPr>
              <w:pStyle w:val="Compact"/>
              <w:jc w:val="center"/>
            </w:pPr>
            <w:r>
              <w:t xml:space="preserve">14.8049</w:t>
            </w:r>
          </w:p>
        </w:tc>
        <w:tc>
          <w:tcPr/>
          <w:p>
            <w:pPr>
              <w:pStyle w:val="Compact"/>
              <w:jc w:val="center"/>
            </w:pPr>
            <w:r>
              <w:t xml:space="preserve">8.3300</w:t>
            </w:r>
          </w:p>
        </w:tc>
        <w:tc>
          <w:tcPr/>
          <w:p>
            <w:pPr>
              <w:pStyle w:val="Compact"/>
              <w:jc w:val="center"/>
            </w:pPr>
            <w:r>
              <w:t xml:space="preserve">73.3500</w:t>
            </w:r>
          </w:p>
        </w:tc>
      </w:tr>
    </w:tbl>
    <w:p>
      <w:pPr>
        <w:pStyle w:val="BodyText"/>
      </w:pPr>
      <w:r>
        <w:rPr>
          <w:rFonts w:hint="eastAsia"/>
        </w:rPr>
        <w:t xml:space="preserve">注：政府补助和高管薪酬单位为元。</w:t>
      </w:r>
      <w:r>
        <w:rPr>
          <w:rStyle w:val="VerbatimChar"/>
        </w:rPr>
        <w:t xml:space="preserve">lnCEOpay</w:t>
      </w:r>
      <w:r>
        <w:t xml:space="preserve"> </w:t>
      </w:r>
      <w:r>
        <w:rPr>
          <w:rFonts w:hint="eastAsia"/>
        </w:rPr>
        <w:t xml:space="preserve">与</w:t>
      </w:r>
      <w:r>
        <w:t xml:space="preserve"> </w:t>
      </w:r>
      <w:r>
        <w:rPr>
          <w:rStyle w:val="VerbatimChar"/>
        </w:rPr>
        <w:t xml:space="preserve">Overpay</w:t>
      </w:r>
      <w:r>
        <w:t xml:space="preserve"> </w:t>
      </w:r>
      <w:r>
        <w:rPr>
          <w:rFonts w:hint="eastAsia"/>
        </w:rPr>
        <w:t xml:space="preserve">不再二次缩尾；</w:t>
      </w:r>
      <w:r>
        <w:rPr>
          <w:rStyle w:val="VerbatimChar"/>
        </w:rPr>
        <w:t xml:space="preserve">lnSubsidy</w:t>
      </w:r>
      <w:r>
        <w:t xml:space="preserve">、</w:t>
      </w:r>
      <w:r>
        <w:rPr>
          <w:rStyle w:val="VerbatimChar"/>
        </w:rPr>
        <w:t xml:space="preserve">lnSale</w:t>
      </w:r>
      <w:r>
        <w:t xml:space="preserve">、</w:t>
      </w:r>
      <w:r>
        <w:rPr>
          <w:rStyle w:val="VerbatimChar"/>
        </w:rPr>
        <w:t xml:space="preserve">Roa</w:t>
      </w:r>
      <w:r>
        <w:t xml:space="preserve">、</w:t>
      </w:r>
      <w:r>
        <w:rPr>
          <w:rStyle w:val="VerbatimChar"/>
        </w:rPr>
        <w:t xml:space="preserve">IA</w:t>
      </w:r>
      <w:r>
        <w:t xml:space="preserve">、</w:t>
      </w:r>
      <w:r>
        <w:rPr>
          <w:rStyle w:val="VerbatimChar"/>
        </w:rPr>
        <w:t xml:space="preserve">Lever</w:t>
      </w:r>
      <w:r>
        <w:t xml:space="preserve">、</w:t>
      </w:r>
      <w:r>
        <w:rPr>
          <w:rStyle w:val="VerbatimChar"/>
        </w:rPr>
        <w:t xml:space="preserve">Top1</w:t>
      </w:r>
      <w:r>
        <w:t xml:space="preserve"> </w:t>
      </w:r>
      <w:r>
        <w:rPr>
          <w:rFonts w:hint="eastAsia"/>
        </w:rPr>
        <w:t xml:space="preserve">在</w:t>
      </w:r>
      <w:r>
        <w:t xml:space="preserve"> 1%/99% </w:t>
      </w:r>
      <w:r>
        <w:rPr>
          <w:rFonts w:hint="eastAsia"/>
        </w:rPr>
        <w:t xml:space="preserve">分位数处进行</w:t>
      </w:r>
      <w:r>
        <w:t xml:space="preserve"> Winsorize。</w:t>
      </w:r>
    </w:p>
    <w:p>
      <w:r>
        <w:pict>
          <v:rect style="width:0;height:1.5pt" o:hralign="center" o:hrstd="t" o:hr="t"/>
        </w:pict>
      </w:r>
    </w:p>
    <w:bookmarkEnd w:id="10"/>
    <w:bookmarkStart w:id="11" w:name="主回归结果"/>
    <w:p>
      <w:pPr>
        <w:pStyle w:val="Heading3"/>
      </w:pPr>
      <w:r>
        <w:t xml:space="preserve">5.2 </w:t>
      </w:r>
      <w:r>
        <w:rPr>
          <w:rFonts w:hint="eastAsia"/>
        </w:rPr>
        <w:t xml:space="preserve">主回归结果</w:t>
      </w:r>
    </w:p>
    <w:p>
      <w:pPr>
        <w:pStyle w:val="FirstParagraph"/>
      </w:pPr>
      <w:r>
        <w:rPr>
          <w:rFonts w:hint="eastAsia"/>
        </w:rPr>
        <w:t xml:space="preserve">表</w:t>
      </w:r>
      <w:r>
        <w:t xml:space="preserve"> 2 </w:t>
      </w:r>
      <w:r>
        <w:rPr>
          <w:rFonts w:hint="eastAsia"/>
        </w:rPr>
        <w:t xml:space="preserve">报告了政府补助对高管超额薪酬影响的主回归结果。模型（3）中，lnSubsidy</w:t>
      </w:r>
      <w:r>
        <w:t xml:space="preserve"> </w:t>
      </w:r>
      <w:r>
        <w:rPr>
          <w:rFonts w:hint="eastAsia"/>
        </w:rPr>
        <w:t xml:space="preserve">的系数为</w:t>
      </w:r>
      <w:r>
        <w:t xml:space="preserve"> </w:t>
      </w:r>
      <w:r>
        <w:rPr>
          <w:rFonts w:hint="eastAsia"/>
        </w:rPr>
        <w:t xml:space="preserve">0.0582（z</w:t>
      </w:r>
      <w:r>
        <w:t xml:space="preserve"> = </w:t>
      </w:r>
      <w:r>
        <w:rPr>
          <w:rFonts w:hint="eastAsia"/>
        </w:rPr>
        <w:t xml:space="preserve">14.32，p</w:t>
      </w:r>
      <w:r>
        <w:t xml:space="preserve"> &lt; </w:t>
      </w:r>
      <w:r>
        <w:rPr>
          <w:rFonts w:hint="eastAsia"/>
        </w:rPr>
        <w:t xml:space="preserve">0.01），表明政府补助显著正向推动高管超额薪酬。模型（4）进一步纳入管理层权力后，lnSubsidy</w:t>
      </w:r>
      <w:r>
        <w:t xml:space="preserve"> </w:t>
      </w:r>
      <w:r>
        <w:rPr>
          <w:rFonts w:hint="eastAsia"/>
        </w:rPr>
        <w:t xml:space="preserve">的系数为</w:t>
      </w:r>
      <w:r>
        <w:t xml:space="preserve"> </w:t>
      </w:r>
      <w:r>
        <w:rPr>
          <w:rFonts w:hint="eastAsia"/>
        </w:rPr>
        <w:t xml:space="preserve">0.0576（z</w:t>
      </w:r>
      <w:r>
        <w:t xml:space="preserve"> = </w:t>
      </w:r>
      <w:r>
        <w:rPr>
          <w:rFonts w:hint="eastAsia"/>
        </w:rPr>
        <w:t xml:space="preserve">14.11，p</w:t>
      </w:r>
      <w:r>
        <w:t xml:space="preserve"> &lt; </w:t>
      </w:r>
      <w:r>
        <w:rPr>
          <w:rFonts w:hint="eastAsia"/>
        </w:rPr>
        <w:t xml:space="preserve">0.01），变化极小；Power</w:t>
      </w:r>
      <w:r>
        <w:t xml:space="preserve"> </w:t>
      </w:r>
      <w:r>
        <w:rPr>
          <w:rFonts w:hint="eastAsia"/>
        </w:rPr>
        <w:t xml:space="preserve">的系数为</w:t>
      </w:r>
      <w:r>
        <w:t xml:space="preserve"> </w:t>
      </w:r>
      <w:r>
        <w:rPr>
          <w:rFonts w:hint="eastAsia"/>
        </w:rPr>
        <w:t xml:space="preserve">0.0062（z</w:t>
      </w:r>
      <w:r>
        <w:t xml:space="preserve"> = </w:t>
      </w:r>
      <w:r>
        <w:rPr>
          <w:rFonts w:hint="eastAsia"/>
        </w:rPr>
        <w:t xml:space="preserve">1.24），未达到显著水平。模型（5）表明</w:t>
      </w:r>
      <w:r>
        <w:t xml:space="preserve"> lnSubsidy </w:t>
      </w:r>
      <w:r>
        <w:rPr>
          <w:rFonts w:hint="eastAsia"/>
        </w:rPr>
        <w:t xml:space="preserve">对</w:t>
      </w:r>
      <w:r>
        <w:t xml:space="preserve"> Power </w:t>
      </w:r>
      <w:r>
        <w:rPr>
          <w:rFonts w:hint="eastAsia"/>
        </w:rPr>
        <w:t xml:space="preserve">的影响显著为正（0.0973，z</w:t>
      </w:r>
      <w:r>
        <w:t xml:space="preserve"> = </w:t>
      </w:r>
      <w:r>
        <w:rPr>
          <w:rFonts w:hint="eastAsia"/>
        </w:rPr>
        <w:t xml:space="preserve">11.27，p</w:t>
      </w:r>
      <w:r>
        <w:t xml:space="preserve"> &lt; </w:t>
      </w:r>
      <w:r>
        <w:rPr>
          <w:rFonts w:hint="eastAsia"/>
        </w:rPr>
        <w:t xml:space="preserve">0.01）。</w:t>
      </w:r>
    </w:p>
    <w:p>
      <w:pPr>
        <w:pStyle w:val="BodyText"/>
      </w:pPr>
      <w:r>
        <w:rPr>
          <w:rFonts w:hint="eastAsia"/>
        </w:rPr>
        <w:t xml:space="preserve">总体来看，财政补贴提高高管超额薪酬的主效应稳定存在，</w:t>
      </w:r>
      <w:r>
        <w:rPr>
          <w:rFonts w:hint="eastAsia"/>
          <w:b/>
          <w:bCs/>
        </w:rPr>
        <w:t xml:space="preserve">假设</w:t>
      </w:r>
      <w:r>
        <w:rPr>
          <w:b/>
          <w:bCs/>
        </w:rPr>
        <w:t xml:space="preserve"> H1 </w:t>
      </w:r>
      <w:r>
        <w:rPr>
          <w:rFonts w:hint="eastAsia"/>
          <w:b/>
          <w:bCs/>
        </w:rPr>
        <w:t xml:space="preserve">得到支持</w:t>
      </w:r>
      <w:r>
        <w:t xml:space="preserve">。</w:t>
      </w:r>
    </w:p>
    <w:p>
      <w:pPr>
        <w:pStyle w:val="BodyText"/>
      </w:pPr>
      <w:r>
        <w:rPr>
          <w:rFonts w:hint="eastAsia"/>
          <w:b/>
          <w:bCs/>
        </w:rPr>
        <w:t xml:space="preserve">表</w:t>
      </w:r>
      <w:r>
        <w:rPr>
          <w:b/>
          <w:bCs/>
        </w:rPr>
        <w:t xml:space="preserve"> 2 </w:t>
      </w:r>
      <w:r>
        <w:rPr>
          <w:rFonts w:hint="eastAsia"/>
          <w:b/>
          <w:bCs/>
        </w:rPr>
        <w:t xml:space="preserve">政府补助、管理层权力与高管超额薪酬的回归结果（聚类标准误）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变量</w:t>
            </w:r>
          </w:p>
        </w:tc>
        <w:tc>
          <w:tcPr/>
          <w:p>
            <w:pPr>
              <w:pStyle w:val="Compact"/>
              <w:jc w:val="center"/>
            </w:pPr>
            <w:r>
              <w:rPr>
                <w:rFonts w:hint="eastAsia"/>
              </w:rPr>
              <w:t xml:space="preserve">模型（3）</w:t>
            </w:r>
          </w:p>
        </w:tc>
        <w:tc>
          <w:tcPr/>
          <w:p>
            <w:pPr>
              <w:pStyle w:val="Compact"/>
              <w:jc w:val="center"/>
            </w:pPr>
            <w:r>
              <w:rPr>
                <w:rFonts w:hint="eastAsia"/>
              </w:rPr>
              <w:t xml:space="preserve">模型（4）</w:t>
            </w:r>
          </w:p>
        </w:tc>
        <w:tc>
          <w:tcPr/>
          <w:p>
            <w:pPr>
              <w:pStyle w:val="Compact"/>
              <w:jc w:val="center"/>
            </w:pPr>
            <w:r>
              <w:rPr>
                <w:rFonts w:hint="eastAsia"/>
              </w:rPr>
              <w:t xml:space="preserve">模型（5）</w:t>
            </w:r>
          </w:p>
        </w:tc>
      </w:tr>
      <w:tr>
        <w:tc>
          <w:tcPr/>
          <w:p>
            <w:pPr>
              <w:pStyle w:val="Compact"/>
            </w:pPr>
          </w:p>
        </w:tc>
        <w:tc>
          <w:tcPr/>
          <w:p>
            <w:pPr>
              <w:pStyle w:val="Compact"/>
              <w:jc w:val="center"/>
            </w:pPr>
            <w:r>
              <w:rPr>
                <w:rFonts w:hint="eastAsia"/>
              </w:rPr>
              <w:t xml:space="preserve">因变量：Overpay</w:t>
            </w:r>
          </w:p>
        </w:tc>
        <w:tc>
          <w:tcPr/>
          <w:p>
            <w:pPr>
              <w:pStyle w:val="Compact"/>
              <w:jc w:val="center"/>
            </w:pPr>
            <w:r>
              <w:rPr>
                <w:rFonts w:hint="eastAsia"/>
              </w:rPr>
              <w:t xml:space="preserve">因变量：Overpay</w:t>
            </w:r>
          </w:p>
        </w:tc>
        <w:tc>
          <w:tcPr/>
          <w:p>
            <w:pPr>
              <w:pStyle w:val="Compact"/>
              <w:jc w:val="center"/>
            </w:pPr>
            <w:r>
              <w:rPr>
                <w:rFonts w:hint="eastAsia"/>
              </w:rPr>
              <w:t xml:space="preserve">因变量：Power</w:t>
            </w:r>
          </w:p>
        </w:tc>
      </w:tr>
      <w:tr>
        <w:tc>
          <w:tcPr/>
          <w:p>
            <w:pPr>
              <w:pStyle w:val="Compact"/>
              <w:jc w:val="left"/>
            </w:pPr>
            <w:r>
              <w:t xml:space="preserve">lnSubsidy</w:t>
            </w:r>
          </w:p>
        </w:tc>
        <w:tc>
          <w:tcPr/>
          <w:p>
            <w:pPr>
              <w:pStyle w:val="Compact"/>
              <w:jc w:val="center"/>
            </w:pPr>
            <w:r>
              <w:t xml:space="preserve">0.0582***</w:t>
            </w:r>
          </w:p>
        </w:tc>
        <w:tc>
          <w:tcPr/>
          <w:p>
            <w:pPr>
              <w:pStyle w:val="Compact"/>
              <w:jc w:val="center"/>
            </w:pPr>
            <w:r>
              <w:t xml:space="preserve">0.0576***</w:t>
            </w:r>
          </w:p>
        </w:tc>
        <w:tc>
          <w:tcPr/>
          <w:p>
            <w:pPr>
              <w:pStyle w:val="Compact"/>
              <w:jc w:val="center"/>
            </w:pPr>
            <w:r>
              <w:t xml:space="preserve">0.0973***</w:t>
            </w:r>
          </w:p>
        </w:tc>
      </w:tr>
      <w:tr>
        <w:tc>
          <w:tcPr/>
          <w:p>
            <w:pPr>
              <w:pStyle w:val="Compact"/>
            </w:pPr>
          </w:p>
        </w:tc>
        <w:tc>
          <w:tcPr/>
          <w:p>
            <w:pPr>
              <w:pStyle w:val="Compact"/>
              <w:jc w:val="center"/>
            </w:pPr>
            <w:r>
              <w:t xml:space="preserve">(14.3246)</w:t>
            </w:r>
          </w:p>
        </w:tc>
        <w:tc>
          <w:tcPr/>
          <w:p>
            <w:pPr>
              <w:pStyle w:val="Compact"/>
              <w:jc w:val="center"/>
            </w:pPr>
            <w:r>
              <w:t xml:space="preserve">(14.1104)</w:t>
            </w:r>
          </w:p>
        </w:tc>
        <w:tc>
          <w:tcPr/>
          <w:p>
            <w:pPr>
              <w:pStyle w:val="Compact"/>
              <w:jc w:val="center"/>
            </w:pPr>
            <w:r>
              <w:t xml:space="preserve">(11.2698)</w:t>
            </w:r>
          </w:p>
        </w:tc>
      </w:tr>
      <w:tr>
        <w:tc>
          <w:tcPr/>
          <w:p>
            <w:pPr>
              <w:pStyle w:val="Compact"/>
              <w:jc w:val="left"/>
            </w:pPr>
            <w:r>
              <w:t xml:space="preserve">Power</w:t>
            </w:r>
          </w:p>
        </w:tc>
        <w:tc>
          <w:tcPr/>
          <w:p>
            <w:pPr>
              <w:pStyle w:val="Compact"/>
              <w:jc w:val="center"/>
            </w:pPr>
            <w:r>
              <w:t xml:space="preserve">—</w:t>
            </w:r>
          </w:p>
        </w:tc>
        <w:tc>
          <w:tcPr/>
          <w:p>
            <w:pPr>
              <w:pStyle w:val="Compact"/>
              <w:jc w:val="center"/>
            </w:pPr>
            <w:r>
              <w:t xml:space="preserve">0.0062</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(1.2427)</w:t>
            </w:r>
          </w:p>
        </w:tc>
        <w:tc>
          <w:tcPr/>
          <w:p>
            <w:pPr>
              <w:pStyle w:val="Compact"/>
            </w:pPr>
          </w:p>
        </w:tc>
      </w:tr>
      <w:tr>
        <w:tc>
          <w:tcPr/>
          <w:p>
            <w:pPr>
              <w:pStyle w:val="Compact"/>
              <w:jc w:val="left"/>
            </w:pPr>
            <w:r>
              <w:t xml:space="preserve">Roa</w:t>
            </w:r>
          </w:p>
        </w:tc>
        <w:tc>
          <w:tcPr/>
          <w:p>
            <w:pPr>
              <w:pStyle w:val="Compact"/>
              <w:jc w:val="center"/>
            </w:pPr>
            <w:r>
              <w:t xml:space="preserve">-0.3893***</w:t>
            </w:r>
          </w:p>
        </w:tc>
        <w:tc>
          <w:tcPr/>
          <w:p>
            <w:pPr>
              <w:pStyle w:val="Compact"/>
              <w:jc w:val="center"/>
            </w:pPr>
            <w:r>
              <w:t xml:space="preserve">-0.3904***</w:t>
            </w:r>
          </w:p>
        </w:tc>
        <w:tc>
          <w:tcPr/>
          <w:p>
            <w:pPr>
              <w:pStyle w:val="Compact"/>
              <w:jc w:val="center"/>
            </w:pPr>
            <w:r>
              <w:t xml:space="preserve">0.1686</w:t>
            </w:r>
          </w:p>
        </w:tc>
      </w:tr>
      <w:tr>
        <w:tc>
          <w:tcPr/>
          <w:p>
            <w:pPr>
              <w:pStyle w:val="Compact"/>
            </w:pPr>
          </w:p>
        </w:tc>
        <w:tc>
          <w:tcPr/>
          <w:p>
            <w:pPr>
              <w:pStyle w:val="Compact"/>
              <w:jc w:val="center"/>
            </w:pPr>
            <w:r>
              <w:t xml:space="preserve">(-4.7021)</w:t>
            </w:r>
          </w:p>
        </w:tc>
        <w:tc>
          <w:tcPr/>
          <w:p>
            <w:pPr>
              <w:pStyle w:val="Compact"/>
              <w:jc w:val="center"/>
            </w:pPr>
            <w:r>
              <w:t xml:space="preserve">(-4.7160)</w:t>
            </w:r>
          </w:p>
        </w:tc>
        <w:tc>
          <w:tcPr/>
          <w:p>
            <w:pPr>
              <w:pStyle w:val="Compact"/>
              <w:jc w:val="center"/>
            </w:pPr>
            <w:r>
              <w:t xml:space="preserve">(1.0433)</w:t>
            </w:r>
          </w:p>
        </w:tc>
      </w:tr>
      <w:tr>
        <w:tc>
          <w:tcPr/>
          <w:p>
            <w:pPr>
              <w:pStyle w:val="Compact"/>
              <w:jc w:val="left"/>
            </w:pPr>
            <w:r>
              <w:t xml:space="preserve">Lever</w:t>
            </w:r>
          </w:p>
        </w:tc>
        <w:tc>
          <w:tcPr/>
          <w:p>
            <w:pPr>
              <w:pStyle w:val="Compact"/>
              <w:jc w:val="center"/>
            </w:pPr>
            <w:r>
              <w:t xml:space="preserve">-0.4011***</w:t>
            </w:r>
          </w:p>
        </w:tc>
        <w:tc>
          <w:tcPr/>
          <w:p>
            <w:pPr>
              <w:pStyle w:val="Compact"/>
              <w:jc w:val="center"/>
            </w:pPr>
            <w:r>
              <w:t xml:space="preserve">-0.4081***</w:t>
            </w:r>
          </w:p>
        </w:tc>
        <w:tc>
          <w:tcPr/>
          <w:p>
            <w:pPr>
              <w:pStyle w:val="Compact"/>
              <w:jc w:val="center"/>
            </w:pPr>
            <w:r>
              <w:t xml:space="preserve">1.1222***</w:t>
            </w:r>
          </w:p>
        </w:tc>
      </w:tr>
      <w:tr>
        <w:tc>
          <w:tcPr/>
          <w:p>
            <w:pPr>
              <w:pStyle w:val="Compact"/>
            </w:pPr>
          </w:p>
        </w:tc>
        <w:tc>
          <w:tcPr/>
          <w:p>
            <w:pPr>
              <w:pStyle w:val="Compact"/>
              <w:jc w:val="center"/>
            </w:pPr>
            <w:r>
              <w:t xml:space="preserve">(-11.7087)</w:t>
            </w:r>
          </w:p>
        </w:tc>
        <w:tc>
          <w:tcPr/>
          <w:p>
            <w:pPr>
              <w:pStyle w:val="Compact"/>
              <w:jc w:val="center"/>
            </w:pPr>
            <w:r>
              <w:t xml:space="preserve">(-11.7400)</w:t>
            </w:r>
          </w:p>
        </w:tc>
        <w:tc>
          <w:tcPr/>
          <w:p>
            <w:pPr>
              <w:pStyle w:val="Compact"/>
              <w:jc w:val="center"/>
            </w:pPr>
            <w:r>
              <w:t xml:space="preserve">(15.2952)</w:t>
            </w:r>
          </w:p>
        </w:tc>
      </w:tr>
      <w:tr>
        <w:tc>
          <w:tcPr/>
          <w:p>
            <w:pPr>
              <w:pStyle w:val="Compact"/>
              <w:jc w:val="left"/>
            </w:pPr>
            <w:r>
              <w:t xml:space="preserve">Top1</w:t>
            </w:r>
          </w:p>
        </w:tc>
        <w:tc>
          <w:tcPr/>
          <w:p>
            <w:pPr>
              <w:pStyle w:val="Compact"/>
              <w:jc w:val="center"/>
            </w:pPr>
            <w:r>
              <w:t xml:space="preserve">-0.0039***</w:t>
            </w:r>
          </w:p>
        </w:tc>
        <w:tc>
          <w:tcPr/>
          <w:p>
            <w:pPr>
              <w:pStyle w:val="Compact"/>
              <w:jc w:val="center"/>
            </w:pPr>
            <w:r>
              <w:t xml:space="preserve">-0.0038***</w:t>
            </w:r>
          </w:p>
        </w:tc>
        <w:tc>
          <w:tcPr/>
          <w:p>
            <w:pPr>
              <w:pStyle w:val="Compact"/>
              <w:jc w:val="center"/>
            </w:pPr>
            <w:r>
              <w:t xml:space="preserve">-0.0043***</w:t>
            </w:r>
          </w:p>
        </w:tc>
      </w:tr>
      <w:tr>
        <w:tc>
          <w:tcPr/>
          <w:p>
            <w:pPr>
              <w:pStyle w:val="Compact"/>
            </w:pPr>
          </w:p>
        </w:tc>
        <w:tc>
          <w:tcPr/>
          <w:p>
            <w:pPr>
              <w:pStyle w:val="Compact"/>
              <w:jc w:val="center"/>
            </w:pPr>
            <w:r>
              <w:t xml:space="preserve">(-7.9020)</w:t>
            </w:r>
          </w:p>
        </w:tc>
        <w:tc>
          <w:tcPr/>
          <w:p>
            <w:pPr>
              <w:pStyle w:val="Compact"/>
              <w:jc w:val="center"/>
            </w:pPr>
            <w:r>
              <w:t xml:space="preserve">(-7.8305)</w:t>
            </w:r>
          </w:p>
        </w:tc>
        <w:tc>
          <w:tcPr/>
          <w:p>
            <w:pPr>
              <w:pStyle w:val="Compact"/>
              <w:jc w:val="center"/>
            </w:pPr>
            <w:r>
              <w:t xml:space="preserve">(-4.0243)</w:t>
            </w:r>
          </w:p>
        </w:tc>
      </w:tr>
      <w:tr>
        <w:tc>
          <w:tcPr/>
          <w:p>
            <w:pPr>
              <w:pStyle w:val="Compact"/>
              <w:jc w:val="left"/>
            </w:pPr>
            <w:r>
              <w:t xml:space="preserve">Zone</w:t>
            </w:r>
          </w:p>
        </w:tc>
        <w:tc>
          <w:tcPr/>
          <w:p>
            <w:pPr>
              <w:pStyle w:val="Compact"/>
              <w:jc w:val="center"/>
            </w:pPr>
            <w:r>
              <w:t xml:space="preserve">0.0108</w:t>
            </w:r>
          </w:p>
        </w:tc>
        <w:tc>
          <w:tcPr/>
          <w:p>
            <w:pPr>
              <w:pStyle w:val="Compact"/>
              <w:jc w:val="center"/>
            </w:pPr>
            <w:r>
              <w:t xml:space="preserve">0.0093</w:t>
            </w:r>
          </w:p>
        </w:tc>
        <w:tc>
          <w:tcPr/>
          <w:p>
            <w:pPr>
              <w:pStyle w:val="Compact"/>
              <w:jc w:val="center"/>
            </w:pPr>
            <w:r>
              <w:t xml:space="preserve">0.2482***</w:t>
            </w:r>
          </w:p>
        </w:tc>
      </w:tr>
      <w:tr>
        <w:tc>
          <w:tcPr/>
          <w:p>
            <w:pPr>
              <w:pStyle w:val="Compact"/>
            </w:pPr>
          </w:p>
        </w:tc>
        <w:tc>
          <w:tcPr/>
          <w:p>
            <w:pPr>
              <w:pStyle w:val="Compact"/>
              <w:jc w:val="center"/>
            </w:pPr>
            <w:r>
              <w:t xml:space="preserve">(0.7166)</w:t>
            </w:r>
          </w:p>
        </w:tc>
        <w:tc>
          <w:tcPr/>
          <w:p>
            <w:pPr>
              <w:pStyle w:val="Compact"/>
              <w:jc w:val="center"/>
            </w:pPr>
            <w:r>
              <w:t xml:space="preserve">(0.6103)</w:t>
            </w:r>
          </w:p>
        </w:tc>
        <w:tc>
          <w:tcPr/>
          <w:p>
            <w:pPr>
              <w:pStyle w:val="Compact"/>
              <w:jc w:val="center"/>
            </w:pPr>
            <w:r>
              <w:t xml:space="preserve">(7.4981)</w:t>
            </w:r>
          </w:p>
        </w:tc>
      </w:tr>
      <w:tr>
        <w:tc>
          <w:tcPr/>
          <w:p>
            <w:pPr>
              <w:pStyle w:val="Compact"/>
              <w:jc w:val="left"/>
            </w:pPr>
            <w:r>
              <w:rPr>
                <w:rFonts w:hint="eastAsia"/>
              </w:rPr>
              <w:t xml:space="preserve">行业固定效应</w:t>
            </w:r>
          </w:p>
        </w:tc>
        <w:tc>
          <w:tcPr/>
          <w:p>
            <w:pPr>
              <w:pStyle w:val="Compact"/>
              <w:jc w:val="center"/>
            </w:pPr>
            <w:r>
              <w:rPr>
                <w:rFonts w:hint="eastAsia"/>
              </w:rPr>
              <w:t xml:space="preserve">控制</w:t>
            </w:r>
          </w:p>
        </w:tc>
        <w:tc>
          <w:tcPr/>
          <w:p>
            <w:pPr>
              <w:pStyle w:val="Compact"/>
              <w:jc w:val="center"/>
            </w:pPr>
            <w:r>
              <w:rPr>
                <w:rFonts w:hint="eastAsia"/>
              </w:rPr>
              <w:t xml:space="preserve">控制</w:t>
            </w:r>
          </w:p>
        </w:tc>
        <w:tc>
          <w:tcPr/>
          <w:p>
            <w:pPr>
              <w:pStyle w:val="Compact"/>
              <w:jc w:val="center"/>
            </w:pPr>
            <w:r>
              <w:rPr>
                <w:rFonts w:hint="eastAsia"/>
              </w:rPr>
              <w:t xml:space="preserve">控制</w:t>
            </w:r>
          </w:p>
        </w:tc>
      </w:tr>
      <w:tr>
        <w:tc>
          <w:tcPr/>
          <w:p>
            <w:pPr>
              <w:pStyle w:val="Compact"/>
              <w:jc w:val="left"/>
            </w:pPr>
            <w:r>
              <w:rPr>
                <w:rFonts w:hint="eastAsia"/>
              </w:rPr>
              <w:t xml:space="preserve">年份固定效应</w:t>
            </w:r>
          </w:p>
        </w:tc>
        <w:tc>
          <w:tcPr/>
          <w:p>
            <w:pPr>
              <w:pStyle w:val="Compact"/>
              <w:jc w:val="center"/>
            </w:pPr>
            <w:r>
              <w:rPr>
                <w:rFonts w:hint="eastAsia"/>
              </w:rPr>
              <w:t xml:space="preserve">控制</w:t>
            </w:r>
          </w:p>
        </w:tc>
        <w:tc>
          <w:tcPr/>
          <w:p>
            <w:pPr>
              <w:pStyle w:val="Compact"/>
              <w:jc w:val="center"/>
            </w:pPr>
            <w:r>
              <w:rPr>
                <w:rFonts w:hint="eastAsia"/>
              </w:rPr>
              <w:t xml:space="preserve">控制</w:t>
            </w:r>
          </w:p>
        </w:tc>
        <w:tc>
          <w:tcPr/>
          <w:p>
            <w:pPr>
              <w:pStyle w:val="Compact"/>
              <w:jc w:val="center"/>
            </w:pPr>
            <w:r>
              <w:rPr>
                <w:rFonts w:hint="eastAsia"/>
              </w:rPr>
              <w:t xml:space="preserve">控制</w:t>
            </w:r>
          </w:p>
        </w:tc>
      </w:tr>
      <w:tr>
        <w:tc>
          <w:tcPr/>
          <w:p>
            <w:pPr>
              <w:pStyle w:val="Compact"/>
              <w:jc w:val="left"/>
            </w:pPr>
            <w:r>
              <w:t xml:space="preserve">N</w:t>
            </w:r>
          </w:p>
        </w:tc>
        <w:tc>
          <w:tcPr/>
          <w:p>
            <w:pPr>
              <w:pStyle w:val="Compact"/>
              <w:jc w:val="center"/>
            </w:pPr>
            <w:r>
              <w:t xml:space="preserve">44,831</w:t>
            </w:r>
          </w:p>
        </w:tc>
        <w:tc>
          <w:tcPr/>
          <w:p>
            <w:pPr>
              <w:pStyle w:val="Compact"/>
              <w:jc w:val="center"/>
            </w:pPr>
            <w:r>
              <w:t xml:space="preserve">44,831</w:t>
            </w:r>
          </w:p>
        </w:tc>
        <w:tc>
          <w:tcPr/>
          <w:p>
            <w:pPr>
              <w:pStyle w:val="Compact"/>
              <w:jc w:val="center"/>
            </w:pPr>
            <w:r>
              <w:t xml:space="preserve">44,831</w:t>
            </w:r>
          </w:p>
        </w:tc>
      </w:tr>
      <w:tr>
        <w:tc>
          <w:tcPr/>
          <w:p>
            <w:pPr>
              <w:pStyle w:val="Compact"/>
              <w:jc w:val="left"/>
            </w:pPr>
            <w:r>
              <w:t xml:space="preserve">R²</w:t>
            </w:r>
          </w:p>
        </w:tc>
        <w:tc>
          <w:tcPr/>
          <w:p>
            <w:pPr>
              <w:pStyle w:val="Compact"/>
              <w:jc w:val="center"/>
            </w:pPr>
            <w:r>
              <w:t xml:space="preserve">0.0372</w:t>
            </w:r>
          </w:p>
        </w:tc>
        <w:tc>
          <w:tcPr/>
          <w:p>
            <w:pPr>
              <w:pStyle w:val="Compact"/>
              <w:jc w:val="center"/>
            </w:pPr>
            <w:r>
              <w:t xml:space="preserve">0.0374</w:t>
            </w:r>
          </w:p>
        </w:tc>
        <w:tc>
          <w:tcPr/>
          <w:p>
            <w:pPr>
              <w:pStyle w:val="Compact"/>
              <w:jc w:val="center"/>
            </w:pPr>
            <w:r>
              <w:t xml:space="preserve">0.1427</w:t>
            </w:r>
          </w:p>
        </w:tc>
      </w:tr>
    </w:tbl>
    <w:p>
      <w:pPr>
        <w:pStyle w:val="BodyText"/>
      </w:pPr>
      <w:r>
        <w:rPr>
          <w:rFonts w:hint="eastAsia"/>
        </w:rPr>
        <w:t xml:space="preserve">注：括号内为</w:t>
      </w:r>
      <w:r>
        <w:t xml:space="preserve"> z/t </w:t>
      </w:r>
      <w:r>
        <w:rPr>
          <w:rFonts w:hint="eastAsia"/>
        </w:rPr>
        <w:t xml:space="preserve">统计量；***、**、*</w:t>
      </w:r>
      <w:r>
        <w:t xml:space="preserve"> </w:t>
      </w:r>
      <w:r>
        <w:rPr>
          <w:rFonts w:hint="eastAsia"/>
        </w:rPr>
        <w:t xml:space="preserve">分别表示在</w:t>
      </w:r>
      <w:r>
        <w:t xml:space="preserve"> 1%、5%、10% </w:t>
      </w:r>
      <w:r>
        <w:rPr>
          <w:rFonts w:hint="eastAsia"/>
        </w:rPr>
        <w:t xml:space="preserve">水平上显著。标准误为公司层面聚类稳健标准误。</w:t>
      </w:r>
    </w:p>
    <w:p>
      <w:r>
        <w:pict>
          <v:rect style="width:0;height:1.5pt" o:hralign="center" o:hrstd="t" o:hr="t"/>
        </w:pict>
      </w:r>
    </w:p>
    <w:bookmarkEnd w:id="11"/>
    <w:bookmarkStart w:id="12" w:name="全样本中介效应与-pca-适用性"/>
    <w:p>
      <w:pPr>
        <w:pStyle w:val="Heading3"/>
      </w:pPr>
      <w:r>
        <w:t xml:space="preserve">5.3 </w:t>
      </w:r>
      <w:r>
        <w:rPr>
          <w:rFonts w:hint="eastAsia"/>
        </w:rPr>
        <w:t xml:space="preserve">全样本中介效应与</w:t>
      </w:r>
      <w:r>
        <w:t xml:space="preserve"> PCA </w:t>
      </w:r>
      <w:r>
        <w:rPr>
          <w:rFonts w:hint="eastAsia"/>
        </w:rPr>
        <w:t xml:space="preserve">适用性</w:t>
      </w:r>
    </w:p>
    <w:p>
      <w:pPr>
        <w:pStyle w:val="FirstParagraph"/>
      </w:pPr>
      <w:r>
        <w:rPr>
          <w:rFonts w:hint="eastAsia"/>
        </w:rPr>
        <w:t xml:space="preserve">全样本中介效应检验结果见表</w:t>
      </w:r>
      <w:r>
        <w:t xml:space="preserve"> </w:t>
      </w:r>
      <w:r>
        <w:rPr>
          <w:rFonts w:hint="eastAsia"/>
        </w:rPr>
        <w:t xml:space="preserve">3。首先，lnSubsidy</w:t>
      </w:r>
      <w:r>
        <w:t xml:space="preserve"> </w:t>
      </w:r>
      <w:r>
        <w:rPr>
          <w:rFonts w:hint="eastAsia"/>
        </w:rPr>
        <w:t xml:space="preserve">对</w:t>
      </w:r>
      <w:r>
        <w:t xml:space="preserve"> Overpay </w:t>
      </w:r>
      <w:r>
        <w:rPr>
          <w:rFonts w:hint="eastAsia"/>
        </w:rPr>
        <w:t xml:space="preserve">的总效应显著为正（0.0582，p</w:t>
      </w:r>
      <w:r>
        <w:t xml:space="preserve"> &lt; </w:t>
      </w:r>
      <w:r>
        <w:rPr>
          <w:rFonts w:hint="eastAsia"/>
        </w:rPr>
        <w:t xml:space="preserve">0.01）；其次，lnSubsidy</w:t>
      </w:r>
      <w:r>
        <w:t xml:space="preserve"> </w:t>
      </w:r>
      <w:r>
        <w:rPr>
          <w:rFonts w:hint="eastAsia"/>
        </w:rPr>
        <w:t xml:space="preserve">对</w:t>
      </w:r>
      <w:r>
        <w:t xml:space="preserve"> Power </w:t>
      </w:r>
      <w:r>
        <w:rPr>
          <w:rFonts w:hint="eastAsia"/>
        </w:rPr>
        <w:t xml:space="preserve">的路径</w:t>
      </w:r>
      <w:r>
        <w:t xml:space="preserve"> a </w:t>
      </w:r>
      <w:r>
        <w:rPr>
          <w:rFonts w:hint="eastAsia"/>
        </w:rPr>
        <w:t xml:space="preserve">显著为正（0.0973，p</w:t>
      </w:r>
      <w:r>
        <w:t xml:space="preserve"> &lt; </w:t>
      </w:r>
      <w:r>
        <w:rPr>
          <w:rFonts w:hint="eastAsia"/>
        </w:rPr>
        <w:t xml:space="preserve">0.01）；但在加入</w:t>
      </w:r>
      <w:r>
        <w:t xml:space="preserve"> Power </w:t>
      </w:r>
      <w:r>
        <w:rPr>
          <w:rFonts w:hint="eastAsia"/>
        </w:rPr>
        <w:t xml:space="preserve">后，Power</w:t>
      </w:r>
      <w:r>
        <w:t xml:space="preserve"> </w:t>
      </w:r>
      <w:r>
        <w:rPr>
          <w:rFonts w:hint="eastAsia"/>
        </w:rPr>
        <w:t xml:space="preserve">对</w:t>
      </w:r>
      <w:r>
        <w:t xml:space="preserve"> Overpay </w:t>
      </w:r>
      <w:r>
        <w:rPr>
          <w:rFonts w:hint="eastAsia"/>
        </w:rPr>
        <w:t xml:space="preserve">的路径</w:t>
      </w:r>
      <w:r>
        <w:t xml:space="preserve"> b </w:t>
      </w:r>
      <w:r>
        <w:rPr>
          <w:rFonts w:hint="eastAsia"/>
        </w:rPr>
        <w:t xml:space="preserve">仅为</w:t>
      </w:r>
      <w:r>
        <w:t xml:space="preserve"> </w:t>
      </w:r>
      <w:r>
        <w:rPr>
          <w:rFonts w:hint="eastAsia"/>
        </w:rPr>
        <w:t xml:space="preserve">0.0062，统计上不显著（p</w:t>
      </w:r>
      <w:r>
        <w:t xml:space="preserve"> = </w:t>
      </w:r>
      <w:r>
        <w:rPr>
          <w:rFonts w:hint="eastAsia"/>
        </w:rPr>
        <w:t xml:space="preserve">0.2140）。原始</w:t>
      </w:r>
      <w:r>
        <w:t xml:space="preserve"> Sobel </w:t>
      </w:r>
      <w:r>
        <w:rPr>
          <w:rFonts w:hint="eastAsia"/>
        </w:rPr>
        <w:t xml:space="preserve">检验得到</w:t>
      </w:r>
      <w:r>
        <w:t xml:space="preserve"> Z = </w:t>
      </w:r>
      <w:r>
        <w:rPr>
          <w:rFonts w:hint="eastAsia"/>
        </w:rPr>
        <w:t xml:space="preserve">1.2352，p</w:t>
      </w:r>
      <w:r>
        <w:t xml:space="preserve"> = </w:t>
      </w:r>
      <w:r>
        <w:rPr>
          <w:rFonts w:hint="eastAsia"/>
        </w:rPr>
        <w:t xml:space="preserve">0.2168，间接效应占总效应比例仅为</w:t>
      </w:r>
      <w:r>
        <w:t xml:space="preserve"> </w:t>
      </w:r>
      <w:r>
        <w:rPr>
          <w:rFonts w:hint="eastAsia"/>
        </w:rPr>
        <w:t xml:space="preserve">1.04%。进一步采用公司层面</w:t>
      </w:r>
      <w:r>
        <w:t xml:space="preserve"> cluster </w:t>
      </w:r>
      <w:r>
        <w:rPr>
          <w:rFonts w:hint="eastAsia"/>
        </w:rPr>
        <w:t xml:space="preserve">bootstrap（300</w:t>
      </w:r>
      <w:r>
        <w:t xml:space="preserve"> </w:t>
      </w:r>
      <w:r>
        <w:rPr>
          <w:rFonts w:hint="eastAsia"/>
        </w:rPr>
        <w:t xml:space="preserve">次）后，间接效应经验</w:t>
      </w:r>
      <w:r>
        <w:t xml:space="preserve"> p = </w:t>
      </w:r>
      <w:r>
        <w:rPr>
          <w:rFonts w:hint="eastAsia"/>
        </w:rPr>
        <w:t xml:space="preserve">0.1733，95%</w:t>
      </w:r>
      <w:r>
        <w:t xml:space="preserve"> </w:t>
      </w:r>
      <w:r>
        <w:rPr>
          <w:rFonts w:hint="eastAsia"/>
        </w:rPr>
        <w:t xml:space="preserve">置信区间为</w:t>
      </w:r>
      <w:r>
        <w:t xml:space="preserve"> [-0.000291, </w:t>
      </w:r>
      <w:r>
        <w:rPr>
          <w:rFonts w:hint="eastAsia"/>
        </w:rPr>
        <w:t xml:space="preserve">0.001701]，同样跨越</w:t>
      </w:r>
      <w:r>
        <w:t xml:space="preserve"> 0。</w:t>
      </w:r>
    </w:p>
    <w:p>
      <w:pPr>
        <w:pStyle w:val="BodyText"/>
      </w:pPr>
      <w:r>
        <w:rPr>
          <w:rFonts w:hint="eastAsia"/>
        </w:rPr>
        <w:t xml:space="preserve">因此，全样本下</w:t>
      </w:r>
      <w:r>
        <w:rPr>
          <w:rFonts w:hint="eastAsia"/>
          <w:b/>
          <w:bCs/>
        </w:rPr>
        <w:t xml:space="preserve">不存在稳健中介效应</w:t>
      </w:r>
      <w:r>
        <w:rPr>
          <w:rFonts w:hint="eastAsia"/>
        </w:rPr>
        <w:t xml:space="preserve">。从结果解释看，政府补助确实能够提升管理层权力，但在覆盖全部</w:t>
      </w:r>
      <w:r>
        <w:t xml:space="preserve"> A </w:t>
      </w:r>
      <w:r>
        <w:rPr>
          <w:rFonts w:hint="eastAsia"/>
        </w:rPr>
        <w:t xml:space="preserve">股上市公司的大样本条件下，这种权力变化并未普遍转化为高管超额薪酬。这意味着</w:t>
      </w:r>
      <w:r>
        <w:t xml:space="preserve"> H2 </w:t>
      </w:r>
      <w:r>
        <w:rPr>
          <w:rFonts w:hint="eastAsia"/>
        </w:rPr>
        <w:t xml:space="preserve">不能在全样本层面成立。</w:t>
      </w:r>
    </w:p>
    <w:p>
      <w:pPr>
        <w:pStyle w:val="BodyText"/>
      </w:pPr>
      <w:r>
        <w:rPr>
          <w:rFonts w:hint="eastAsia"/>
          <w:b/>
          <w:bCs/>
        </w:rPr>
        <w:t xml:space="preserve">表</w:t>
      </w:r>
      <w:r>
        <w:rPr>
          <w:b/>
          <w:bCs/>
        </w:rPr>
        <w:t xml:space="preserve"> 3 </w:t>
      </w:r>
      <w:r>
        <w:rPr>
          <w:rFonts w:hint="eastAsia"/>
          <w:b/>
          <w:bCs/>
        </w:rPr>
        <w:t xml:space="preserve">管理层权力中介效应检验（全样本）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路径</w:t>
            </w:r>
          </w:p>
        </w:tc>
        <w:tc>
          <w:tcPr/>
          <w:p>
            <w:pPr>
              <w:pStyle w:val="Compact"/>
              <w:jc w:val="center"/>
            </w:pPr>
            <w:r>
              <w:rPr>
                <w:rFonts w:hint="eastAsia"/>
              </w:rPr>
              <w:t xml:space="preserve">系数</w:t>
            </w:r>
          </w:p>
        </w:tc>
        <w:tc>
          <w:tcPr/>
          <w:p>
            <w:pPr>
              <w:pStyle w:val="Compact"/>
              <w:jc w:val="center"/>
            </w:pPr>
            <w:r>
              <w:t xml:space="preserve">p </w:t>
            </w:r>
            <w:r>
              <w:rPr>
                <w:rFonts w:hint="eastAsia"/>
              </w:rPr>
              <w:t xml:space="preserve">值</w:t>
            </w:r>
          </w:p>
        </w:tc>
      </w:tr>
      <w:tr>
        <w:tc>
          <w:tcPr/>
          <w:p>
            <w:pPr>
              <w:pStyle w:val="Compact"/>
              <w:jc w:val="left"/>
            </w:pPr>
            <w:r>
              <w:t xml:space="preserve">lnSubsidy → </w:t>
            </w:r>
            <w:r>
              <w:rPr>
                <w:rFonts w:hint="eastAsia"/>
              </w:rPr>
              <w:t xml:space="preserve">Overpay（总效应</w:t>
            </w:r>
            <w:r>
              <w:t xml:space="preserve"> </w:t>
            </w:r>
            <w:r>
              <w:rPr>
                <w:rFonts w:hint="eastAsia"/>
              </w:rPr>
              <w:t xml:space="preserve">c）</w:t>
            </w:r>
          </w:p>
        </w:tc>
        <w:tc>
          <w:tcPr/>
          <w:p>
            <w:pPr>
              <w:pStyle w:val="Compact"/>
              <w:jc w:val="center"/>
            </w:pPr>
            <w:r>
              <w:t xml:space="preserve">0.0582</w:t>
            </w:r>
          </w:p>
        </w:tc>
        <w:tc>
          <w:tcPr/>
          <w:p>
            <w:pPr>
              <w:pStyle w:val="Compact"/>
              <w:jc w:val="center"/>
            </w:pPr>
            <w:r>
              <w:t xml:space="preserve">&lt;0.001</w:t>
            </w:r>
          </w:p>
        </w:tc>
      </w:tr>
      <w:tr>
        <w:tc>
          <w:tcPr/>
          <w:p>
            <w:pPr>
              <w:pStyle w:val="Compact"/>
              <w:jc w:val="left"/>
            </w:pPr>
            <w:r>
              <w:t xml:space="preserve">lnSubsidy → </w:t>
            </w:r>
            <w:r>
              <w:rPr>
                <w:rFonts w:hint="eastAsia"/>
              </w:rPr>
              <w:t xml:space="preserve">Power（路径</w:t>
            </w:r>
            <w:r>
              <w:t xml:space="preserve"> </w:t>
            </w:r>
            <w:r>
              <w:rPr>
                <w:rFonts w:hint="eastAsia"/>
              </w:rPr>
              <w:t xml:space="preserve">a）</w:t>
            </w:r>
          </w:p>
        </w:tc>
        <w:tc>
          <w:tcPr/>
          <w:p>
            <w:pPr>
              <w:pStyle w:val="Compact"/>
              <w:jc w:val="center"/>
            </w:pPr>
            <w:r>
              <w:t xml:space="preserve">0.0973</w:t>
            </w:r>
          </w:p>
        </w:tc>
        <w:tc>
          <w:tcPr/>
          <w:p>
            <w:pPr>
              <w:pStyle w:val="Compact"/>
              <w:jc w:val="center"/>
            </w:pPr>
            <w:r>
              <w:t xml:space="preserve">&lt;0.001</w:t>
            </w:r>
          </w:p>
        </w:tc>
      </w:tr>
      <w:tr>
        <w:tc>
          <w:tcPr/>
          <w:p>
            <w:pPr>
              <w:pStyle w:val="Compact"/>
              <w:jc w:val="left"/>
            </w:pPr>
            <w:r>
              <w:t xml:space="preserve">Power → </w:t>
            </w:r>
            <w:r>
              <w:rPr>
                <w:rFonts w:hint="eastAsia"/>
              </w:rPr>
              <w:t xml:space="preserve">Overpay（路径</w:t>
            </w:r>
            <w:r>
              <w:t xml:space="preserve"> </w:t>
            </w:r>
            <w:r>
              <w:rPr>
                <w:rFonts w:hint="eastAsia"/>
              </w:rPr>
              <w:t xml:space="preserve">b）</w:t>
            </w:r>
          </w:p>
        </w:tc>
        <w:tc>
          <w:tcPr/>
          <w:p>
            <w:pPr>
              <w:pStyle w:val="Compact"/>
              <w:jc w:val="center"/>
            </w:pPr>
            <w:r>
              <w:t xml:space="preserve">0.0062</w:t>
            </w:r>
          </w:p>
        </w:tc>
        <w:tc>
          <w:tcPr/>
          <w:p>
            <w:pPr>
              <w:pStyle w:val="Compact"/>
              <w:jc w:val="center"/>
            </w:pPr>
            <w:r>
              <w:t xml:space="preserve">0.2140</w:t>
            </w:r>
          </w:p>
        </w:tc>
      </w:tr>
      <w:tr>
        <w:tc>
          <w:tcPr/>
          <w:p>
            <w:pPr>
              <w:pStyle w:val="Compact"/>
              <w:jc w:val="left"/>
            </w:pPr>
            <w:r>
              <w:t xml:space="preserve">lnSubsidy → </w:t>
            </w:r>
            <w:r>
              <w:rPr>
                <w:rFonts w:hint="eastAsia"/>
              </w:rPr>
              <w:t xml:space="preserve">Overpay（直接效应</w:t>
            </w:r>
            <w:r>
              <w:t xml:space="preserve"> </w:t>
            </w:r>
            <w:r>
              <w:rPr>
                <w:rFonts w:hint="eastAsia"/>
              </w:rPr>
              <w:t xml:space="preserve">c′）</w:t>
            </w:r>
          </w:p>
        </w:tc>
        <w:tc>
          <w:tcPr/>
          <w:p>
            <w:pPr>
              <w:pStyle w:val="Compact"/>
              <w:jc w:val="center"/>
            </w:pPr>
            <w:r>
              <w:t xml:space="preserve">0.0576</w:t>
            </w:r>
          </w:p>
        </w:tc>
        <w:tc>
          <w:tcPr/>
          <w:p>
            <w:pPr>
              <w:pStyle w:val="Compact"/>
              <w:jc w:val="center"/>
            </w:pPr>
            <w:r>
              <w:t xml:space="preserve">&lt;0.001</w:t>
            </w:r>
          </w:p>
        </w:tc>
      </w:tr>
      <w:tr>
        <w:tc>
          <w:tcPr/>
          <w:p>
            <w:pPr>
              <w:pStyle w:val="Compact"/>
              <w:jc w:val="left"/>
            </w:pPr>
            <w:r>
              <w:rPr>
                <w:rFonts w:hint="eastAsia"/>
              </w:rPr>
              <w:t xml:space="preserve">间接效应（a×b）</w:t>
            </w:r>
          </w:p>
        </w:tc>
        <w:tc>
          <w:tcPr/>
          <w:p>
            <w:pPr>
              <w:pStyle w:val="Compact"/>
              <w:jc w:val="center"/>
            </w:pPr>
            <w:r>
              <w:t xml:space="preserve">0.000606</w:t>
            </w:r>
          </w:p>
        </w:tc>
        <w:tc>
          <w:tcPr/>
          <w:p>
            <w:pPr>
              <w:pStyle w:val="Compact"/>
              <w:jc w:val="center"/>
            </w:pPr>
            <w:r>
              <w:t xml:space="preserve">—</w:t>
            </w:r>
          </w:p>
        </w:tc>
      </w:tr>
      <w:tr>
        <w:tc>
          <w:tcPr/>
          <w:p>
            <w:pPr>
              <w:pStyle w:val="Compact"/>
              <w:jc w:val="left"/>
            </w:pPr>
            <w:r>
              <w:t xml:space="preserve">Sobel Z</w:t>
            </w:r>
          </w:p>
        </w:tc>
        <w:tc>
          <w:tcPr/>
          <w:p>
            <w:pPr>
              <w:pStyle w:val="Compact"/>
              <w:jc w:val="center"/>
            </w:pPr>
            <w:r>
              <w:t xml:space="preserve">1.2352</w:t>
            </w:r>
          </w:p>
        </w:tc>
        <w:tc>
          <w:tcPr/>
          <w:p>
            <w:pPr>
              <w:pStyle w:val="Compact"/>
              <w:jc w:val="center"/>
            </w:pPr>
            <w:r>
              <w:t xml:space="preserve">—</w:t>
            </w:r>
          </w:p>
        </w:tc>
      </w:tr>
      <w:tr>
        <w:tc>
          <w:tcPr/>
          <w:p>
            <w:pPr>
              <w:pStyle w:val="Compact"/>
              <w:jc w:val="left"/>
            </w:pPr>
            <w:r>
              <w:t xml:space="preserve">Sobel p</w:t>
            </w:r>
          </w:p>
        </w:tc>
        <w:tc>
          <w:tcPr/>
          <w:p>
            <w:pPr>
              <w:pStyle w:val="Compact"/>
              <w:jc w:val="center"/>
            </w:pPr>
            <w:r>
              <w:t xml:space="preserve">0.2168</w:t>
            </w:r>
          </w:p>
        </w:tc>
        <w:tc>
          <w:tcPr/>
          <w:p>
            <w:pPr>
              <w:pStyle w:val="Compact"/>
              <w:jc w:val="center"/>
            </w:pPr>
            <w:r>
              <w:t xml:space="preserve">—</w:t>
            </w:r>
          </w:p>
        </w:tc>
      </w:tr>
      <w:tr>
        <w:tc>
          <w:tcPr/>
          <w:p>
            <w:pPr>
              <w:pStyle w:val="Compact"/>
              <w:jc w:val="left"/>
            </w:pPr>
            <w:r>
              <w:t xml:space="preserve">Bootstrap p</w:t>
            </w:r>
          </w:p>
        </w:tc>
        <w:tc>
          <w:tcPr/>
          <w:p>
            <w:pPr>
              <w:pStyle w:val="Compact"/>
              <w:jc w:val="center"/>
            </w:pPr>
            <w:r>
              <w:t xml:space="preserve">0.1733</w:t>
            </w:r>
          </w:p>
        </w:tc>
        <w:tc>
          <w:tcPr/>
          <w:p>
            <w:pPr>
              <w:pStyle w:val="Compact"/>
              <w:jc w:val="center"/>
            </w:pPr>
            <w:r>
              <w:t xml:space="preserve">—</w:t>
            </w:r>
          </w:p>
        </w:tc>
      </w:tr>
      <w:tr>
        <w:tc>
          <w:tcPr/>
          <w:p>
            <w:pPr>
              <w:pStyle w:val="Compact"/>
              <w:jc w:val="left"/>
            </w:pPr>
            <w:r>
              <w:t xml:space="preserve">Bootstrap 95%CI</w:t>
            </w:r>
          </w:p>
        </w:tc>
        <w:tc>
          <w:tcPr/>
          <w:p>
            <w:pPr>
              <w:pStyle w:val="Compact"/>
              <w:jc w:val="center"/>
            </w:pPr>
            <w:r>
              <w:t xml:space="preserve">[-0.000291, 0.001701]</w:t>
            </w:r>
          </w:p>
        </w:tc>
        <w:tc>
          <w:tcPr/>
          <w:p>
            <w:pPr>
              <w:pStyle w:val="Compact"/>
              <w:jc w:val="center"/>
            </w:pPr>
            <w:r>
              <w:t xml:space="preserve">—</w:t>
            </w:r>
          </w:p>
        </w:tc>
      </w:tr>
      <w:tr>
        <w:tc>
          <w:tcPr/>
          <w:p>
            <w:pPr>
              <w:pStyle w:val="Compact"/>
              <w:jc w:val="left"/>
            </w:pPr>
            <w:r>
              <w:rPr>
                <w:rFonts w:hint="eastAsia"/>
              </w:rPr>
              <w:t xml:space="preserve">中介效应占比(%)</w:t>
            </w:r>
          </w:p>
        </w:tc>
        <w:tc>
          <w:tcPr/>
          <w:p>
            <w:pPr>
              <w:pStyle w:val="Compact"/>
              <w:jc w:val="center"/>
            </w:pPr>
            <w:r>
              <w:t xml:space="preserve">1.04</w:t>
            </w:r>
          </w:p>
        </w:tc>
        <w:tc>
          <w:tcPr/>
          <w:p>
            <w:pPr>
              <w:pStyle w:val="Compact"/>
              <w:jc w:val="center"/>
            </w:pPr>
            <w:r>
              <w:t xml:space="preserve">—</w:t>
            </w:r>
          </w:p>
        </w:tc>
      </w:tr>
    </w:tbl>
    <w:p>
      <w:pPr>
        <w:pStyle w:val="BodyText"/>
      </w:pPr>
      <w:r>
        <w:rPr>
          <w:rFonts w:hint="eastAsia"/>
        </w:rPr>
        <w:t xml:space="preserve">注：全样本补充报告公司层面</w:t>
      </w:r>
      <w:r>
        <w:t xml:space="preserve"> cluster </w:t>
      </w:r>
      <w:r>
        <w:rPr>
          <w:rFonts w:hint="eastAsia"/>
        </w:rPr>
        <w:t xml:space="preserve">bootstrap（300</w:t>
      </w:r>
      <w:r>
        <w:t xml:space="preserve"> </w:t>
      </w:r>
      <w:r>
        <w:rPr>
          <w:rFonts w:hint="eastAsia"/>
        </w:rPr>
        <w:t xml:space="preserve">次）；若</w:t>
      </w:r>
      <w:r>
        <w:t xml:space="preserve"> bootstrap 95%CI </w:t>
      </w:r>
      <w:r>
        <w:rPr>
          <w:rFonts w:hint="eastAsia"/>
        </w:rPr>
        <w:t xml:space="preserve">不含</w:t>
      </w:r>
      <w:r>
        <w:t xml:space="preserve"> </w:t>
      </w:r>
      <w:r>
        <w:rPr>
          <w:rFonts w:hint="eastAsia"/>
        </w:rPr>
        <w:t xml:space="preserve">0，则视为</w:t>
      </w:r>
      <w:r>
        <w:t xml:space="preserve"> bootstrap </w:t>
      </w:r>
      <w:r>
        <w:rPr>
          <w:rFonts w:hint="eastAsia"/>
        </w:rPr>
        <w:t xml:space="preserve">支持。</w:t>
      </w:r>
    </w:p>
    <w:p>
      <w:r>
        <w:pict>
          <v:rect style="width:0;height:1.5pt" o:hralign="center" o:hrstd="t" o:hr="t"/>
        </w:pict>
      </w:r>
    </w:p>
    <w:bookmarkEnd w:id="12"/>
    <w:bookmarkStart w:id="17" w:name="异质性分析与分组中介检验"/>
    <w:p>
      <w:pPr>
        <w:pStyle w:val="Heading3"/>
      </w:pPr>
      <w:r>
        <w:t xml:space="preserve">5.4 </w:t>
      </w:r>
      <w:r>
        <w:rPr>
          <w:rFonts w:hint="eastAsia"/>
        </w:rPr>
        <w:t xml:space="preserve">异质性分析与分组中介检验</w:t>
      </w:r>
    </w:p>
    <w:bookmarkStart w:id="13" w:name="分产权性质"/>
    <w:p>
      <w:pPr>
        <w:pStyle w:val="Heading4"/>
      </w:pPr>
      <w:r>
        <w:t xml:space="preserve">5.4.1 </w:t>
      </w:r>
      <w:r>
        <w:rPr>
          <w:rFonts w:hint="eastAsia"/>
        </w:rPr>
        <w:t xml:space="preserve">分产权性质</w:t>
      </w:r>
    </w:p>
    <w:p>
      <w:pPr>
        <w:pStyle w:val="FirstParagraph"/>
      </w:pPr>
      <w:r>
        <w:rPr>
          <w:rFonts w:hint="eastAsia"/>
        </w:rPr>
        <w:t xml:space="preserve">表</w:t>
      </w:r>
      <w:r>
        <w:t xml:space="preserve"> 4 </w:t>
      </w:r>
      <w:r>
        <w:rPr>
          <w:rFonts w:hint="eastAsia"/>
        </w:rPr>
        <w:t xml:space="preserve">报告了按产权直分口径的回归结果。国有企业样本中，lnSubsidy</w:t>
      </w:r>
      <w:r>
        <w:t xml:space="preserve"> </w:t>
      </w:r>
      <w:r>
        <w:rPr>
          <w:rFonts w:hint="eastAsia"/>
        </w:rPr>
        <w:t xml:space="preserve">的系数为</w:t>
      </w:r>
      <w:r>
        <w:t xml:space="preserve"> </w:t>
      </w:r>
      <w:r>
        <w:rPr>
          <w:rFonts w:hint="eastAsia"/>
        </w:rPr>
        <w:t xml:space="preserve">0.0437（p</w:t>
      </w:r>
      <w:r>
        <w:t xml:space="preserve"> &lt; </w:t>
      </w:r>
      <w:r>
        <w:rPr>
          <w:rFonts w:hint="eastAsia"/>
        </w:rPr>
        <w:t xml:space="preserve">0.01）；私营企业样本中，该系数上升至</w:t>
      </w:r>
      <w:r>
        <w:t xml:space="preserve"> </w:t>
      </w:r>
      <w:r>
        <w:rPr>
          <w:rFonts w:hint="eastAsia"/>
        </w:rPr>
        <w:t xml:space="preserve">0.0723（p</w:t>
      </w:r>
      <w:r>
        <w:t xml:space="preserve"> &lt; </w:t>
      </w:r>
      <w:r>
        <w:rPr>
          <w:rFonts w:hint="eastAsia"/>
        </w:rPr>
        <w:t xml:space="preserve">0.01），说明财政补贴对私营企业高管超额薪酬的推动作用更强。与此同时，Power</w:t>
      </w:r>
      <w:r>
        <w:t xml:space="preserve"> </w:t>
      </w:r>
      <w:r>
        <w:rPr>
          <w:rFonts w:hint="eastAsia"/>
        </w:rPr>
        <w:t xml:space="preserve">在国有与私营样本中均未显著，因此产权直分层面未形成显著中介效应。</w:t>
      </w:r>
    </w:p>
    <w:p>
      <w:pPr>
        <w:pStyle w:val="BodyText"/>
      </w:pPr>
      <w:r>
        <w:rPr>
          <w:rFonts w:hint="eastAsia"/>
          <w:b/>
          <w:bCs/>
        </w:rPr>
        <w:t xml:space="preserve">表</w:t>
      </w:r>
      <w:r>
        <w:rPr>
          <w:b/>
          <w:bCs/>
        </w:rPr>
        <w:t xml:space="preserve"> 4 </w:t>
      </w:r>
      <w:r>
        <w:rPr>
          <w:rFonts w:hint="eastAsia"/>
          <w:b/>
          <w:bCs/>
        </w:rPr>
        <w:t xml:space="preserve">分产权性质回归结果（聚类标准误）</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变量</w:t>
            </w:r>
          </w:p>
        </w:tc>
        <w:tc>
          <w:tcPr/>
          <w:p>
            <w:pPr>
              <w:pStyle w:val="Compact"/>
              <w:jc w:val="center"/>
            </w:pPr>
            <w:r>
              <w:rPr>
                <w:rFonts w:hint="eastAsia"/>
              </w:rPr>
              <w:t xml:space="preserve">国有-模型（3）</w:t>
            </w:r>
          </w:p>
        </w:tc>
        <w:tc>
          <w:tcPr/>
          <w:p>
            <w:pPr>
              <w:pStyle w:val="Compact"/>
              <w:jc w:val="center"/>
            </w:pPr>
            <w:r>
              <w:rPr>
                <w:rFonts w:hint="eastAsia"/>
              </w:rPr>
              <w:t xml:space="preserve">国有-模型（4）</w:t>
            </w:r>
          </w:p>
        </w:tc>
        <w:tc>
          <w:tcPr/>
          <w:p>
            <w:pPr>
              <w:pStyle w:val="Compact"/>
              <w:jc w:val="center"/>
            </w:pPr>
            <w:r>
              <w:rPr>
                <w:rFonts w:hint="eastAsia"/>
              </w:rPr>
              <w:t xml:space="preserve">私营-模型（3）</w:t>
            </w:r>
          </w:p>
        </w:tc>
        <w:tc>
          <w:tcPr/>
          <w:p>
            <w:pPr>
              <w:pStyle w:val="Compact"/>
              <w:jc w:val="center"/>
            </w:pPr>
            <w:r>
              <w:rPr>
                <w:rFonts w:hint="eastAsia"/>
              </w:rPr>
              <w:t xml:space="preserve">私营-模型（4）</w:t>
            </w:r>
          </w:p>
        </w:tc>
      </w:tr>
      <w:tr>
        <w:tc>
          <w:tcPr/>
          <w:p>
            <w:pPr>
              <w:pStyle w:val="Compact"/>
              <w:jc w:val="left"/>
            </w:pPr>
            <w:r>
              <w:t xml:space="preserve">lnSubsidy</w:t>
            </w:r>
          </w:p>
        </w:tc>
        <w:tc>
          <w:tcPr/>
          <w:p>
            <w:pPr>
              <w:pStyle w:val="Compact"/>
              <w:jc w:val="center"/>
            </w:pPr>
            <w:r>
              <w:t xml:space="preserve">0.0437***</w:t>
            </w:r>
          </w:p>
        </w:tc>
        <w:tc>
          <w:tcPr/>
          <w:p>
            <w:pPr>
              <w:pStyle w:val="Compact"/>
              <w:jc w:val="center"/>
            </w:pPr>
            <w:r>
              <w:t xml:space="preserve">0.0431***</w:t>
            </w:r>
          </w:p>
        </w:tc>
        <w:tc>
          <w:tcPr/>
          <w:p>
            <w:pPr>
              <w:pStyle w:val="Compact"/>
              <w:jc w:val="center"/>
            </w:pPr>
            <w:r>
              <w:t xml:space="preserve">0.0723***</w:t>
            </w:r>
          </w:p>
        </w:tc>
        <w:tc>
          <w:tcPr/>
          <w:p>
            <w:pPr>
              <w:pStyle w:val="Compact"/>
              <w:jc w:val="center"/>
            </w:pPr>
            <w:r>
              <w:t xml:space="preserve">0.0725***</w:t>
            </w:r>
          </w:p>
        </w:tc>
      </w:tr>
      <w:tr>
        <w:tc>
          <w:tcPr/>
          <w:p>
            <w:pPr>
              <w:pStyle w:val="Compact"/>
            </w:pPr>
          </w:p>
        </w:tc>
        <w:tc>
          <w:tcPr/>
          <w:p>
            <w:pPr>
              <w:pStyle w:val="Compact"/>
              <w:jc w:val="center"/>
            </w:pPr>
            <w:r>
              <w:t xml:space="preserve">(7.3200)</w:t>
            </w:r>
          </w:p>
        </w:tc>
        <w:tc>
          <w:tcPr/>
          <w:p>
            <w:pPr>
              <w:pStyle w:val="Compact"/>
              <w:jc w:val="center"/>
            </w:pPr>
            <w:r>
              <w:t xml:space="preserve">(7.2297)</w:t>
            </w:r>
          </w:p>
        </w:tc>
        <w:tc>
          <w:tcPr/>
          <w:p>
            <w:pPr>
              <w:pStyle w:val="Compact"/>
              <w:jc w:val="center"/>
            </w:pPr>
            <w:r>
              <w:t xml:space="preserve">(12.5227)</w:t>
            </w:r>
          </w:p>
        </w:tc>
        <w:tc>
          <w:tcPr/>
          <w:p>
            <w:pPr>
              <w:pStyle w:val="Compact"/>
              <w:jc w:val="center"/>
            </w:pPr>
            <w:r>
              <w:t xml:space="preserve">(12.5430)</w:t>
            </w:r>
          </w:p>
        </w:tc>
      </w:tr>
      <w:tr>
        <w:tc>
          <w:tcPr/>
          <w:p>
            <w:pPr>
              <w:pStyle w:val="Compact"/>
              <w:jc w:val="left"/>
            </w:pPr>
            <w:r>
              <w:t xml:space="preserve">Power</w:t>
            </w:r>
          </w:p>
        </w:tc>
        <w:tc>
          <w:tcPr/>
          <w:p>
            <w:pPr>
              <w:pStyle w:val="Compact"/>
              <w:jc w:val="center"/>
            </w:pPr>
            <w:r>
              <w:t xml:space="preserve">—</w:t>
            </w:r>
          </w:p>
        </w:tc>
        <w:tc>
          <w:tcPr/>
          <w:p>
            <w:pPr>
              <w:pStyle w:val="Compact"/>
              <w:jc w:val="center"/>
            </w:pPr>
            <w:r>
              <w:t xml:space="preserve">0.0139</w:t>
            </w:r>
          </w:p>
        </w:tc>
        <w:tc>
          <w:tcPr/>
          <w:p>
            <w:pPr>
              <w:pStyle w:val="Compact"/>
              <w:jc w:val="center"/>
            </w:pPr>
            <w:r>
              <w:t xml:space="preserve">—</w:t>
            </w:r>
          </w:p>
        </w:tc>
        <w:tc>
          <w:tcPr/>
          <w:p>
            <w:pPr>
              <w:pStyle w:val="Compact"/>
              <w:jc w:val="center"/>
            </w:pPr>
            <w:r>
              <w:t xml:space="preserve">-0.0014</w:t>
            </w:r>
          </w:p>
        </w:tc>
      </w:tr>
      <w:tr>
        <w:tc>
          <w:tcPr/>
          <w:p>
            <w:pPr>
              <w:pStyle w:val="Compact"/>
            </w:pPr>
          </w:p>
        </w:tc>
        <w:tc>
          <w:tcPr/>
          <w:p>
            <w:pPr>
              <w:pStyle w:val="Compact"/>
            </w:pPr>
          </w:p>
        </w:tc>
        <w:tc>
          <w:tcPr/>
          <w:p>
            <w:pPr>
              <w:pStyle w:val="Compact"/>
              <w:jc w:val="center"/>
            </w:pPr>
            <w:r>
              <w:t xml:space="preserve">(1.4689)</w:t>
            </w:r>
          </w:p>
        </w:tc>
        <w:tc>
          <w:tcPr/>
          <w:p>
            <w:pPr>
              <w:pStyle w:val="Compact"/>
            </w:pPr>
          </w:p>
        </w:tc>
        <w:tc>
          <w:tcPr/>
          <w:p>
            <w:pPr>
              <w:pStyle w:val="Compact"/>
              <w:jc w:val="center"/>
            </w:pPr>
            <w:r>
              <w:t xml:space="preserve">(-0.2081)</w:t>
            </w:r>
          </w:p>
        </w:tc>
      </w:tr>
      <w:tr>
        <w:tc>
          <w:tcPr/>
          <w:p>
            <w:pPr>
              <w:pStyle w:val="Compact"/>
              <w:jc w:val="left"/>
            </w:pPr>
            <w:r>
              <w:t xml:space="preserve">N</w:t>
            </w:r>
          </w:p>
        </w:tc>
        <w:tc>
          <w:tcPr/>
          <w:p>
            <w:pPr>
              <w:pStyle w:val="Compact"/>
              <w:jc w:val="center"/>
            </w:pPr>
            <w:r>
              <w:t xml:space="preserve">15,623</w:t>
            </w:r>
          </w:p>
        </w:tc>
        <w:tc>
          <w:tcPr/>
          <w:p>
            <w:pPr>
              <w:pStyle w:val="Compact"/>
              <w:jc w:val="center"/>
            </w:pPr>
            <w:r>
              <w:t xml:space="preserve">15,623</w:t>
            </w:r>
          </w:p>
        </w:tc>
        <w:tc>
          <w:tcPr/>
          <w:p>
            <w:pPr>
              <w:pStyle w:val="Compact"/>
              <w:jc w:val="center"/>
            </w:pPr>
            <w:r>
              <w:t xml:space="preserve">25,145</w:t>
            </w:r>
          </w:p>
        </w:tc>
        <w:tc>
          <w:tcPr/>
          <w:p>
            <w:pPr>
              <w:pStyle w:val="Compact"/>
              <w:jc w:val="center"/>
            </w:pPr>
            <w:r>
              <w:t xml:space="preserve">25,145</w:t>
            </w:r>
          </w:p>
        </w:tc>
      </w:tr>
      <w:tr>
        <w:tc>
          <w:tcPr/>
          <w:p>
            <w:pPr>
              <w:pStyle w:val="Compact"/>
              <w:jc w:val="left"/>
            </w:pPr>
            <w:r>
              <w:t xml:space="preserve">R²</w:t>
            </w:r>
          </w:p>
        </w:tc>
        <w:tc>
          <w:tcPr/>
          <w:p>
            <w:pPr>
              <w:pStyle w:val="Compact"/>
              <w:jc w:val="center"/>
            </w:pPr>
            <w:r>
              <w:t xml:space="preserve">0.0716</w:t>
            </w:r>
          </w:p>
        </w:tc>
        <w:tc>
          <w:tcPr/>
          <w:p>
            <w:pPr>
              <w:pStyle w:val="Compact"/>
              <w:jc w:val="center"/>
            </w:pPr>
            <w:r>
              <w:t xml:space="preserve">0.0722</w:t>
            </w:r>
          </w:p>
        </w:tc>
        <w:tc>
          <w:tcPr/>
          <w:p>
            <w:pPr>
              <w:pStyle w:val="Compact"/>
              <w:jc w:val="center"/>
            </w:pPr>
            <w:r>
              <w:t xml:space="preserve">0.0455</w:t>
            </w:r>
          </w:p>
        </w:tc>
        <w:tc>
          <w:tcPr/>
          <w:p>
            <w:pPr>
              <w:pStyle w:val="Compact"/>
              <w:jc w:val="center"/>
            </w:pPr>
            <w:r>
              <w:t xml:space="preserve">0.0455</w:t>
            </w:r>
          </w:p>
        </w:tc>
      </w:tr>
    </w:tbl>
    <w:bookmarkEnd w:id="13"/>
    <w:bookmarkStart w:id="14" w:name="分行业管制"/>
    <w:p>
      <w:pPr>
        <w:pStyle w:val="Heading4"/>
      </w:pPr>
      <w:r>
        <w:t xml:space="preserve">5.4.2 </w:t>
      </w:r>
      <w:r>
        <w:rPr>
          <w:rFonts w:hint="eastAsia"/>
        </w:rPr>
        <w:t xml:space="preserve">分行业管制</w:t>
      </w:r>
    </w:p>
    <w:p>
      <w:pPr>
        <w:pStyle w:val="FirstParagraph"/>
      </w:pPr>
      <w:r>
        <w:rPr>
          <w:rFonts w:hint="eastAsia"/>
        </w:rPr>
        <w:t xml:space="preserve">表</w:t>
      </w:r>
      <w:r>
        <w:t xml:space="preserve"> 5 </w:t>
      </w:r>
      <w:r>
        <w:rPr>
          <w:rFonts w:hint="eastAsia"/>
        </w:rPr>
        <w:t xml:space="preserve">显示，管制行业中</w:t>
      </w:r>
      <w:r>
        <w:t xml:space="preserve"> lnSubsidy </w:t>
      </w:r>
      <w:r>
        <w:rPr>
          <w:rFonts w:hint="eastAsia"/>
        </w:rPr>
        <w:t xml:space="preserve">的系数为</w:t>
      </w:r>
      <w:r>
        <w:t xml:space="preserve"> </w:t>
      </w:r>
      <w:r>
        <w:rPr>
          <w:rFonts w:hint="eastAsia"/>
        </w:rPr>
        <w:t xml:space="preserve">0.0260（p</w:t>
      </w:r>
      <w:r>
        <w:t xml:space="preserve"> &lt; </w:t>
      </w:r>
      <w:r>
        <w:rPr>
          <w:rFonts w:hint="eastAsia"/>
        </w:rPr>
        <w:t xml:space="preserve">0.01），非管制行业中则为</w:t>
      </w:r>
      <w:r>
        <w:t xml:space="preserve"> </w:t>
      </w:r>
      <w:r>
        <w:rPr>
          <w:rFonts w:hint="eastAsia"/>
        </w:rPr>
        <w:t xml:space="preserve">0.0662（p</w:t>
      </w:r>
      <w:r>
        <w:t xml:space="preserve"> &lt; </w:t>
      </w:r>
      <w:r>
        <w:rPr>
          <w:rFonts w:hint="eastAsia"/>
        </w:rPr>
        <w:t xml:space="preserve">0.01）。这说明行业监管显著压缩了财政补贴向高管超额薪酬的传导强度。</w:t>
      </w:r>
    </w:p>
    <w:p>
      <w:pPr>
        <w:pStyle w:val="BodyText"/>
      </w:pPr>
      <w:r>
        <w:rPr>
          <w:rFonts w:hint="eastAsia"/>
          <w:b/>
          <w:bCs/>
        </w:rPr>
        <w:t xml:space="preserve">表</w:t>
      </w:r>
      <w:r>
        <w:rPr>
          <w:b/>
          <w:bCs/>
        </w:rPr>
        <w:t xml:space="preserve"> 5 </w:t>
      </w:r>
      <w:r>
        <w:rPr>
          <w:rFonts w:hint="eastAsia"/>
          <w:b/>
          <w:bCs/>
        </w:rPr>
        <w:t xml:space="preserve">分行业管制回归结果（聚类标准误）</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变量</w:t>
            </w:r>
          </w:p>
        </w:tc>
        <w:tc>
          <w:tcPr/>
          <w:p>
            <w:pPr>
              <w:pStyle w:val="Compact"/>
              <w:jc w:val="center"/>
            </w:pPr>
            <w:r>
              <w:rPr>
                <w:rFonts w:hint="eastAsia"/>
              </w:rPr>
              <w:t xml:space="preserve">管制行业-模型（3）</w:t>
            </w:r>
          </w:p>
        </w:tc>
        <w:tc>
          <w:tcPr/>
          <w:p>
            <w:pPr>
              <w:pStyle w:val="Compact"/>
              <w:jc w:val="center"/>
            </w:pPr>
            <w:r>
              <w:rPr>
                <w:rFonts w:hint="eastAsia"/>
              </w:rPr>
              <w:t xml:space="preserve">管制行业-模型（4）</w:t>
            </w:r>
          </w:p>
        </w:tc>
        <w:tc>
          <w:tcPr/>
          <w:p>
            <w:pPr>
              <w:pStyle w:val="Compact"/>
              <w:jc w:val="center"/>
            </w:pPr>
            <w:r>
              <w:rPr>
                <w:rFonts w:hint="eastAsia"/>
              </w:rPr>
              <w:t xml:space="preserve">非管制行业-模型（3）</w:t>
            </w:r>
          </w:p>
        </w:tc>
        <w:tc>
          <w:tcPr/>
          <w:p>
            <w:pPr>
              <w:pStyle w:val="Compact"/>
              <w:jc w:val="center"/>
            </w:pPr>
            <w:r>
              <w:rPr>
                <w:rFonts w:hint="eastAsia"/>
              </w:rPr>
              <w:t xml:space="preserve">非管制行业-模型（4）</w:t>
            </w:r>
          </w:p>
        </w:tc>
      </w:tr>
      <w:tr>
        <w:tc>
          <w:tcPr/>
          <w:p>
            <w:pPr>
              <w:pStyle w:val="Compact"/>
              <w:jc w:val="left"/>
            </w:pPr>
            <w:r>
              <w:t xml:space="preserve">lnSubsidy</w:t>
            </w:r>
          </w:p>
        </w:tc>
        <w:tc>
          <w:tcPr/>
          <w:p>
            <w:pPr>
              <w:pStyle w:val="Compact"/>
              <w:jc w:val="center"/>
            </w:pPr>
            <w:r>
              <w:t xml:space="preserve">0.0260***</w:t>
            </w:r>
          </w:p>
        </w:tc>
        <w:tc>
          <w:tcPr/>
          <w:p>
            <w:pPr>
              <w:pStyle w:val="Compact"/>
              <w:jc w:val="center"/>
            </w:pPr>
            <w:r>
              <w:t xml:space="preserve">0.0259***</w:t>
            </w:r>
          </w:p>
        </w:tc>
        <w:tc>
          <w:tcPr/>
          <w:p>
            <w:pPr>
              <w:pStyle w:val="Compact"/>
              <w:jc w:val="center"/>
            </w:pPr>
            <w:r>
              <w:t xml:space="preserve">0.0662***</w:t>
            </w:r>
          </w:p>
        </w:tc>
        <w:tc>
          <w:tcPr/>
          <w:p>
            <w:pPr>
              <w:pStyle w:val="Compact"/>
              <w:jc w:val="center"/>
            </w:pPr>
            <w:r>
              <w:t xml:space="preserve">0.0655***</w:t>
            </w:r>
          </w:p>
        </w:tc>
      </w:tr>
      <w:tr>
        <w:tc>
          <w:tcPr/>
          <w:p>
            <w:pPr>
              <w:pStyle w:val="Compact"/>
            </w:pPr>
          </w:p>
        </w:tc>
        <w:tc>
          <w:tcPr/>
          <w:p>
            <w:pPr>
              <w:pStyle w:val="Compact"/>
              <w:jc w:val="center"/>
            </w:pPr>
            <w:r>
              <w:t xml:space="preserve">(3.3291)</w:t>
            </w:r>
          </w:p>
        </w:tc>
        <w:tc>
          <w:tcPr/>
          <w:p>
            <w:pPr>
              <w:pStyle w:val="Compact"/>
              <w:jc w:val="center"/>
            </w:pPr>
            <w:r>
              <w:t xml:space="preserve">(3.3082)</w:t>
            </w:r>
          </w:p>
        </w:tc>
        <w:tc>
          <w:tcPr/>
          <w:p>
            <w:pPr>
              <w:pStyle w:val="Compact"/>
              <w:jc w:val="center"/>
            </w:pPr>
            <w:r>
              <w:t xml:space="preserve">(14.3484)</w:t>
            </w:r>
          </w:p>
        </w:tc>
        <w:tc>
          <w:tcPr/>
          <w:p>
            <w:pPr>
              <w:pStyle w:val="Compact"/>
              <w:jc w:val="center"/>
            </w:pPr>
            <w:r>
              <w:t xml:space="preserve">(14.1262)</w:t>
            </w:r>
          </w:p>
        </w:tc>
      </w:tr>
      <w:tr>
        <w:tc>
          <w:tcPr/>
          <w:p>
            <w:pPr>
              <w:pStyle w:val="Compact"/>
              <w:jc w:val="left"/>
            </w:pPr>
            <w:r>
              <w:t xml:space="preserve">Power</w:t>
            </w:r>
          </w:p>
        </w:tc>
        <w:tc>
          <w:tcPr/>
          <w:p>
            <w:pPr>
              <w:pStyle w:val="Compact"/>
              <w:jc w:val="center"/>
            </w:pPr>
            <w:r>
              <w:t xml:space="preserve">—</w:t>
            </w:r>
          </w:p>
        </w:tc>
        <w:tc>
          <w:tcPr/>
          <w:p>
            <w:pPr>
              <w:pStyle w:val="Compact"/>
              <w:jc w:val="center"/>
            </w:pPr>
            <w:r>
              <w:t xml:space="preserve">0.0017</w:t>
            </w:r>
          </w:p>
        </w:tc>
        <w:tc>
          <w:tcPr/>
          <w:p>
            <w:pPr>
              <w:pStyle w:val="Compact"/>
              <w:jc w:val="center"/>
            </w:pPr>
            <w:r>
              <w:t xml:space="preserve">—</w:t>
            </w:r>
          </w:p>
        </w:tc>
        <w:tc>
          <w:tcPr/>
          <w:p>
            <w:pPr>
              <w:pStyle w:val="Compact"/>
              <w:jc w:val="center"/>
            </w:pPr>
            <w:r>
              <w:t xml:space="preserve">0.0073</w:t>
            </w:r>
          </w:p>
        </w:tc>
      </w:tr>
      <w:tr>
        <w:tc>
          <w:tcPr/>
          <w:p>
            <w:pPr>
              <w:pStyle w:val="Compact"/>
            </w:pPr>
          </w:p>
        </w:tc>
        <w:tc>
          <w:tcPr/>
          <w:p>
            <w:pPr>
              <w:pStyle w:val="Compact"/>
            </w:pPr>
          </w:p>
        </w:tc>
        <w:tc>
          <w:tcPr/>
          <w:p>
            <w:pPr>
              <w:pStyle w:val="Compact"/>
              <w:jc w:val="center"/>
            </w:pPr>
            <w:r>
              <w:t xml:space="preserve">(0.1471)</w:t>
            </w:r>
          </w:p>
        </w:tc>
        <w:tc>
          <w:tcPr/>
          <w:p>
            <w:pPr>
              <w:pStyle w:val="Compact"/>
            </w:pPr>
          </w:p>
        </w:tc>
        <w:tc>
          <w:tcPr/>
          <w:p>
            <w:pPr>
              <w:pStyle w:val="Compact"/>
              <w:jc w:val="center"/>
            </w:pPr>
            <w:r>
              <w:t xml:space="preserve">(1.3245)</w:t>
            </w:r>
          </w:p>
        </w:tc>
      </w:tr>
      <w:tr>
        <w:tc>
          <w:tcPr/>
          <w:p>
            <w:pPr>
              <w:pStyle w:val="Compact"/>
              <w:jc w:val="left"/>
            </w:pPr>
            <w:r>
              <w:t xml:space="preserve">N</w:t>
            </w:r>
          </w:p>
        </w:tc>
        <w:tc>
          <w:tcPr/>
          <w:p>
            <w:pPr>
              <w:pStyle w:val="Compact"/>
              <w:jc w:val="center"/>
            </w:pPr>
            <w:r>
              <w:t xml:space="preserve">7,121</w:t>
            </w:r>
          </w:p>
        </w:tc>
        <w:tc>
          <w:tcPr/>
          <w:p>
            <w:pPr>
              <w:pStyle w:val="Compact"/>
              <w:jc w:val="center"/>
            </w:pPr>
            <w:r>
              <w:t xml:space="preserve">7,121</w:t>
            </w:r>
          </w:p>
        </w:tc>
        <w:tc>
          <w:tcPr/>
          <w:p>
            <w:pPr>
              <w:pStyle w:val="Compact"/>
              <w:jc w:val="center"/>
            </w:pPr>
            <w:r>
              <w:t xml:space="preserve">37,710</w:t>
            </w:r>
          </w:p>
        </w:tc>
        <w:tc>
          <w:tcPr/>
          <w:p>
            <w:pPr>
              <w:pStyle w:val="Compact"/>
              <w:jc w:val="center"/>
            </w:pPr>
            <w:r>
              <w:t xml:space="preserve">37,710</w:t>
            </w:r>
          </w:p>
        </w:tc>
      </w:tr>
      <w:tr>
        <w:tc>
          <w:tcPr/>
          <w:p>
            <w:pPr>
              <w:pStyle w:val="Compact"/>
              <w:jc w:val="left"/>
            </w:pPr>
            <w:r>
              <w:t xml:space="preserve">R²</w:t>
            </w:r>
          </w:p>
        </w:tc>
        <w:tc>
          <w:tcPr/>
          <w:p>
            <w:pPr>
              <w:pStyle w:val="Compact"/>
              <w:jc w:val="center"/>
            </w:pPr>
            <w:r>
              <w:t xml:space="preserve">0.0679</w:t>
            </w:r>
          </w:p>
        </w:tc>
        <w:tc>
          <w:tcPr/>
          <w:p>
            <w:pPr>
              <w:pStyle w:val="Compact"/>
              <w:jc w:val="center"/>
            </w:pPr>
            <w:r>
              <w:t xml:space="preserve">0.0679</w:t>
            </w:r>
          </w:p>
        </w:tc>
        <w:tc>
          <w:tcPr/>
          <w:p>
            <w:pPr>
              <w:pStyle w:val="Compact"/>
              <w:jc w:val="center"/>
            </w:pPr>
            <w:r>
              <w:t xml:space="preserve">0.0397</w:t>
            </w:r>
          </w:p>
        </w:tc>
        <w:tc>
          <w:tcPr/>
          <w:p>
            <w:pPr>
              <w:pStyle w:val="Compact"/>
              <w:jc w:val="center"/>
            </w:pPr>
            <w:r>
              <w:t xml:space="preserve">0.0399</w:t>
            </w:r>
          </w:p>
        </w:tc>
      </w:tr>
    </w:tbl>
    <w:bookmarkEnd w:id="14"/>
    <w:bookmarkStart w:id="15" w:name="央企与地方国企"/>
    <w:p>
      <w:pPr>
        <w:pStyle w:val="Heading4"/>
      </w:pPr>
      <w:r>
        <w:t xml:space="preserve">5.4.3 </w:t>
      </w:r>
      <w:r>
        <w:rPr>
          <w:rFonts w:hint="eastAsia"/>
        </w:rPr>
        <w:t xml:space="preserve">央企与地方国企</w:t>
      </w:r>
    </w:p>
    <w:p>
      <w:pPr>
        <w:pStyle w:val="FirstParagraph"/>
      </w:pPr>
      <w:r>
        <w:rPr>
          <w:rFonts w:hint="eastAsia"/>
        </w:rPr>
        <w:t xml:space="preserve">表</w:t>
      </w:r>
      <w:r>
        <w:t xml:space="preserve"> 6 </w:t>
      </w:r>
      <w:r>
        <w:rPr>
          <w:rFonts w:hint="eastAsia"/>
        </w:rPr>
        <w:t xml:space="preserve">报告了国有企业内部进一步按央企与地方国企划分的结果。央企中</w:t>
      </w:r>
      <w:r>
        <w:t xml:space="preserve"> lnSubsidy </w:t>
      </w:r>
      <w:r>
        <w:rPr>
          <w:rFonts w:hint="eastAsia"/>
        </w:rPr>
        <w:t xml:space="preserve">的系数仅为</w:t>
      </w:r>
      <w:r>
        <w:t xml:space="preserve"> </w:t>
      </w:r>
      <w:r>
        <w:rPr>
          <w:rFonts w:hint="eastAsia"/>
        </w:rPr>
        <w:t xml:space="preserve">0.0205，在</w:t>
      </w:r>
      <w:r>
        <w:t xml:space="preserve"> 10% </w:t>
      </w:r>
      <w:r>
        <w:rPr>
          <w:rFonts w:hint="eastAsia"/>
        </w:rPr>
        <w:t xml:space="preserve">边际水平显著；地方国企则为</w:t>
      </w:r>
      <w:r>
        <w:t xml:space="preserve"> </w:t>
      </w:r>
      <w:r>
        <w:rPr>
          <w:rFonts w:hint="eastAsia"/>
        </w:rPr>
        <w:t xml:space="preserve">0.0438，在</w:t>
      </w:r>
      <w:r>
        <w:t xml:space="preserve"> 1% </w:t>
      </w:r>
      <w:r>
        <w:rPr>
          <w:rFonts w:hint="eastAsia"/>
        </w:rPr>
        <w:t xml:space="preserve">水平显著。更重要的是，地方国企样本中</w:t>
      </w:r>
      <w:r>
        <w:t xml:space="preserve"> Power </w:t>
      </w:r>
      <w:r>
        <w:rPr>
          <w:rFonts w:hint="eastAsia"/>
        </w:rPr>
        <w:t xml:space="preserve">的系数为</w:t>
      </w:r>
      <w:r>
        <w:t xml:space="preserve"> </w:t>
      </w:r>
      <w:r>
        <w:rPr>
          <w:rFonts w:hint="eastAsia"/>
        </w:rPr>
        <w:t xml:space="preserve">0.0262（p</w:t>
      </w:r>
      <w:r>
        <w:t xml:space="preserve"> = </w:t>
      </w:r>
      <w:r>
        <w:rPr>
          <w:rFonts w:hint="eastAsia"/>
        </w:rPr>
        <w:t xml:space="preserve">0.0477），原始</w:t>
      </w:r>
      <w:r>
        <w:t xml:space="preserve"> Sobel p = </w:t>
      </w:r>
      <w:r>
        <w:rPr>
          <w:rFonts w:hint="eastAsia"/>
        </w:rPr>
        <w:t xml:space="preserve">0.0837，呈现边际中介线索；但在产权层内进行</w:t>
      </w:r>
      <w:r>
        <w:t xml:space="preserve"> BH-FDR </w:t>
      </w:r>
      <w:r>
        <w:rPr>
          <w:rFonts w:hint="eastAsia"/>
        </w:rPr>
        <w:t xml:space="preserve">校正后，调整</w:t>
      </w:r>
      <w:r>
        <w:t xml:space="preserve"> p </w:t>
      </w:r>
      <w:r>
        <w:rPr>
          <w:rFonts w:hint="eastAsia"/>
        </w:rPr>
        <w:t xml:space="preserve">值上升至</w:t>
      </w:r>
      <w:r>
        <w:t xml:space="preserve"> </w:t>
      </w:r>
      <w:r>
        <w:rPr>
          <w:rFonts w:hint="eastAsia"/>
        </w:rPr>
        <w:t xml:space="preserve">0.3347，且</w:t>
      </w:r>
      <w:r>
        <w:t xml:space="preserve"> cluster bootstrap 95% </w:t>
      </w:r>
      <w:r>
        <w:rPr>
          <w:rFonts w:hint="eastAsia"/>
        </w:rPr>
        <w:t xml:space="preserve">置信区间为</w:t>
      </w:r>
      <w:r>
        <w:t xml:space="preserve"> [-0.000016, </w:t>
      </w:r>
      <w:r>
        <w:rPr>
          <w:rFonts w:hint="eastAsia"/>
        </w:rPr>
        <w:t xml:space="preserve">0.003164]，仍跨越</w:t>
      </w:r>
      <w:r>
        <w:t xml:space="preserve"> </w:t>
      </w:r>
      <w:r>
        <w:rPr>
          <w:rFonts w:hint="eastAsia"/>
        </w:rPr>
        <w:t xml:space="preserve">0。因此，这一结果更适合表述为</w:t>
      </w:r>
      <w:r>
        <w:rPr>
          <w:rFonts w:hint="eastAsia"/>
          <w:b/>
          <w:bCs/>
        </w:rPr>
        <w:t xml:space="preserve">仅有原始</w:t>
      </w:r>
      <w:r>
        <w:rPr>
          <w:b/>
          <w:bCs/>
        </w:rPr>
        <w:t xml:space="preserve"> Sobel </w:t>
      </w:r>
      <w:r>
        <w:rPr>
          <w:rFonts w:hint="eastAsia"/>
          <w:b/>
          <w:bCs/>
        </w:rPr>
        <w:t xml:space="preserve">的边际证据，尚不足以构成稳健中介结论</w:t>
      </w:r>
      <w:r>
        <w:t xml:space="preserve">。</w:t>
      </w:r>
    </w:p>
    <w:p>
      <w:pPr>
        <w:pStyle w:val="BodyText"/>
      </w:pPr>
      <w:r>
        <w:rPr>
          <w:rFonts w:hint="eastAsia"/>
          <w:b/>
          <w:bCs/>
        </w:rPr>
        <w:t xml:space="preserve">表</w:t>
      </w:r>
      <w:r>
        <w:rPr>
          <w:b/>
          <w:bCs/>
        </w:rPr>
        <w:t xml:space="preserve"> 6 </w:t>
      </w:r>
      <w:r>
        <w:rPr>
          <w:rFonts w:hint="eastAsia"/>
          <w:b/>
          <w:bCs/>
        </w:rPr>
        <w:t xml:space="preserve">央企与地方国企回归结果（聚类标准误）</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变量</w:t>
            </w:r>
          </w:p>
        </w:tc>
        <w:tc>
          <w:tcPr/>
          <w:p>
            <w:pPr>
              <w:pStyle w:val="Compact"/>
              <w:jc w:val="center"/>
            </w:pPr>
            <w:r>
              <w:rPr>
                <w:rFonts w:hint="eastAsia"/>
              </w:rPr>
              <w:t xml:space="preserve">央企-模型（3）</w:t>
            </w:r>
          </w:p>
        </w:tc>
        <w:tc>
          <w:tcPr/>
          <w:p>
            <w:pPr>
              <w:pStyle w:val="Compact"/>
              <w:jc w:val="center"/>
            </w:pPr>
            <w:r>
              <w:rPr>
                <w:rFonts w:hint="eastAsia"/>
              </w:rPr>
              <w:t xml:space="preserve">央企-模型（4）</w:t>
            </w:r>
          </w:p>
        </w:tc>
        <w:tc>
          <w:tcPr/>
          <w:p>
            <w:pPr>
              <w:pStyle w:val="Compact"/>
              <w:jc w:val="center"/>
            </w:pPr>
            <w:r>
              <w:rPr>
                <w:rFonts w:hint="eastAsia"/>
              </w:rPr>
              <w:t xml:space="preserve">地方国企-模型（3）</w:t>
            </w:r>
          </w:p>
        </w:tc>
        <w:tc>
          <w:tcPr/>
          <w:p>
            <w:pPr>
              <w:pStyle w:val="Compact"/>
              <w:jc w:val="center"/>
            </w:pPr>
            <w:r>
              <w:rPr>
                <w:rFonts w:hint="eastAsia"/>
              </w:rPr>
              <w:t xml:space="preserve">地方国企-模型（4）</w:t>
            </w:r>
          </w:p>
        </w:tc>
      </w:tr>
      <w:tr>
        <w:tc>
          <w:tcPr/>
          <w:p>
            <w:pPr>
              <w:pStyle w:val="Compact"/>
              <w:jc w:val="left"/>
            </w:pPr>
            <w:r>
              <w:t xml:space="preserve">lnSubsidy</w:t>
            </w:r>
          </w:p>
        </w:tc>
        <w:tc>
          <w:tcPr/>
          <w:p>
            <w:pPr>
              <w:pStyle w:val="Compact"/>
              <w:jc w:val="center"/>
            </w:pPr>
            <w:r>
              <w:t xml:space="preserve">0.0205*</w:t>
            </w:r>
          </w:p>
        </w:tc>
        <w:tc>
          <w:tcPr/>
          <w:p>
            <w:pPr>
              <w:pStyle w:val="Compact"/>
              <w:jc w:val="center"/>
            </w:pPr>
            <w:r>
              <w:t xml:space="preserve">0.0204*</w:t>
            </w:r>
          </w:p>
        </w:tc>
        <w:tc>
          <w:tcPr/>
          <w:p>
            <w:pPr>
              <w:pStyle w:val="Compact"/>
              <w:jc w:val="center"/>
            </w:pPr>
            <w:r>
              <w:t xml:space="preserve">0.0438***</w:t>
            </w:r>
          </w:p>
        </w:tc>
        <w:tc>
          <w:tcPr/>
          <w:p>
            <w:pPr>
              <w:pStyle w:val="Compact"/>
              <w:jc w:val="center"/>
            </w:pPr>
            <w:r>
              <w:t xml:space="preserve">0.0424***</w:t>
            </w:r>
          </w:p>
        </w:tc>
      </w:tr>
      <w:tr>
        <w:tc>
          <w:tcPr/>
          <w:p>
            <w:pPr>
              <w:pStyle w:val="Compact"/>
            </w:pPr>
          </w:p>
        </w:tc>
        <w:tc>
          <w:tcPr/>
          <w:p>
            <w:pPr>
              <w:pStyle w:val="Compact"/>
              <w:jc w:val="center"/>
            </w:pPr>
            <w:r>
              <w:t xml:space="preserve">(1.9537)</w:t>
            </w:r>
          </w:p>
        </w:tc>
        <w:tc>
          <w:tcPr/>
          <w:p>
            <w:pPr>
              <w:pStyle w:val="Compact"/>
              <w:jc w:val="center"/>
            </w:pPr>
            <w:r>
              <w:t xml:space="preserve">(1.9394)</w:t>
            </w:r>
          </w:p>
        </w:tc>
        <w:tc>
          <w:tcPr/>
          <w:p>
            <w:pPr>
              <w:pStyle w:val="Compact"/>
              <w:jc w:val="center"/>
            </w:pPr>
            <w:r>
              <w:t xml:space="preserve">(5.5125)</w:t>
            </w:r>
          </w:p>
        </w:tc>
        <w:tc>
          <w:tcPr/>
          <w:p>
            <w:pPr>
              <w:pStyle w:val="Compact"/>
              <w:jc w:val="center"/>
            </w:pPr>
            <w:r>
              <w:t xml:space="preserve">(5.3672)</w:t>
            </w:r>
          </w:p>
        </w:tc>
      </w:tr>
      <w:tr>
        <w:tc>
          <w:tcPr/>
          <w:p>
            <w:pPr>
              <w:pStyle w:val="Compact"/>
              <w:jc w:val="left"/>
            </w:pPr>
            <w:r>
              <w:t xml:space="preserve">Power</w:t>
            </w:r>
          </w:p>
        </w:tc>
        <w:tc>
          <w:tcPr/>
          <w:p>
            <w:pPr>
              <w:pStyle w:val="Compact"/>
              <w:jc w:val="center"/>
            </w:pPr>
            <w:r>
              <w:t xml:space="preserve">—</w:t>
            </w:r>
          </w:p>
        </w:tc>
        <w:tc>
          <w:tcPr/>
          <w:p>
            <w:pPr>
              <w:pStyle w:val="Compact"/>
              <w:jc w:val="center"/>
            </w:pPr>
            <w:r>
              <w:t xml:space="preserve">0.0284*</w:t>
            </w:r>
          </w:p>
        </w:tc>
        <w:tc>
          <w:tcPr/>
          <w:p>
            <w:pPr>
              <w:pStyle w:val="Compact"/>
              <w:jc w:val="center"/>
            </w:pPr>
            <w:r>
              <w:t xml:space="preserve">—</w:t>
            </w:r>
          </w:p>
        </w:tc>
        <w:tc>
          <w:tcPr/>
          <w:p>
            <w:pPr>
              <w:pStyle w:val="Compact"/>
              <w:jc w:val="center"/>
            </w:pPr>
            <w:r>
              <w:t xml:space="preserve">0.0262**</w:t>
            </w:r>
          </w:p>
        </w:tc>
      </w:tr>
      <w:tr>
        <w:tc>
          <w:tcPr/>
          <w:p>
            <w:pPr>
              <w:pStyle w:val="Compact"/>
            </w:pPr>
          </w:p>
        </w:tc>
        <w:tc>
          <w:tcPr/>
          <w:p>
            <w:pPr>
              <w:pStyle w:val="Compact"/>
            </w:pPr>
          </w:p>
        </w:tc>
        <w:tc>
          <w:tcPr/>
          <w:p>
            <w:pPr>
              <w:pStyle w:val="Compact"/>
              <w:jc w:val="center"/>
            </w:pPr>
            <w:r>
              <w:t xml:space="preserve">(1.8566)</w:t>
            </w:r>
          </w:p>
        </w:tc>
        <w:tc>
          <w:tcPr/>
          <w:p>
            <w:pPr>
              <w:pStyle w:val="Compact"/>
            </w:pPr>
          </w:p>
        </w:tc>
        <w:tc>
          <w:tcPr/>
          <w:p>
            <w:pPr>
              <w:pStyle w:val="Compact"/>
              <w:jc w:val="center"/>
            </w:pPr>
            <w:r>
              <w:t xml:space="preserve">(1.9800)</w:t>
            </w:r>
          </w:p>
        </w:tc>
      </w:tr>
      <w:tr>
        <w:tc>
          <w:tcPr/>
          <w:p>
            <w:pPr>
              <w:pStyle w:val="Compact"/>
              <w:jc w:val="left"/>
            </w:pPr>
            <w:r>
              <w:t xml:space="preserve">N</w:t>
            </w:r>
          </w:p>
        </w:tc>
        <w:tc>
          <w:tcPr/>
          <w:p>
            <w:pPr>
              <w:pStyle w:val="Compact"/>
              <w:jc w:val="center"/>
            </w:pPr>
            <w:r>
              <w:t xml:space="preserve">3,605</w:t>
            </w:r>
          </w:p>
        </w:tc>
        <w:tc>
          <w:tcPr/>
          <w:p>
            <w:pPr>
              <w:pStyle w:val="Compact"/>
              <w:jc w:val="center"/>
            </w:pPr>
            <w:r>
              <w:t xml:space="preserve">3,605</w:t>
            </w:r>
          </w:p>
        </w:tc>
        <w:tc>
          <w:tcPr/>
          <w:p>
            <w:pPr>
              <w:pStyle w:val="Compact"/>
              <w:jc w:val="center"/>
            </w:pPr>
            <w:r>
              <w:t xml:space="preserve">7,901</w:t>
            </w:r>
          </w:p>
        </w:tc>
        <w:tc>
          <w:tcPr/>
          <w:p>
            <w:pPr>
              <w:pStyle w:val="Compact"/>
              <w:jc w:val="center"/>
            </w:pPr>
            <w:r>
              <w:t xml:space="preserve">7,901</w:t>
            </w:r>
          </w:p>
        </w:tc>
      </w:tr>
      <w:tr>
        <w:tc>
          <w:tcPr/>
          <w:p>
            <w:pPr>
              <w:pStyle w:val="Compact"/>
              <w:jc w:val="left"/>
            </w:pPr>
            <w:r>
              <w:t xml:space="preserve">R²</w:t>
            </w:r>
          </w:p>
        </w:tc>
        <w:tc>
          <w:tcPr/>
          <w:p>
            <w:pPr>
              <w:pStyle w:val="Compact"/>
              <w:jc w:val="center"/>
            </w:pPr>
            <w:r>
              <w:t xml:space="preserve">0.1087</w:t>
            </w:r>
          </w:p>
        </w:tc>
        <w:tc>
          <w:tcPr/>
          <w:p>
            <w:pPr>
              <w:pStyle w:val="Compact"/>
              <w:jc w:val="center"/>
            </w:pPr>
            <w:r>
              <w:t xml:space="preserve">0.1118</w:t>
            </w:r>
          </w:p>
        </w:tc>
        <w:tc>
          <w:tcPr/>
          <w:p>
            <w:pPr>
              <w:pStyle w:val="Compact"/>
              <w:jc w:val="center"/>
            </w:pPr>
            <w:r>
              <w:t xml:space="preserve">0.1085</w:t>
            </w:r>
          </w:p>
        </w:tc>
        <w:tc>
          <w:tcPr/>
          <w:p>
            <w:pPr>
              <w:pStyle w:val="Compact"/>
              <w:jc w:val="center"/>
            </w:pPr>
            <w:r>
              <w:t xml:space="preserve">0.1106</w:t>
            </w:r>
          </w:p>
        </w:tc>
      </w:tr>
    </w:tbl>
    <w:bookmarkEnd w:id="15"/>
    <w:bookmarkStart w:id="16" w:name="分组中介效应汇总"/>
    <w:p>
      <w:pPr>
        <w:pStyle w:val="Heading4"/>
      </w:pPr>
      <w:r>
        <w:t xml:space="preserve">5.4.4 </w:t>
      </w:r>
      <w:r>
        <w:rPr>
          <w:rFonts w:hint="eastAsia"/>
        </w:rPr>
        <w:t xml:space="preserve">分组中介效应汇总</w:t>
      </w:r>
    </w:p>
    <w:p>
      <w:pPr>
        <w:pStyle w:val="FirstParagraph"/>
      </w:pPr>
      <w:r>
        <w:rPr>
          <w:rFonts w:hint="eastAsia"/>
        </w:rPr>
        <w:t xml:space="preserve">在产权直分之外，本文进一步按照地区、时期和交互分组进行补充分组中介检验。出于学术严谨性考虑，分组结果不再仅以原始</w:t>
      </w:r>
      <w:r>
        <w:t xml:space="preserve"> Sobel </w:t>
      </w:r>
      <w:r>
        <w:rPr>
          <w:rFonts w:hint="eastAsia"/>
        </w:rPr>
        <w:t xml:space="preserve">显著性判断，而是统一报告三层证据：原始</w:t>
      </w:r>
      <w:r>
        <w:t xml:space="preserve"> </w:t>
      </w:r>
      <w:r>
        <w:rPr>
          <w:rFonts w:hint="eastAsia"/>
        </w:rPr>
        <w:t xml:space="preserve">Sobel、层内</w:t>
      </w:r>
      <w:r>
        <w:t xml:space="preserve"> BH-FDR </w:t>
      </w:r>
      <w:r>
        <w:rPr>
          <w:rFonts w:hint="eastAsia"/>
        </w:rPr>
        <w:t xml:space="preserve">校正，以及对原始</w:t>
      </w:r>
      <w:r>
        <w:t xml:space="preserve"> Sobel p &lt; 0.10 </w:t>
      </w:r>
      <w:r>
        <w:rPr>
          <w:rFonts w:hint="eastAsia"/>
        </w:rPr>
        <w:t xml:space="preserve">的组实施公司层面</w:t>
      </w:r>
      <w:r>
        <w:t xml:space="preserve"> cluster </w:t>
      </w:r>
      <w:r>
        <w:rPr>
          <w:rFonts w:hint="eastAsia"/>
        </w:rPr>
        <w:t xml:space="preserve">bootstrap（300</w:t>
      </w:r>
      <w:r>
        <w:t xml:space="preserve"> </w:t>
      </w:r>
      <w:r>
        <w:rPr>
          <w:rFonts w:hint="eastAsia"/>
        </w:rPr>
        <w:t xml:space="preserve">次）。结果见表</w:t>
      </w:r>
      <w:r>
        <w:t xml:space="preserve"> 6A。</w:t>
      </w:r>
    </w:p>
    <w:p>
      <w:pPr>
        <w:pStyle w:val="BodyText"/>
      </w:pPr>
      <w:r>
        <w:rPr>
          <w:rFonts w:hint="eastAsia"/>
        </w:rPr>
        <w:t xml:space="preserve">从原始</w:t>
      </w:r>
      <w:r>
        <w:t xml:space="preserve"> Sobel </w:t>
      </w:r>
      <w:r>
        <w:rPr>
          <w:rFonts w:hint="eastAsia"/>
        </w:rPr>
        <w:t xml:space="preserve">看，</w:t>
      </w:r>
      <w:r>
        <w:rPr>
          <w:rStyle w:val="VerbatimChar"/>
          <w:rFonts w:hint="eastAsia"/>
        </w:rPr>
        <w:t xml:space="preserve">东部</w:t>
      </w:r>
      <w:r>
        <w:t xml:space="preserve">、</w:t>
      </w:r>
      <w:r>
        <w:rPr>
          <w:rStyle w:val="VerbatimChar"/>
        </w:rPr>
        <w:t xml:space="preserve">2003–2012</w:t>
      </w:r>
      <w:r>
        <w:t xml:space="preserve">、</w:t>
      </w:r>
      <w:r>
        <w:rPr>
          <w:rStyle w:val="VerbatimChar"/>
          <w:rFonts w:hint="eastAsia"/>
        </w:rPr>
        <w:t xml:space="preserve">地方国企×东部</w:t>
      </w:r>
      <w:r>
        <w:t xml:space="preserve"> </w:t>
      </w:r>
      <w:r>
        <w:rPr>
          <w:rFonts w:hint="eastAsia"/>
        </w:rPr>
        <w:t xml:space="preserve">三组达到</w:t>
      </w:r>
      <w:r>
        <w:t xml:space="preserve"> 5% </w:t>
      </w:r>
      <w:r>
        <w:rPr>
          <w:rFonts w:hint="eastAsia"/>
        </w:rPr>
        <w:t xml:space="preserve">显著，</w:t>
      </w:r>
      <w:r>
        <w:rPr>
          <w:rStyle w:val="VerbatimChar"/>
          <w:rFonts w:hint="eastAsia"/>
        </w:rPr>
        <w:t xml:space="preserve">国有×东部</w:t>
      </w:r>
      <w:r>
        <w:t xml:space="preserve">、</w:t>
      </w:r>
      <w:r>
        <w:rPr>
          <w:rStyle w:val="VerbatimChar"/>
          <w:rFonts w:hint="eastAsia"/>
        </w:rPr>
        <w:t xml:space="preserve">地方国企</w:t>
      </w:r>
      <w:r>
        <w:t xml:space="preserve">、</w:t>
      </w:r>
      <w:r>
        <w:rPr>
          <w:rStyle w:val="VerbatimChar"/>
          <w:rFonts w:hint="eastAsia"/>
        </w:rPr>
        <w:t xml:space="preserve">地方国企×后期</w:t>
      </w:r>
      <w:r>
        <w:t xml:space="preserve"> </w:t>
      </w:r>
      <w:r>
        <w:rPr>
          <w:rFonts w:hint="eastAsia"/>
        </w:rPr>
        <w:t xml:space="preserve">达到</w:t>
      </w:r>
      <w:r>
        <w:t xml:space="preserve"> 10% </w:t>
      </w:r>
      <w:r>
        <w:rPr>
          <w:rFonts w:hint="eastAsia"/>
        </w:rPr>
        <w:t xml:space="preserve">边际显著。进一步在“补充分组”层内进行</w:t>
      </w:r>
      <w:r>
        <w:t xml:space="preserve"> BH-FDR </w:t>
      </w:r>
      <w:r>
        <w:rPr>
          <w:rFonts w:hint="eastAsia"/>
        </w:rPr>
        <w:t xml:space="preserve">校正后，</w:t>
      </w:r>
      <w:r>
        <w:rPr>
          <w:rStyle w:val="VerbatimChar"/>
          <w:rFonts w:hint="eastAsia"/>
        </w:rPr>
        <w:t xml:space="preserve">东部</w:t>
      </w:r>
      <w:r>
        <w:t xml:space="preserve">、</w:t>
      </w:r>
      <w:r>
        <w:rPr>
          <w:rStyle w:val="VerbatimChar"/>
        </w:rPr>
        <w:t xml:space="preserve">2003–2012</w:t>
      </w:r>
      <w:r>
        <w:t xml:space="preserve">、</w:t>
      </w:r>
      <w:r>
        <w:rPr>
          <w:rStyle w:val="VerbatimChar"/>
          <w:rFonts w:hint="eastAsia"/>
        </w:rPr>
        <w:t xml:space="preserve">国有×东部</w:t>
      </w:r>
      <w:r>
        <w:t xml:space="preserve"> </w:t>
      </w:r>
      <w:r>
        <w:rPr>
          <w:rFonts w:hint="eastAsia"/>
        </w:rPr>
        <w:t xml:space="preserve">和</w:t>
      </w:r>
      <w:r>
        <w:t xml:space="preserve"> </w:t>
      </w:r>
      <w:r>
        <w:rPr>
          <w:rStyle w:val="VerbatimChar"/>
          <w:rFonts w:hint="eastAsia"/>
        </w:rPr>
        <w:t xml:space="preserve">地方国企×东部</w:t>
      </w:r>
      <w:r>
        <w:t xml:space="preserve"> </w:t>
      </w:r>
      <w:r>
        <w:rPr>
          <w:rFonts w:hint="eastAsia"/>
        </w:rPr>
        <w:t xml:space="preserve">的调整后</w:t>
      </w:r>
      <w:r>
        <w:t xml:space="preserve"> p </w:t>
      </w:r>
      <w:r>
        <w:rPr>
          <w:rFonts w:hint="eastAsia"/>
        </w:rPr>
        <w:t xml:space="preserve">值分别为</w:t>
      </w:r>
      <w:r>
        <w:t xml:space="preserve"> 0.0714、0.0714、0.0880 </w:t>
      </w:r>
      <w:r>
        <w:rPr>
          <w:rFonts w:hint="eastAsia"/>
        </w:rPr>
        <w:t xml:space="preserve">和</w:t>
      </w:r>
      <w:r>
        <w:t xml:space="preserve"> </w:t>
      </w:r>
      <w:r>
        <w:rPr>
          <w:rFonts w:hint="eastAsia"/>
        </w:rPr>
        <w:t xml:space="preserve">0.0867，保留为</w:t>
      </w:r>
      <w:r>
        <w:t xml:space="preserve"> 10% </w:t>
      </w:r>
      <w:r>
        <w:rPr>
          <w:rFonts w:hint="eastAsia"/>
        </w:rPr>
        <w:t xml:space="preserve">水平的边际证据；</w:t>
      </w:r>
      <w:r>
        <w:rPr>
          <w:rStyle w:val="VerbatimChar"/>
          <w:rFonts w:hint="eastAsia"/>
        </w:rPr>
        <w:t xml:space="preserve">地方国企</w:t>
      </w:r>
      <w:r>
        <w:t xml:space="preserve"> </w:t>
      </w:r>
      <w:r>
        <w:rPr>
          <w:rFonts w:hint="eastAsia"/>
        </w:rPr>
        <w:t xml:space="preserve">与</w:t>
      </w:r>
      <w:r>
        <w:t xml:space="preserve"> </w:t>
      </w:r>
      <w:r>
        <w:rPr>
          <w:rStyle w:val="VerbatimChar"/>
          <w:rFonts w:hint="eastAsia"/>
        </w:rPr>
        <w:t xml:space="preserve">地方国企×后期</w:t>
      </w:r>
      <w:r>
        <w:t xml:space="preserve"> </w:t>
      </w:r>
      <w:r>
        <w:rPr>
          <w:rFonts w:hint="eastAsia"/>
        </w:rPr>
        <w:t xml:space="preserve">在对应层级下不再显著。再结合</w:t>
      </w:r>
      <w:r>
        <w:t xml:space="preserve"> cluster </w:t>
      </w:r>
      <w:r>
        <w:rPr>
          <w:rFonts w:hint="eastAsia"/>
        </w:rPr>
        <w:t xml:space="preserve">bootstrap，可以看到</w:t>
      </w:r>
      <w:r>
        <w:t xml:space="preserve"> </w:t>
      </w:r>
      <w:r>
        <w:rPr>
          <w:rStyle w:val="VerbatimChar"/>
          <w:rFonts w:hint="eastAsia"/>
        </w:rPr>
        <w:t xml:space="preserve">东部</w:t>
      </w:r>
      <w:r>
        <w:t xml:space="preserve">、</w:t>
      </w:r>
      <w:r>
        <w:rPr>
          <w:rStyle w:val="VerbatimChar"/>
        </w:rPr>
        <w:t xml:space="preserve">2003–2012</w:t>
      </w:r>
      <w:r>
        <w:t xml:space="preserve">、</w:t>
      </w:r>
      <w:r>
        <w:rPr>
          <w:rStyle w:val="VerbatimChar"/>
          <w:rFonts w:hint="eastAsia"/>
        </w:rPr>
        <w:t xml:space="preserve">国有×东部</w:t>
      </w:r>
      <w:r>
        <w:t xml:space="preserve"> </w:t>
      </w:r>
      <w:r>
        <w:rPr>
          <w:rFonts w:hint="eastAsia"/>
        </w:rPr>
        <w:t xml:space="preserve">和</w:t>
      </w:r>
      <w:r>
        <w:t xml:space="preserve"> </w:t>
      </w:r>
      <w:r>
        <w:rPr>
          <w:rStyle w:val="VerbatimChar"/>
          <w:rFonts w:hint="eastAsia"/>
        </w:rPr>
        <w:t xml:space="preserve">地方国企×东部</w:t>
      </w:r>
      <w:r>
        <w:t xml:space="preserve"> </w:t>
      </w:r>
      <w:r>
        <w:rPr>
          <w:rFonts w:hint="eastAsia"/>
        </w:rPr>
        <w:t xml:space="preserve">的</w:t>
      </w:r>
      <w:r>
        <w:t xml:space="preserve"> 95% </w:t>
      </w:r>
      <w:r>
        <w:rPr>
          <w:rFonts w:hint="eastAsia"/>
        </w:rPr>
        <w:t xml:space="preserve">置信区间均不含</w:t>
      </w:r>
      <w:r>
        <w:t xml:space="preserve"> </w:t>
      </w:r>
      <w:r>
        <w:rPr>
          <w:rFonts w:hint="eastAsia"/>
        </w:rPr>
        <w:t xml:space="preserve">0，而</w:t>
      </w:r>
      <w:r>
        <w:t xml:space="preserve"> </w:t>
      </w:r>
      <w:r>
        <w:rPr>
          <w:rStyle w:val="VerbatimChar"/>
          <w:rFonts w:hint="eastAsia"/>
        </w:rPr>
        <w:t xml:space="preserve">地方国企</w:t>
      </w:r>
      <w:r>
        <w:t xml:space="preserve"> </w:t>
      </w:r>
      <w:r>
        <w:rPr>
          <w:rFonts w:hint="eastAsia"/>
        </w:rPr>
        <w:t xml:space="preserve">与</w:t>
      </w:r>
      <w:r>
        <w:t xml:space="preserve"> </w:t>
      </w:r>
      <w:r>
        <w:rPr>
          <w:rStyle w:val="VerbatimChar"/>
          <w:rFonts w:hint="eastAsia"/>
        </w:rPr>
        <w:t xml:space="preserve">地方国企×后期</w:t>
      </w:r>
      <w:r>
        <w:t xml:space="preserve"> </w:t>
      </w:r>
      <w:r>
        <w:rPr>
          <w:rFonts w:hint="eastAsia"/>
        </w:rPr>
        <w:t xml:space="preserve">的</w:t>
      </w:r>
      <w:r>
        <w:t xml:space="preserve"> 95% </w:t>
      </w:r>
      <w:r>
        <w:rPr>
          <w:rFonts w:hint="eastAsia"/>
        </w:rPr>
        <w:t xml:space="preserve">置信区间仍跨越</w:t>
      </w:r>
      <w:r>
        <w:t xml:space="preserve"> 0。</w:t>
      </w:r>
    </w:p>
    <w:p>
      <w:pPr>
        <w:pStyle w:val="BodyText"/>
      </w:pPr>
      <w:r>
        <w:rPr>
          <w:rFonts w:hint="eastAsia"/>
        </w:rPr>
        <w:t xml:space="preserve">因此，更稳妥的结论是：管理层权力的中介机制并不在全部样本中普遍成立，但在东部、样本前期以及部分东部国企情境中，存在</w:t>
      </w:r>
      <w:r>
        <w:rPr>
          <w:rFonts w:hint="eastAsia"/>
          <w:b/>
          <w:bCs/>
        </w:rPr>
        <w:t xml:space="preserve">探索性稳健支持</w:t>
      </w:r>
      <w:r>
        <w:rPr>
          <w:rFonts w:hint="eastAsia"/>
        </w:rPr>
        <w:t xml:space="preserve">，说明这一机制具有明显的制度与情境依赖性。</w:t>
      </w:r>
    </w:p>
    <w:p>
      <w:pPr>
        <w:pStyle w:val="BodyText"/>
      </w:pPr>
      <w:r>
        <w:rPr>
          <w:rFonts w:hint="eastAsia"/>
          <w:b/>
          <w:bCs/>
        </w:rPr>
        <w:t xml:space="preserve">表</w:t>
      </w:r>
      <w:r>
        <w:rPr>
          <w:b/>
          <w:bCs/>
        </w:rPr>
        <w:t xml:space="preserve"> 6A </w:t>
      </w:r>
      <w:r>
        <w:rPr>
          <w:rFonts w:hint="eastAsia"/>
          <w:b/>
          <w:bCs/>
        </w:rPr>
        <w:t xml:space="preserve">分组中介效应汇总</w:t>
      </w:r>
    </w:p>
    <w:tbl>
      <w:tblPr>
        <w:tblStyle w:val="Table"/>
        <w:tblW w:type="pct" w:w="5000"/>
        <w:tblLayout w:type="fixed"/>
        <w:tblLook w:firstRow="1" w:lastRow="0" w:firstColumn="0" w:lastColumn="0" w:noHBand="0" w:noVBand="0" w:val="0020"/>
      </w:tblPr>
      <w:tblGrid>
        <w:gridCol w:w="754"/>
        <w:gridCol w:w="754"/>
        <w:gridCol w:w="942"/>
        <w:gridCol w:w="942"/>
        <w:gridCol w:w="942"/>
        <w:gridCol w:w="942"/>
        <w:gridCol w:w="942"/>
        <w:gridCol w:w="942"/>
        <w:gridCol w:w="754"/>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分组</w:t>
            </w:r>
          </w:p>
        </w:tc>
        <w:tc>
          <w:tcPr/>
          <w:p>
            <w:pPr>
              <w:pStyle w:val="Compact"/>
              <w:jc w:val="center"/>
            </w:pPr>
            <w:r>
              <w:t xml:space="preserve">N</w:t>
            </w:r>
          </w:p>
        </w:tc>
        <w:tc>
          <w:tcPr/>
          <w:p>
            <w:pPr>
              <w:pStyle w:val="Compact"/>
              <w:jc w:val="center"/>
            </w:pPr>
            <w:r>
              <w:rPr>
                <w:rFonts w:hint="eastAsia"/>
              </w:rPr>
              <w:t xml:space="preserve">路径</w:t>
            </w:r>
            <w:r>
              <w:t xml:space="preserve"> a</w:t>
            </w:r>
          </w:p>
        </w:tc>
        <w:tc>
          <w:tcPr/>
          <w:p>
            <w:pPr>
              <w:pStyle w:val="Compact"/>
              <w:jc w:val="center"/>
            </w:pPr>
            <w:r>
              <w:rPr>
                <w:rFonts w:hint="eastAsia"/>
              </w:rPr>
              <w:t xml:space="preserve">路径</w:t>
            </w:r>
            <w:r>
              <w:t xml:space="preserve"> b</w:t>
            </w:r>
          </w:p>
        </w:tc>
        <w:tc>
          <w:tcPr/>
          <w:p>
            <w:pPr>
              <w:pStyle w:val="Compact"/>
              <w:jc w:val="center"/>
            </w:pPr>
            <w:r>
              <w:rPr>
                <w:rFonts w:hint="eastAsia"/>
              </w:rPr>
              <w:t xml:space="preserve">原始</w:t>
            </w:r>
            <w:r>
              <w:t xml:space="preserve"> Sobel p</w:t>
            </w:r>
          </w:p>
        </w:tc>
        <w:tc>
          <w:tcPr/>
          <w:p>
            <w:pPr>
              <w:pStyle w:val="Compact"/>
              <w:jc w:val="center"/>
            </w:pPr>
            <w:r>
              <w:t xml:space="preserve">FDR p</w:t>
            </w:r>
          </w:p>
        </w:tc>
        <w:tc>
          <w:tcPr/>
          <w:p>
            <w:pPr>
              <w:pStyle w:val="Compact"/>
              <w:jc w:val="center"/>
            </w:pPr>
            <w:r>
              <w:t xml:space="preserve">Bootstrap 95%CI</w:t>
            </w:r>
          </w:p>
        </w:tc>
        <w:tc>
          <w:tcPr/>
          <w:p>
            <w:pPr>
              <w:pStyle w:val="Compact"/>
              <w:jc w:val="left"/>
            </w:pPr>
            <w:r>
              <w:rPr>
                <w:rFonts w:hint="eastAsia"/>
              </w:rPr>
              <w:t xml:space="preserve">严格口径</w:t>
            </w:r>
          </w:p>
        </w:tc>
      </w:tr>
      <w:tr>
        <w:tc>
          <w:tcPr/>
          <w:p>
            <w:pPr>
              <w:pStyle w:val="Compact"/>
              <w:jc w:val="left"/>
            </w:pPr>
            <w:r>
              <w:rPr>
                <w:rFonts w:hint="eastAsia"/>
              </w:rPr>
              <w:t xml:space="preserve">产权直分</w:t>
            </w:r>
          </w:p>
        </w:tc>
        <w:tc>
          <w:tcPr/>
          <w:p>
            <w:pPr>
              <w:pStyle w:val="Compact"/>
              <w:jc w:val="left"/>
            </w:pPr>
            <w:r>
              <w:rPr>
                <w:rFonts w:hint="eastAsia"/>
              </w:rPr>
              <w:t xml:space="preserve">国有</w:t>
            </w:r>
          </w:p>
        </w:tc>
        <w:tc>
          <w:tcPr/>
          <w:p>
            <w:pPr>
              <w:pStyle w:val="Compact"/>
              <w:jc w:val="center"/>
            </w:pPr>
            <w:r>
              <w:t xml:space="preserve">15,623</w:t>
            </w:r>
          </w:p>
        </w:tc>
        <w:tc>
          <w:tcPr/>
          <w:p>
            <w:pPr>
              <w:pStyle w:val="Compact"/>
              <w:jc w:val="center"/>
            </w:pPr>
            <w:r>
              <w:t xml:space="preserve">0.0412</w:t>
            </w:r>
          </w:p>
        </w:tc>
        <w:tc>
          <w:tcPr/>
          <w:p>
            <w:pPr>
              <w:pStyle w:val="Compact"/>
              <w:jc w:val="center"/>
            </w:pPr>
            <w:r>
              <w:t xml:space="preserve">0.0139</w:t>
            </w:r>
          </w:p>
        </w:tc>
        <w:tc>
          <w:tcPr/>
          <w:p>
            <w:pPr>
              <w:pStyle w:val="Compact"/>
              <w:jc w:val="center"/>
            </w:pPr>
            <w:r>
              <w:t xml:space="preserve">0.1735</w:t>
            </w:r>
          </w:p>
        </w:tc>
        <w:tc>
          <w:tcPr/>
          <w:p>
            <w:pPr>
              <w:pStyle w:val="Compact"/>
              <w:jc w:val="center"/>
            </w:pPr>
            <w:r>
              <w:t xml:space="preserve">0.3471</w:t>
            </w:r>
          </w:p>
        </w:tc>
        <w:tc>
          <w:tcPr/>
          <w:p>
            <w:pPr>
              <w:pStyle w:val="Compact"/>
              <w:jc w:val="center"/>
            </w:pPr>
            <w:r>
              <w:rPr>
                <w:rFonts w:hint="eastAsia"/>
              </w:rPr>
              <w:t xml:space="preserve">未执行</w:t>
            </w:r>
          </w:p>
        </w:tc>
        <w:tc>
          <w:tcPr/>
          <w:p>
            <w:pPr>
              <w:pStyle w:val="Compact"/>
              <w:jc w:val="left"/>
            </w:pPr>
            <w:r>
              <w:rPr>
                <w:rFonts w:hint="eastAsia"/>
              </w:rPr>
              <w:t xml:space="preserve">无稳健证据</w:t>
            </w:r>
          </w:p>
        </w:tc>
      </w:tr>
      <w:tr>
        <w:tc>
          <w:tcPr/>
          <w:p>
            <w:pPr>
              <w:pStyle w:val="Compact"/>
              <w:jc w:val="left"/>
            </w:pPr>
            <w:r>
              <w:rPr>
                <w:rFonts w:hint="eastAsia"/>
              </w:rPr>
              <w:t xml:space="preserve">产权直分</w:t>
            </w:r>
          </w:p>
        </w:tc>
        <w:tc>
          <w:tcPr/>
          <w:p>
            <w:pPr>
              <w:pStyle w:val="Compact"/>
              <w:jc w:val="left"/>
            </w:pPr>
            <w:r>
              <w:rPr>
                <w:rFonts w:hint="eastAsia"/>
              </w:rPr>
              <w:t xml:space="preserve">私营</w:t>
            </w:r>
          </w:p>
        </w:tc>
        <w:tc>
          <w:tcPr/>
          <w:p>
            <w:pPr>
              <w:pStyle w:val="Compact"/>
              <w:jc w:val="center"/>
            </w:pPr>
            <w:r>
              <w:t xml:space="preserve">25,145</w:t>
            </w:r>
          </w:p>
        </w:tc>
        <w:tc>
          <w:tcPr/>
          <w:p>
            <w:pPr>
              <w:pStyle w:val="Compact"/>
              <w:jc w:val="center"/>
            </w:pPr>
            <w:r>
              <w:t xml:space="preserve">0.1030</w:t>
            </w:r>
          </w:p>
        </w:tc>
        <w:tc>
          <w:tcPr/>
          <w:p>
            <w:pPr>
              <w:pStyle w:val="Compact"/>
              <w:jc w:val="center"/>
            </w:pPr>
            <w:r>
              <w:t xml:space="preserve">-0.0014</w:t>
            </w:r>
          </w:p>
        </w:tc>
        <w:tc>
          <w:tcPr/>
          <w:p>
            <w:pPr>
              <w:pStyle w:val="Compact"/>
              <w:jc w:val="center"/>
            </w:pPr>
            <w:r>
              <w:t xml:space="preserve">0.8352</w:t>
            </w:r>
          </w:p>
        </w:tc>
        <w:tc>
          <w:tcPr/>
          <w:p>
            <w:pPr>
              <w:pStyle w:val="Compact"/>
              <w:jc w:val="center"/>
            </w:pPr>
            <w:r>
              <w:t xml:space="preserve">0.9306</w:t>
            </w:r>
          </w:p>
        </w:tc>
        <w:tc>
          <w:tcPr/>
          <w:p>
            <w:pPr>
              <w:pStyle w:val="Compact"/>
              <w:jc w:val="center"/>
            </w:pPr>
            <w:r>
              <w:rPr>
                <w:rFonts w:hint="eastAsia"/>
              </w:rPr>
              <w:t xml:space="preserve">未执行</w:t>
            </w:r>
          </w:p>
        </w:tc>
        <w:tc>
          <w:tcPr/>
          <w:p>
            <w:pPr>
              <w:pStyle w:val="Compact"/>
              <w:jc w:val="left"/>
            </w:pPr>
            <w:r>
              <w:rPr>
                <w:rFonts w:hint="eastAsia"/>
              </w:rPr>
              <w:t xml:space="preserve">无稳健证据</w:t>
            </w:r>
          </w:p>
        </w:tc>
      </w:tr>
      <w:tr>
        <w:tc>
          <w:tcPr/>
          <w:p>
            <w:pPr>
              <w:pStyle w:val="Compact"/>
              <w:jc w:val="left"/>
            </w:pPr>
            <w:r>
              <w:rPr>
                <w:rFonts w:hint="eastAsia"/>
              </w:rPr>
              <w:t xml:space="preserve">产权直分</w:t>
            </w:r>
          </w:p>
        </w:tc>
        <w:tc>
          <w:tcPr/>
          <w:p>
            <w:pPr>
              <w:pStyle w:val="Compact"/>
              <w:jc w:val="left"/>
            </w:pPr>
            <w:r>
              <w:rPr>
                <w:rFonts w:hint="eastAsia"/>
              </w:rPr>
              <w:t xml:space="preserve">央企</w:t>
            </w:r>
          </w:p>
        </w:tc>
        <w:tc>
          <w:tcPr/>
          <w:p>
            <w:pPr>
              <w:pStyle w:val="Compact"/>
              <w:jc w:val="center"/>
            </w:pPr>
            <w:r>
              <w:t xml:space="preserve">3,605</w:t>
            </w:r>
          </w:p>
        </w:tc>
        <w:tc>
          <w:tcPr/>
          <w:p>
            <w:pPr>
              <w:pStyle w:val="Compact"/>
              <w:jc w:val="center"/>
            </w:pPr>
            <w:r>
              <w:t xml:space="preserve">0.0019</w:t>
            </w:r>
          </w:p>
        </w:tc>
        <w:tc>
          <w:tcPr/>
          <w:p>
            <w:pPr>
              <w:pStyle w:val="Compact"/>
              <w:jc w:val="center"/>
            </w:pPr>
            <w:r>
              <w:t xml:space="preserve">0.0284</w:t>
            </w:r>
          </w:p>
        </w:tc>
        <w:tc>
          <w:tcPr/>
          <w:p>
            <w:pPr>
              <w:pStyle w:val="Compact"/>
              <w:jc w:val="center"/>
            </w:pPr>
            <w:r>
              <w:t xml:space="preserve">0.9306</w:t>
            </w:r>
          </w:p>
        </w:tc>
        <w:tc>
          <w:tcPr/>
          <w:p>
            <w:pPr>
              <w:pStyle w:val="Compact"/>
              <w:jc w:val="center"/>
            </w:pPr>
            <w:r>
              <w:t xml:space="preserve">0.9306</w:t>
            </w:r>
          </w:p>
        </w:tc>
        <w:tc>
          <w:tcPr/>
          <w:p>
            <w:pPr>
              <w:pStyle w:val="Compact"/>
              <w:jc w:val="center"/>
            </w:pPr>
            <w:r>
              <w:rPr>
                <w:rFonts w:hint="eastAsia"/>
              </w:rPr>
              <w:t xml:space="preserve">未执行</w:t>
            </w:r>
          </w:p>
        </w:tc>
        <w:tc>
          <w:tcPr/>
          <w:p>
            <w:pPr>
              <w:pStyle w:val="Compact"/>
              <w:jc w:val="left"/>
            </w:pPr>
            <w:r>
              <w:rPr>
                <w:rFonts w:hint="eastAsia"/>
              </w:rPr>
              <w:t xml:space="preserve">无稳健证据</w:t>
            </w:r>
          </w:p>
        </w:tc>
      </w:tr>
      <w:tr>
        <w:tc>
          <w:tcPr/>
          <w:p>
            <w:pPr>
              <w:pStyle w:val="Compact"/>
              <w:jc w:val="left"/>
            </w:pPr>
            <w:r>
              <w:rPr>
                <w:rFonts w:hint="eastAsia"/>
              </w:rPr>
              <w:t xml:space="preserve">产权直分</w:t>
            </w:r>
          </w:p>
        </w:tc>
        <w:tc>
          <w:tcPr/>
          <w:p>
            <w:pPr>
              <w:pStyle w:val="Compact"/>
              <w:jc w:val="left"/>
            </w:pPr>
            <w:r>
              <w:rPr>
                <w:rFonts w:hint="eastAsia"/>
              </w:rPr>
              <w:t xml:space="preserve">地方国企</w:t>
            </w:r>
          </w:p>
        </w:tc>
        <w:tc>
          <w:tcPr/>
          <w:p>
            <w:pPr>
              <w:pStyle w:val="Compact"/>
              <w:jc w:val="center"/>
            </w:pPr>
            <w:r>
              <w:t xml:space="preserve">7,901</w:t>
            </w:r>
          </w:p>
        </w:tc>
        <w:tc>
          <w:tcPr/>
          <w:p>
            <w:pPr>
              <w:pStyle w:val="Compact"/>
              <w:jc w:val="center"/>
            </w:pPr>
            <w:r>
              <w:t xml:space="preserve">0.0538</w:t>
            </w:r>
          </w:p>
        </w:tc>
        <w:tc>
          <w:tcPr/>
          <w:p>
            <w:pPr>
              <w:pStyle w:val="Compact"/>
              <w:jc w:val="center"/>
            </w:pPr>
            <w:r>
              <w:t xml:space="preserve">0.0262</w:t>
            </w:r>
          </w:p>
        </w:tc>
        <w:tc>
          <w:tcPr/>
          <w:p>
            <w:pPr>
              <w:pStyle w:val="Compact"/>
              <w:jc w:val="center"/>
            </w:pPr>
            <w:r>
              <w:t xml:space="preserve">0.0837</w:t>
            </w:r>
          </w:p>
        </w:tc>
        <w:tc>
          <w:tcPr/>
          <w:p>
            <w:pPr>
              <w:pStyle w:val="Compact"/>
              <w:jc w:val="center"/>
            </w:pPr>
            <w:r>
              <w:t xml:space="preserve">0.3347</w:t>
            </w:r>
          </w:p>
        </w:tc>
        <w:tc>
          <w:tcPr/>
          <w:p>
            <w:pPr>
              <w:pStyle w:val="Compact"/>
              <w:jc w:val="center"/>
            </w:pPr>
            <w:r>
              <w:t xml:space="preserve">[-0.000016, 0.003164]</w:t>
            </w:r>
          </w:p>
        </w:tc>
        <w:tc>
          <w:tcPr/>
          <w:p>
            <w:pPr>
              <w:pStyle w:val="Compact"/>
              <w:jc w:val="left"/>
            </w:pPr>
            <w:r>
              <w:rPr>
                <w:rFonts w:hint="eastAsia"/>
              </w:rPr>
              <w:t xml:space="preserve">仅原始</w:t>
            </w:r>
            <w:r>
              <w:t xml:space="preserve"> Sobel </w:t>
            </w:r>
            <w:r>
              <w:rPr>
                <w:rFonts w:hint="eastAsia"/>
              </w:rPr>
              <w:t xml:space="preserve">支持</w:t>
            </w:r>
          </w:p>
        </w:tc>
      </w:tr>
      <w:tr>
        <w:tc>
          <w:tcPr/>
          <w:p>
            <w:pPr>
              <w:pStyle w:val="Compact"/>
              <w:jc w:val="left"/>
            </w:pPr>
            <w:r>
              <w:rPr>
                <w:rFonts w:hint="eastAsia"/>
              </w:rPr>
              <w:t xml:space="preserve">补充分组</w:t>
            </w:r>
          </w:p>
        </w:tc>
        <w:tc>
          <w:tcPr/>
          <w:p>
            <w:pPr>
              <w:pStyle w:val="Compact"/>
              <w:jc w:val="left"/>
            </w:pPr>
            <w:r>
              <w:rPr>
                <w:rFonts w:hint="eastAsia"/>
              </w:rPr>
              <w:t xml:space="preserve">东部</w:t>
            </w:r>
          </w:p>
        </w:tc>
        <w:tc>
          <w:tcPr/>
          <w:p>
            <w:pPr>
              <w:pStyle w:val="Compact"/>
              <w:jc w:val="center"/>
            </w:pPr>
            <w:r>
              <w:t xml:space="preserve">28,078</w:t>
            </w:r>
          </w:p>
        </w:tc>
        <w:tc>
          <w:tcPr/>
          <w:p>
            <w:pPr>
              <w:pStyle w:val="Compact"/>
              <w:jc w:val="center"/>
            </w:pPr>
            <w:r>
              <w:t xml:space="preserve">0.1079</w:t>
            </w:r>
          </w:p>
        </w:tc>
        <w:tc>
          <w:tcPr/>
          <w:p>
            <w:pPr>
              <w:pStyle w:val="Compact"/>
              <w:jc w:val="center"/>
            </w:pPr>
            <w:r>
              <w:t xml:space="preserve">0.0150</w:t>
            </w:r>
          </w:p>
        </w:tc>
        <w:tc>
          <w:tcPr/>
          <w:p>
            <w:pPr>
              <w:pStyle w:val="Compact"/>
              <w:jc w:val="center"/>
            </w:pPr>
            <w:r>
              <w:t xml:space="preserve">0.0204</w:t>
            </w:r>
          </w:p>
        </w:tc>
        <w:tc>
          <w:tcPr/>
          <w:p>
            <w:pPr>
              <w:pStyle w:val="Compact"/>
              <w:jc w:val="center"/>
            </w:pPr>
            <w:r>
              <w:t xml:space="preserve">0.0714</w:t>
            </w:r>
          </w:p>
        </w:tc>
        <w:tc>
          <w:tcPr/>
          <w:p>
            <w:pPr>
              <w:pStyle w:val="Compact"/>
              <w:jc w:val="center"/>
            </w:pPr>
            <w:r>
              <w:t xml:space="preserve">[0.000353, 0.003077]</w:t>
            </w:r>
          </w:p>
        </w:tc>
        <w:tc>
          <w:tcPr/>
          <w:p>
            <w:pPr>
              <w:pStyle w:val="Compact"/>
              <w:jc w:val="left"/>
            </w:pPr>
            <w:r>
              <w:rPr>
                <w:rFonts w:hint="eastAsia"/>
              </w:rPr>
              <w:t xml:space="preserve">探索性稳健支持</w:t>
            </w:r>
          </w:p>
        </w:tc>
      </w:tr>
      <w:tr>
        <w:tc>
          <w:tcPr/>
          <w:p>
            <w:pPr>
              <w:pStyle w:val="Compact"/>
              <w:jc w:val="left"/>
            </w:pPr>
            <w:r>
              <w:rPr>
                <w:rFonts w:hint="eastAsia"/>
              </w:rPr>
              <w:t xml:space="preserve">补充分组</w:t>
            </w:r>
          </w:p>
        </w:tc>
        <w:tc>
          <w:tcPr/>
          <w:p>
            <w:pPr>
              <w:pStyle w:val="Compact"/>
              <w:jc w:val="left"/>
            </w:pPr>
            <w:r>
              <w:rPr>
                <w:rFonts w:hint="eastAsia"/>
              </w:rPr>
              <w:t xml:space="preserve">中西部</w:t>
            </w:r>
          </w:p>
        </w:tc>
        <w:tc>
          <w:tcPr/>
          <w:p>
            <w:pPr>
              <w:pStyle w:val="Compact"/>
              <w:jc w:val="center"/>
            </w:pPr>
            <w:r>
              <w:t xml:space="preserve">16,753</w:t>
            </w:r>
          </w:p>
        </w:tc>
        <w:tc>
          <w:tcPr/>
          <w:p>
            <w:pPr>
              <w:pStyle w:val="Compact"/>
              <w:jc w:val="center"/>
            </w:pPr>
            <w:r>
              <w:t xml:space="preserve">0.0774</w:t>
            </w:r>
          </w:p>
        </w:tc>
        <w:tc>
          <w:tcPr/>
          <w:p>
            <w:pPr>
              <w:pStyle w:val="Compact"/>
              <w:jc w:val="center"/>
            </w:pPr>
            <w:r>
              <w:t xml:space="preserve">-0.0093</w:t>
            </w:r>
          </w:p>
        </w:tc>
        <w:tc>
          <w:tcPr/>
          <w:p>
            <w:pPr>
              <w:pStyle w:val="Compact"/>
              <w:jc w:val="center"/>
            </w:pPr>
            <w:r>
              <w:t xml:space="preserve">0.2619</w:t>
            </w:r>
          </w:p>
        </w:tc>
        <w:tc>
          <w:tcPr/>
          <w:p>
            <w:pPr>
              <w:pStyle w:val="Compact"/>
              <w:jc w:val="center"/>
            </w:pPr>
            <w:r>
              <w:t xml:space="preserve">0.3055</w:t>
            </w:r>
          </w:p>
        </w:tc>
        <w:tc>
          <w:tcPr/>
          <w:p>
            <w:pPr>
              <w:pStyle w:val="Compact"/>
              <w:jc w:val="center"/>
            </w:pPr>
            <w:r>
              <w:rPr>
                <w:rFonts w:hint="eastAsia"/>
              </w:rPr>
              <w:t xml:space="preserve">未执行</w:t>
            </w:r>
          </w:p>
        </w:tc>
        <w:tc>
          <w:tcPr/>
          <w:p>
            <w:pPr>
              <w:pStyle w:val="Compact"/>
              <w:jc w:val="left"/>
            </w:pPr>
            <w:r>
              <w:rPr>
                <w:rFonts w:hint="eastAsia"/>
              </w:rPr>
              <w:t xml:space="preserve">无稳健证据</w:t>
            </w:r>
          </w:p>
        </w:tc>
      </w:tr>
      <w:tr>
        <w:tc>
          <w:tcPr/>
          <w:p>
            <w:pPr>
              <w:pStyle w:val="Compact"/>
              <w:jc w:val="left"/>
            </w:pPr>
            <w:r>
              <w:rPr>
                <w:rFonts w:hint="eastAsia"/>
              </w:rPr>
              <w:t xml:space="preserve">补充分组</w:t>
            </w:r>
          </w:p>
        </w:tc>
        <w:tc>
          <w:tcPr/>
          <w:p>
            <w:pPr>
              <w:pStyle w:val="Compact"/>
              <w:jc w:val="left"/>
            </w:pPr>
            <w:r>
              <w:t xml:space="preserve">2003–2012</w:t>
            </w:r>
          </w:p>
        </w:tc>
        <w:tc>
          <w:tcPr/>
          <w:p>
            <w:pPr>
              <w:pStyle w:val="Compact"/>
              <w:jc w:val="center"/>
            </w:pPr>
            <w:r>
              <w:t xml:space="preserve">9,704</w:t>
            </w:r>
          </w:p>
        </w:tc>
        <w:tc>
          <w:tcPr/>
          <w:p>
            <w:pPr>
              <w:pStyle w:val="Compact"/>
              <w:jc w:val="center"/>
            </w:pPr>
            <w:r>
              <w:t xml:space="preserve">0.0516</w:t>
            </w:r>
          </w:p>
        </w:tc>
        <w:tc>
          <w:tcPr/>
          <w:p>
            <w:pPr>
              <w:pStyle w:val="Compact"/>
              <w:jc w:val="center"/>
            </w:pPr>
            <w:r>
              <w:t xml:space="preserve">0.0271</w:t>
            </w:r>
          </w:p>
        </w:tc>
        <w:tc>
          <w:tcPr/>
          <w:p>
            <w:pPr>
              <w:pStyle w:val="Compact"/>
              <w:jc w:val="center"/>
            </w:pPr>
            <w:r>
              <w:t xml:space="preserve">0.0153</w:t>
            </w:r>
          </w:p>
        </w:tc>
        <w:tc>
          <w:tcPr/>
          <w:p>
            <w:pPr>
              <w:pStyle w:val="Compact"/>
              <w:jc w:val="center"/>
            </w:pPr>
            <w:r>
              <w:t xml:space="preserve">0.0714</w:t>
            </w:r>
          </w:p>
        </w:tc>
        <w:tc>
          <w:tcPr/>
          <w:p>
            <w:pPr>
              <w:pStyle w:val="Compact"/>
              <w:jc w:val="center"/>
            </w:pPr>
            <w:r>
              <w:t xml:space="preserve">[0.000341, 0.002819]</w:t>
            </w:r>
          </w:p>
        </w:tc>
        <w:tc>
          <w:tcPr/>
          <w:p>
            <w:pPr>
              <w:pStyle w:val="Compact"/>
              <w:jc w:val="left"/>
            </w:pPr>
            <w:r>
              <w:rPr>
                <w:rFonts w:hint="eastAsia"/>
              </w:rPr>
              <w:t xml:space="preserve">探索性稳健支持</w:t>
            </w:r>
          </w:p>
        </w:tc>
      </w:tr>
      <w:tr>
        <w:tc>
          <w:tcPr/>
          <w:p>
            <w:pPr>
              <w:pStyle w:val="Compact"/>
              <w:jc w:val="left"/>
            </w:pPr>
            <w:r>
              <w:rPr>
                <w:rFonts w:hint="eastAsia"/>
              </w:rPr>
              <w:t xml:space="preserve">补充分组</w:t>
            </w:r>
          </w:p>
        </w:tc>
        <w:tc>
          <w:tcPr/>
          <w:p>
            <w:pPr>
              <w:pStyle w:val="Compact"/>
              <w:jc w:val="left"/>
            </w:pPr>
            <w:r>
              <w:t xml:space="preserve">2013–2024</w:t>
            </w:r>
          </w:p>
        </w:tc>
        <w:tc>
          <w:tcPr/>
          <w:p>
            <w:pPr>
              <w:pStyle w:val="Compact"/>
              <w:jc w:val="center"/>
            </w:pPr>
            <w:r>
              <w:t xml:space="preserve">35,127</w:t>
            </w:r>
          </w:p>
        </w:tc>
        <w:tc>
          <w:tcPr/>
          <w:p>
            <w:pPr>
              <w:pStyle w:val="Compact"/>
              <w:jc w:val="center"/>
            </w:pPr>
            <w:r>
              <w:t xml:space="preserve">0.1166</w:t>
            </w:r>
          </w:p>
        </w:tc>
        <w:tc>
          <w:tcPr/>
          <w:p>
            <w:pPr>
              <w:pStyle w:val="Compact"/>
              <w:jc w:val="center"/>
            </w:pPr>
            <w:r>
              <w:t xml:space="preserve">0.0007</w:t>
            </w:r>
          </w:p>
        </w:tc>
        <w:tc>
          <w:tcPr/>
          <w:p>
            <w:pPr>
              <w:pStyle w:val="Compact"/>
              <w:jc w:val="center"/>
            </w:pPr>
            <w:r>
              <w:t xml:space="preserve">0.8837</w:t>
            </w:r>
          </w:p>
        </w:tc>
        <w:tc>
          <w:tcPr/>
          <w:p>
            <w:pPr>
              <w:pStyle w:val="Compact"/>
              <w:jc w:val="center"/>
            </w:pPr>
            <w:r>
              <w:t xml:space="preserve">0.8837</w:t>
            </w:r>
          </w:p>
        </w:tc>
        <w:tc>
          <w:tcPr/>
          <w:p>
            <w:pPr>
              <w:pStyle w:val="Compact"/>
              <w:jc w:val="center"/>
            </w:pPr>
            <w:r>
              <w:rPr>
                <w:rFonts w:hint="eastAsia"/>
              </w:rPr>
              <w:t xml:space="preserve">未执行</w:t>
            </w:r>
          </w:p>
        </w:tc>
        <w:tc>
          <w:tcPr/>
          <w:p>
            <w:pPr>
              <w:pStyle w:val="Compact"/>
              <w:jc w:val="left"/>
            </w:pPr>
            <w:r>
              <w:rPr>
                <w:rFonts w:hint="eastAsia"/>
              </w:rPr>
              <w:t xml:space="preserve">无稳健证据</w:t>
            </w:r>
          </w:p>
        </w:tc>
      </w:tr>
      <w:tr>
        <w:tc>
          <w:tcPr/>
          <w:p>
            <w:pPr>
              <w:pStyle w:val="Compact"/>
              <w:jc w:val="left"/>
            </w:pPr>
            <w:r>
              <w:rPr>
                <w:rFonts w:hint="eastAsia"/>
              </w:rPr>
              <w:t xml:space="preserve">补充分组</w:t>
            </w:r>
          </w:p>
        </w:tc>
        <w:tc>
          <w:tcPr/>
          <w:p>
            <w:pPr>
              <w:pStyle w:val="Compact"/>
              <w:jc w:val="left"/>
            </w:pPr>
            <w:r>
              <w:rPr>
                <w:rFonts w:hint="eastAsia"/>
              </w:rPr>
              <w:t xml:space="preserve">国有×东部</w:t>
            </w:r>
          </w:p>
        </w:tc>
        <w:tc>
          <w:tcPr/>
          <w:p>
            <w:pPr>
              <w:pStyle w:val="Compact"/>
              <w:jc w:val="center"/>
            </w:pPr>
            <w:r>
              <w:t xml:space="preserve">8,406</w:t>
            </w:r>
          </w:p>
        </w:tc>
        <w:tc>
          <w:tcPr/>
          <w:p>
            <w:pPr>
              <w:pStyle w:val="Compact"/>
              <w:jc w:val="center"/>
            </w:pPr>
            <w:r>
              <w:t xml:space="preserve">0.0410</w:t>
            </w:r>
          </w:p>
        </w:tc>
        <w:tc>
          <w:tcPr/>
          <w:p>
            <w:pPr>
              <w:pStyle w:val="Compact"/>
              <w:jc w:val="center"/>
            </w:pPr>
            <w:r>
              <w:t xml:space="preserve">0.0398</w:t>
            </w:r>
          </w:p>
        </w:tc>
        <w:tc>
          <w:tcPr/>
          <w:p>
            <w:pPr>
              <w:pStyle w:val="Compact"/>
              <w:jc w:val="center"/>
            </w:pPr>
            <w:r>
              <w:t xml:space="preserve">0.0503</w:t>
            </w:r>
          </w:p>
        </w:tc>
        <w:tc>
          <w:tcPr/>
          <w:p>
            <w:pPr>
              <w:pStyle w:val="Compact"/>
              <w:jc w:val="center"/>
            </w:pPr>
            <w:r>
              <w:t xml:space="preserve">0.0880</w:t>
            </w:r>
          </w:p>
        </w:tc>
        <w:tc>
          <w:tcPr/>
          <w:p>
            <w:pPr>
              <w:pStyle w:val="Compact"/>
              <w:jc w:val="center"/>
            </w:pPr>
            <w:r>
              <w:t xml:space="preserve">[0.000278, 0.003445]</w:t>
            </w:r>
          </w:p>
        </w:tc>
        <w:tc>
          <w:tcPr/>
          <w:p>
            <w:pPr>
              <w:pStyle w:val="Compact"/>
              <w:jc w:val="left"/>
            </w:pPr>
            <w:r>
              <w:rPr>
                <w:rFonts w:hint="eastAsia"/>
              </w:rPr>
              <w:t xml:space="preserve">探索性稳健支持</w:t>
            </w:r>
          </w:p>
        </w:tc>
      </w:tr>
      <w:tr>
        <w:tc>
          <w:tcPr/>
          <w:p>
            <w:pPr>
              <w:pStyle w:val="Compact"/>
              <w:jc w:val="left"/>
            </w:pPr>
            <w:r>
              <w:rPr>
                <w:rFonts w:hint="eastAsia"/>
              </w:rPr>
              <w:t xml:space="preserve">补充分组</w:t>
            </w:r>
          </w:p>
        </w:tc>
        <w:tc>
          <w:tcPr/>
          <w:p>
            <w:pPr>
              <w:pStyle w:val="Compact"/>
              <w:jc w:val="left"/>
            </w:pPr>
            <w:r>
              <w:rPr>
                <w:rFonts w:hint="eastAsia"/>
              </w:rPr>
              <w:t xml:space="preserve">地方国企×东部</w:t>
            </w:r>
          </w:p>
        </w:tc>
        <w:tc>
          <w:tcPr/>
          <w:p>
            <w:pPr>
              <w:pStyle w:val="Compact"/>
              <w:jc w:val="center"/>
            </w:pPr>
            <w:r>
              <w:t xml:space="preserve">4,273</w:t>
            </w:r>
          </w:p>
        </w:tc>
        <w:tc>
          <w:tcPr/>
          <w:p>
            <w:pPr>
              <w:pStyle w:val="Compact"/>
              <w:jc w:val="center"/>
            </w:pPr>
            <w:r>
              <w:t xml:space="preserve">0.0602</w:t>
            </w:r>
          </w:p>
        </w:tc>
        <w:tc>
          <w:tcPr/>
          <w:p>
            <w:pPr>
              <w:pStyle w:val="Compact"/>
              <w:jc w:val="center"/>
            </w:pPr>
            <w:r>
              <w:t xml:space="preserve">0.0569</w:t>
            </w:r>
          </w:p>
        </w:tc>
        <w:tc>
          <w:tcPr/>
          <w:p>
            <w:pPr>
              <w:pStyle w:val="Compact"/>
              <w:jc w:val="center"/>
            </w:pPr>
            <w:r>
              <w:t xml:space="preserve">0.0372</w:t>
            </w:r>
          </w:p>
        </w:tc>
        <w:tc>
          <w:tcPr/>
          <w:p>
            <w:pPr>
              <w:pStyle w:val="Compact"/>
              <w:jc w:val="center"/>
            </w:pPr>
            <w:r>
              <w:t xml:space="preserve">0.0867</w:t>
            </w:r>
          </w:p>
        </w:tc>
        <w:tc>
          <w:tcPr/>
          <w:p>
            <w:pPr>
              <w:pStyle w:val="Compact"/>
              <w:jc w:val="center"/>
            </w:pPr>
            <w:r>
              <w:t xml:space="preserve">[0.000514, 0.007701]</w:t>
            </w:r>
          </w:p>
        </w:tc>
        <w:tc>
          <w:tcPr/>
          <w:p>
            <w:pPr>
              <w:pStyle w:val="Compact"/>
              <w:jc w:val="left"/>
            </w:pPr>
            <w:r>
              <w:rPr>
                <w:rFonts w:hint="eastAsia"/>
              </w:rPr>
              <w:t xml:space="preserve">探索性稳健支持</w:t>
            </w:r>
          </w:p>
        </w:tc>
      </w:tr>
      <w:tr>
        <w:tc>
          <w:tcPr/>
          <w:p>
            <w:pPr>
              <w:pStyle w:val="Compact"/>
              <w:jc w:val="left"/>
            </w:pPr>
            <w:r>
              <w:rPr>
                <w:rFonts w:hint="eastAsia"/>
              </w:rPr>
              <w:t xml:space="preserve">补充分组</w:t>
            </w:r>
          </w:p>
        </w:tc>
        <w:tc>
          <w:tcPr/>
          <w:p>
            <w:pPr>
              <w:pStyle w:val="Compact"/>
              <w:jc w:val="left"/>
            </w:pPr>
            <w:r>
              <w:rPr>
                <w:rFonts w:hint="eastAsia"/>
              </w:rPr>
              <w:t xml:space="preserve">地方国企×后期</w:t>
            </w:r>
          </w:p>
        </w:tc>
        <w:tc>
          <w:tcPr/>
          <w:p>
            <w:pPr>
              <w:pStyle w:val="Compact"/>
              <w:jc w:val="center"/>
            </w:pPr>
            <w:r>
              <w:t xml:space="preserve">5,156</w:t>
            </w:r>
          </w:p>
        </w:tc>
        <w:tc>
          <w:tcPr/>
          <w:p>
            <w:pPr>
              <w:pStyle w:val="Compact"/>
              <w:jc w:val="center"/>
            </w:pPr>
            <w:r>
              <w:t xml:space="preserve">0.0623</w:t>
            </w:r>
          </w:p>
        </w:tc>
        <w:tc>
          <w:tcPr/>
          <w:p>
            <w:pPr>
              <w:pStyle w:val="Compact"/>
              <w:jc w:val="center"/>
            </w:pPr>
            <w:r>
              <w:t xml:space="preserve">0.0256</w:t>
            </w:r>
          </w:p>
        </w:tc>
        <w:tc>
          <w:tcPr/>
          <w:p>
            <w:pPr>
              <w:pStyle w:val="Compact"/>
              <w:jc w:val="center"/>
            </w:pPr>
            <w:r>
              <w:t xml:space="preserve">0.0902</w:t>
            </w:r>
          </w:p>
        </w:tc>
        <w:tc>
          <w:tcPr/>
          <w:p>
            <w:pPr>
              <w:pStyle w:val="Compact"/>
              <w:jc w:val="center"/>
            </w:pPr>
            <w:r>
              <w:t xml:space="preserve">0.1263</w:t>
            </w:r>
          </w:p>
        </w:tc>
        <w:tc>
          <w:tcPr/>
          <w:p>
            <w:pPr>
              <w:pStyle w:val="Compact"/>
              <w:jc w:val="center"/>
            </w:pPr>
            <w:r>
              <w:t xml:space="preserve">[-0.000073, 0.003569]</w:t>
            </w:r>
          </w:p>
        </w:tc>
        <w:tc>
          <w:tcPr/>
          <w:p>
            <w:pPr>
              <w:pStyle w:val="Compact"/>
              <w:jc w:val="left"/>
            </w:pPr>
            <w:r>
              <w:rPr>
                <w:rFonts w:hint="eastAsia"/>
              </w:rPr>
              <w:t xml:space="preserve">仅原始</w:t>
            </w:r>
            <w:r>
              <w:t xml:space="preserve"> Sobel </w:t>
            </w:r>
            <w:r>
              <w:rPr>
                <w:rFonts w:hint="eastAsia"/>
              </w:rPr>
              <w:t xml:space="preserve">支持</w:t>
            </w:r>
          </w:p>
        </w:tc>
      </w:tr>
    </w:tbl>
    <w:p>
      <w:r>
        <w:pict>
          <v:rect style="width:0;height:1.5pt" o:hralign="center" o:hrstd="t" o:hr="t"/>
        </w:pict>
      </w:r>
    </w:p>
    <w:bookmarkEnd w:id="16"/>
    <w:bookmarkEnd w:id="17"/>
    <w:bookmarkStart w:id="18" w:name="稳健性检验"/>
    <w:p>
      <w:pPr>
        <w:pStyle w:val="Heading3"/>
      </w:pPr>
      <w:r>
        <w:t xml:space="preserve">5.5 </w:t>
      </w:r>
      <w:r>
        <w:rPr>
          <w:rFonts w:hint="eastAsia"/>
        </w:rPr>
        <w:t xml:space="preserve">稳健性检验</w:t>
      </w:r>
    </w:p>
    <w:p>
      <w:pPr>
        <w:pStyle w:val="FirstParagraph"/>
      </w:pPr>
      <w:r>
        <w:rPr>
          <w:rFonts w:hint="eastAsia"/>
        </w:rPr>
        <w:t xml:space="preserve">为验证主结论的稳定性，本文进行了六项稳健性检验。结果见表</w:t>
      </w:r>
      <w:r>
        <w:t xml:space="preserve"> </w:t>
      </w:r>
      <w:r>
        <w:rPr>
          <w:rFonts w:hint="eastAsia"/>
        </w:rPr>
        <w:t xml:space="preserve">7。所有检验中</w:t>
      </w:r>
      <w:r>
        <w:t xml:space="preserve"> lnSubsidy </w:t>
      </w:r>
      <w:r>
        <w:rPr>
          <w:rFonts w:hint="eastAsia"/>
        </w:rPr>
        <w:t xml:space="preserve">的系数均保持正向显著，说明政府补助对高管超额薪酬的正向影响并非由特定样本口径或变量定义所驱动。</w:t>
      </w:r>
    </w:p>
    <w:p>
      <w:pPr>
        <w:pStyle w:val="BodyText"/>
      </w:pPr>
      <w:r>
        <w:rPr>
          <w:rFonts w:hint="eastAsia"/>
          <w:b/>
          <w:bCs/>
        </w:rPr>
        <w:t xml:space="preserve">表</w:t>
      </w:r>
      <w:r>
        <w:rPr>
          <w:b/>
          <w:bCs/>
        </w:rPr>
        <w:t xml:space="preserve"> 7 </w:t>
      </w:r>
      <w:r>
        <w:rPr>
          <w:rFonts w:hint="eastAsia"/>
          <w:b/>
          <w:bCs/>
        </w:rPr>
        <w:t xml:space="preserve">稳健性检验结果（聚类标准误）</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rPr>
                <w:rFonts w:hint="eastAsia"/>
              </w:rPr>
              <w:t xml:space="preserve">检验内容</w:t>
            </w:r>
          </w:p>
        </w:tc>
        <w:tc>
          <w:tcPr/>
          <w:p>
            <w:pPr>
              <w:pStyle w:val="Compact"/>
              <w:jc w:val="center"/>
            </w:pPr>
            <w:r>
              <w:rPr>
                <w:rFonts w:hint="eastAsia"/>
              </w:rPr>
              <w:t xml:space="preserve">被解释变量</w:t>
            </w:r>
          </w:p>
        </w:tc>
        <w:tc>
          <w:tcPr/>
          <w:p>
            <w:pPr>
              <w:pStyle w:val="Compact"/>
              <w:jc w:val="center"/>
            </w:pPr>
            <w:r>
              <w:rPr>
                <w:rFonts w:hint="eastAsia"/>
              </w:rPr>
              <w:t xml:space="preserve">补助变量系数</w:t>
            </w:r>
          </w:p>
        </w:tc>
        <w:tc>
          <w:tcPr/>
          <w:p>
            <w:pPr>
              <w:pStyle w:val="Compact"/>
              <w:jc w:val="center"/>
            </w:pPr>
            <w:r>
              <w:t xml:space="preserve">z/t </w:t>
            </w:r>
            <w:r>
              <w:rPr>
                <w:rFonts w:hint="eastAsia"/>
              </w:rPr>
              <w:t xml:space="preserve">值</w:t>
            </w:r>
          </w:p>
        </w:tc>
        <w:tc>
          <w:tcPr/>
          <w:p>
            <w:pPr>
              <w:pStyle w:val="Compact"/>
              <w:jc w:val="center"/>
            </w:pPr>
            <w:r>
              <w:t xml:space="preserve">N</w:t>
            </w:r>
          </w:p>
        </w:tc>
        <w:tc>
          <w:tcPr/>
          <w:p>
            <w:pPr>
              <w:pStyle w:val="Compact"/>
              <w:jc w:val="center"/>
            </w:pPr>
            <w:r>
              <w:t xml:space="preserve">R²</w:t>
            </w:r>
          </w:p>
        </w:tc>
      </w:tr>
      <w:tr>
        <w:tc>
          <w:tcPr/>
          <w:p>
            <w:pPr>
              <w:pStyle w:val="Compact"/>
              <w:jc w:val="left"/>
            </w:pPr>
            <w:r>
              <w:t xml:space="preserve">(1) </w:t>
            </w:r>
            <w:r>
              <w:rPr>
                <w:rFonts w:hint="eastAsia"/>
              </w:rPr>
              <w:t xml:space="preserve">替换因变量</w:t>
            </w:r>
          </w:p>
        </w:tc>
        <w:tc>
          <w:tcPr/>
          <w:p>
            <w:pPr>
              <w:pStyle w:val="Compact"/>
              <w:jc w:val="center"/>
            </w:pPr>
            <w:r>
              <w:t xml:space="preserve">lnCEOpay</w:t>
            </w:r>
          </w:p>
        </w:tc>
        <w:tc>
          <w:tcPr/>
          <w:p>
            <w:pPr>
              <w:pStyle w:val="Compact"/>
              <w:jc w:val="center"/>
            </w:pPr>
            <w:r>
              <w:t xml:space="preserve">0.1365***</w:t>
            </w:r>
          </w:p>
        </w:tc>
        <w:tc>
          <w:tcPr/>
          <w:p>
            <w:pPr>
              <w:pStyle w:val="Compact"/>
              <w:jc w:val="center"/>
            </w:pPr>
            <w:r>
              <w:t xml:space="preserve">32.4391</w:t>
            </w:r>
          </w:p>
        </w:tc>
        <w:tc>
          <w:tcPr/>
          <w:p>
            <w:pPr>
              <w:pStyle w:val="Compact"/>
              <w:jc w:val="center"/>
            </w:pPr>
            <w:r>
              <w:t xml:space="preserve">52,358</w:t>
            </w:r>
          </w:p>
        </w:tc>
        <w:tc>
          <w:tcPr/>
          <w:p>
            <w:pPr>
              <w:pStyle w:val="Compact"/>
              <w:jc w:val="center"/>
            </w:pPr>
            <w:r>
              <w:t xml:space="preserve">0.4234</w:t>
            </w:r>
          </w:p>
        </w:tc>
      </w:tr>
      <w:tr>
        <w:tc>
          <w:tcPr/>
          <w:p>
            <w:pPr>
              <w:pStyle w:val="Compact"/>
              <w:jc w:val="left"/>
            </w:pPr>
            <w:r>
              <w:t xml:space="preserve">(2) </w:t>
            </w:r>
            <w:r>
              <w:rPr>
                <w:rFonts w:hint="eastAsia"/>
              </w:rPr>
              <w:t xml:space="preserve">缩小样本期（2010–2020）</w:t>
            </w:r>
          </w:p>
        </w:tc>
        <w:tc>
          <w:tcPr/>
          <w:p>
            <w:pPr>
              <w:pStyle w:val="Compact"/>
              <w:jc w:val="center"/>
            </w:pPr>
            <w:r>
              <w:t xml:space="preserve">Overpay</w:t>
            </w:r>
          </w:p>
        </w:tc>
        <w:tc>
          <w:tcPr/>
          <w:p>
            <w:pPr>
              <w:pStyle w:val="Compact"/>
              <w:jc w:val="center"/>
            </w:pPr>
            <w:r>
              <w:t xml:space="preserve">0.0551***</w:t>
            </w:r>
          </w:p>
        </w:tc>
        <w:tc>
          <w:tcPr/>
          <w:p>
            <w:pPr>
              <w:pStyle w:val="Compact"/>
              <w:jc w:val="center"/>
            </w:pPr>
            <w:r>
              <w:t xml:space="preserve">12.1574</w:t>
            </w:r>
          </w:p>
        </w:tc>
        <w:tc>
          <w:tcPr/>
          <w:p>
            <w:pPr>
              <w:pStyle w:val="Compact"/>
              <w:jc w:val="center"/>
            </w:pPr>
            <w:r>
              <w:t xml:space="preserve">29,946</w:t>
            </w:r>
          </w:p>
        </w:tc>
        <w:tc>
          <w:tcPr/>
          <w:p>
            <w:pPr>
              <w:pStyle w:val="Compact"/>
              <w:jc w:val="center"/>
            </w:pPr>
            <w:r>
              <w:t xml:space="preserve">0.0353</w:t>
            </w:r>
          </w:p>
        </w:tc>
      </w:tr>
      <w:tr>
        <w:tc>
          <w:tcPr/>
          <w:p>
            <w:pPr>
              <w:pStyle w:val="Compact"/>
              <w:jc w:val="left"/>
            </w:pPr>
            <w:r>
              <w:t xml:space="preserve">(3) </w:t>
            </w:r>
            <w:r>
              <w:rPr>
                <w:rFonts w:hint="eastAsia"/>
              </w:rPr>
              <w:t xml:space="preserve">剔除极端补助值</w:t>
            </w:r>
          </w:p>
        </w:tc>
        <w:tc>
          <w:tcPr/>
          <w:p>
            <w:pPr>
              <w:pStyle w:val="Compact"/>
              <w:jc w:val="center"/>
            </w:pPr>
            <w:r>
              <w:t xml:space="preserve">Overpay</w:t>
            </w:r>
          </w:p>
        </w:tc>
        <w:tc>
          <w:tcPr/>
          <w:p>
            <w:pPr>
              <w:pStyle w:val="Compact"/>
              <w:jc w:val="center"/>
            </w:pPr>
            <w:r>
              <w:t xml:space="preserve">0.0594***</w:t>
            </w:r>
          </w:p>
        </w:tc>
        <w:tc>
          <w:tcPr/>
          <w:p>
            <w:pPr>
              <w:pStyle w:val="Compact"/>
              <w:jc w:val="center"/>
            </w:pPr>
            <w:r>
              <w:t xml:space="preserve">12.6446</w:t>
            </w:r>
          </w:p>
        </w:tc>
        <w:tc>
          <w:tcPr/>
          <w:p>
            <w:pPr>
              <w:pStyle w:val="Compact"/>
              <w:jc w:val="center"/>
            </w:pPr>
            <w:r>
              <w:t xml:space="preserve">47,011</w:t>
            </w:r>
          </w:p>
        </w:tc>
        <w:tc>
          <w:tcPr/>
          <w:p>
            <w:pPr>
              <w:pStyle w:val="Compact"/>
              <w:jc w:val="center"/>
            </w:pPr>
            <w:r>
              <w:t xml:space="preserve">0.0351</w:t>
            </w:r>
          </w:p>
        </w:tc>
      </w:tr>
      <w:tr>
        <w:tc>
          <w:tcPr/>
          <w:p>
            <w:pPr>
              <w:pStyle w:val="Compact"/>
              <w:jc w:val="left"/>
            </w:pPr>
            <w:r>
              <w:t xml:space="preserve">(4) </w:t>
            </w:r>
            <w:r>
              <w:rPr>
                <w:rFonts w:hint="eastAsia"/>
              </w:rPr>
              <w:t xml:space="preserve">仅制造业</w:t>
            </w:r>
          </w:p>
        </w:tc>
        <w:tc>
          <w:tcPr/>
          <w:p>
            <w:pPr>
              <w:pStyle w:val="Compact"/>
              <w:jc w:val="center"/>
            </w:pPr>
            <w:r>
              <w:t xml:space="preserve">Overpay</w:t>
            </w:r>
          </w:p>
        </w:tc>
        <w:tc>
          <w:tcPr/>
          <w:p>
            <w:pPr>
              <w:pStyle w:val="Compact"/>
              <w:jc w:val="center"/>
            </w:pPr>
            <w:r>
              <w:t xml:space="preserve">0.0751***</w:t>
            </w:r>
          </w:p>
        </w:tc>
        <w:tc>
          <w:tcPr/>
          <w:p>
            <w:pPr>
              <w:pStyle w:val="Compact"/>
              <w:jc w:val="center"/>
            </w:pPr>
            <w:r>
              <w:t xml:space="preserve">14.4900</w:t>
            </w:r>
          </w:p>
        </w:tc>
        <w:tc>
          <w:tcPr/>
          <w:p>
            <w:pPr>
              <w:pStyle w:val="Compact"/>
              <w:jc w:val="center"/>
            </w:pPr>
            <w:r>
              <w:t xml:space="preserve">35,031</w:t>
            </w:r>
          </w:p>
        </w:tc>
        <w:tc>
          <w:tcPr/>
          <w:p>
            <w:pPr>
              <w:pStyle w:val="Compact"/>
              <w:jc w:val="center"/>
            </w:pPr>
            <w:r>
              <w:t xml:space="preserve">0.0500</w:t>
            </w:r>
          </w:p>
        </w:tc>
      </w:tr>
      <w:tr>
        <w:tc>
          <w:tcPr/>
          <w:p>
            <w:pPr>
              <w:pStyle w:val="Compact"/>
              <w:jc w:val="left"/>
            </w:pPr>
            <w:r>
              <w:t xml:space="preserve">(5) </w:t>
            </w:r>
            <w:r>
              <w:rPr>
                <w:rFonts w:hint="eastAsia"/>
              </w:rPr>
              <w:t xml:space="preserve">替换解释变量</w:t>
            </w:r>
            <w:r>
              <w:t xml:space="preserve"> </w:t>
            </w:r>
            <w:r>
              <w:rPr>
                <w:rFonts w:hint="eastAsia"/>
              </w:rPr>
              <w:t xml:space="preserve">ln(1+补助)</w:t>
            </w:r>
          </w:p>
        </w:tc>
        <w:tc>
          <w:tcPr/>
          <w:p>
            <w:pPr>
              <w:pStyle w:val="Compact"/>
              <w:jc w:val="center"/>
            </w:pPr>
            <w:r>
              <w:t xml:space="preserve">Overpay</w:t>
            </w:r>
          </w:p>
        </w:tc>
        <w:tc>
          <w:tcPr/>
          <w:p>
            <w:pPr>
              <w:pStyle w:val="Compact"/>
              <w:jc w:val="center"/>
            </w:pPr>
            <w:r>
              <w:t xml:space="preserve">0.0539***</w:t>
            </w:r>
          </w:p>
        </w:tc>
        <w:tc>
          <w:tcPr/>
          <w:p>
            <w:pPr>
              <w:pStyle w:val="Compact"/>
              <w:jc w:val="center"/>
            </w:pPr>
            <w:r>
              <w:t xml:space="preserve">14.4854</w:t>
            </w:r>
          </w:p>
        </w:tc>
        <w:tc>
          <w:tcPr/>
          <w:p>
            <w:pPr>
              <w:pStyle w:val="Compact"/>
              <w:jc w:val="center"/>
            </w:pPr>
            <w:r>
              <w:t xml:space="preserve">52,182</w:t>
            </w:r>
          </w:p>
        </w:tc>
        <w:tc>
          <w:tcPr/>
          <w:p>
            <w:pPr>
              <w:pStyle w:val="Compact"/>
              <w:jc w:val="center"/>
            </w:pPr>
            <w:r>
              <w:t xml:space="preserve">0.0375</w:t>
            </w:r>
          </w:p>
        </w:tc>
      </w:tr>
      <w:tr>
        <w:tc>
          <w:tcPr/>
          <w:p>
            <w:pPr>
              <w:pStyle w:val="Compact"/>
              <w:jc w:val="left"/>
            </w:pPr>
            <w:r>
              <w:t xml:space="preserve">(6) </w:t>
            </w:r>
            <w:r>
              <w:rPr>
                <w:rFonts w:hint="eastAsia"/>
              </w:rPr>
              <w:t xml:space="preserve">滞后一期补助</w:t>
            </w:r>
          </w:p>
        </w:tc>
        <w:tc>
          <w:tcPr/>
          <w:p>
            <w:pPr>
              <w:pStyle w:val="Compact"/>
              <w:jc w:val="center"/>
            </w:pPr>
            <w:r>
              <w:t xml:space="preserve">Overpay</w:t>
            </w:r>
          </w:p>
        </w:tc>
        <w:tc>
          <w:tcPr/>
          <w:p>
            <w:pPr>
              <w:pStyle w:val="Compact"/>
              <w:jc w:val="center"/>
            </w:pPr>
            <w:r>
              <w:t xml:space="preserve">0.0530***</w:t>
            </w:r>
          </w:p>
        </w:tc>
        <w:tc>
          <w:tcPr/>
          <w:p>
            <w:pPr>
              <w:pStyle w:val="Compact"/>
              <w:jc w:val="center"/>
            </w:pPr>
            <w:r>
              <w:t xml:space="preserve">13.5843</w:t>
            </w:r>
          </w:p>
        </w:tc>
        <w:tc>
          <w:tcPr/>
          <w:p>
            <w:pPr>
              <w:pStyle w:val="Compact"/>
              <w:jc w:val="center"/>
            </w:pPr>
            <w:r>
              <w:t xml:space="preserve">46,930</w:t>
            </w:r>
          </w:p>
        </w:tc>
        <w:tc>
          <w:tcPr/>
          <w:p>
            <w:pPr>
              <w:pStyle w:val="Compact"/>
              <w:jc w:val="center"/>
            </w:pPr>
            <w:r>
              <w:t xml:space="preserve">0.0364</w:t>
            </w:r>
          </w:p>
        </w:tc>
      </w:tr>
    </w:tbl>
    <w:p>
      <w:r>
        <w:pict>
          <v:rect style="width:0;height:1.5pt" o:hralign="center" o:hrstd="t" o:hr="t"/>
        </w:pict>
      </w:r>
    </w:p>
    <w:bookmarkEnd w:id="18"/>
    <w:bookmarkStart w:id="24" w:name="基于机器学习的补充分析"/>
    <w:p>
      <w:pPr>
        <w:pStyle w:val="Heading3"/>
      </w:pPr>
      <w:r>
        <w:t xml:space="preserve">5.6 </w:t>
      </w:r>
      <w:r>
        <w:rPr>
          <w:rFonts w:hint="eastAsia"/>
        </w:rPr>
        <w:t xml:space="preserve">基于机器学习的补充分析</w:t>
      </w:r>
    </w:p>
    <w:p>
      <w:pPr>
        <w:pStyle w:val="FirstParagraph"/>
      </w:pPr>
      <w:r>
        <w:rPr>
          <w:rFonts w:hint="eastAsia"/>
        </w:rPr>
        <w:t xml:space="preserve">计量经济学方法主要用于关联与机制检验，而机器学习方法更擅长捕捉非线性关系和高维交互效应。二者目标不同，但可以相互补充。为从预测视角交叉验证计量回归结果，本文进一步使用</w:t>
      </w:r>
      <w:r>
        <w:t xml:space="preserve"> </w:t>
      </w:r>
      <w:r>
        <w:rPr>
          <w:rFonts w:hint="eastAsia"/>
        </w:rPr>
        <w:t xml:space="preserve">Lasso、随机森林、XGBoost、决策树和</w:t>
      </w:r>
      <w:r>
        <w:t xml:space="preserve"> K-Means </w:t>
      </w:r>
      <w:r>
        <w:rPr>
          <w:rFonts w:hint="eastAsia"/>
        </w:rPr>
        <w:t xml:space="preserve">聚类开展补充分析。</w:t>
      </w:r>
    </w:p>
    <w:bookmarkStart w:id="19" w:name="lasso-回归变量筛选"/>
    <w:p>
      <w:pPr>
        <w:pStyle w:val="Heading4"/>
      </w:pPr>
      <w:r>
        <w:t xml:space="preserve">5.6.1 Lasso </w:t>
      </w:r>
      <w:r>
        <w:rPr>
          <w:rFonts w:hint="eastAsia"/>
        </w:rPr>
        <w:t xml:space="preserve">回归——变量筛选</w:t>
      </w:r>
    </w:p>
    <w:p>
      <w:pPr>
        <w:pStyle w:val="FirstParagraph"/>
      </w:pPr>
      <w:r>
        <w:t xml:space="preserve">Lasso </w:t>
      </w:r>
      <w:r>
        <w:rPr>
          <w:rFonts w:hint="eastAsia"/>
        </w:rPr>
        <w:t xml:space="preserve">采用</w:t>
      </w:r>
      <w:r>
        <w:t xml:space="preserve"> 5 </w:t>
      </w:r>
      <w:r>
        <w:rPr>
          <w:rFonts w:hint="eastAsia"/>
        </w:rPr>
        <w:t xml:space="preserve">折交叉验证确定最优正则化参数，得到</w:t>
      </w:r>
      <w:r>
        <w:t xml:space="preserve"> α = </w:t>
      </w:r>
      <w:r>
        <w:rPr>
          <w:rFonts w:hint="eastAsia"/>
        </w:rPr>
        <w:t xml:space="preserve">0.004357，样本内拟合</w:t>
      </w:r>
      <w:r>
        <w:t xml:space="preserve"> R² = </w:t>
      </w:r>
      <w:r>
        <w:rPr>
          <w:rFonts w:hint="eastAsia"/>
        </w:rPr>
        <w:t xml:space="preserve">0.0401。最终保留的</w:t>
      </w:r>
      <w:r>
        <w:t xml:space="preserve"> 10 </w:t>
      </w:r>
      <w:r>
        <w:rPr>
          <w:rFonts w:hint="eastAsia"/>
        </w:rPr>
        <w:t xml:space="preserve">个变量包括</w:t>
      </w:r>
      <w:r>
        <w:t xml:space="preserve"> </w:t>
      </w:r>
      <w:r>
        <w:rPr>
          <w:rStyle w:val="VerbatimChar"/>
        </w:rPr>
        <w:t xml:space="preserve">lnSubsidy</w:t>
      </w:r>
      <w:r>
        <w:t xml:space="preserve">、</w:t>
      </w:r>
      <w:r>
        <w:rPr>
          <w:rStyle w:val="VerbatimChar"/>
        </w:rPr>
        <w:t xml:space="preserve">Lever</w:t>
      </w:r>
      <w:r>
        <w:t xml:space="preserve">、</w:t>
      </w:r>
      <w:r>
        <w:rPr>
          <w:rStyle w:val="VerbatimChar"/>
        </w:rPr>
        <w:t xml:space="preserve">Top1</w:t>
      </w:r>
      <w:r>
        <w:t xml:space="preserve">、</w:t>
      </w:r>
      <w:r>
        <w:rPr>
          <w:rStyle w:val="VerbatimChar"/>
        </w:rPr>
        <w:t xml:space="preserve">Boardsize</w:t>
      </w:r>
      <w:r>
        <w:t xml:space="preserve">、</w:t>
      </w:r>
      <w:r>
        <w:rPr>
          <w:rStyle w:val="VerbatimChar"/>
        </w:rPr>
        <w:t xml:space="preserve">Dual</w:t>
      </w:r>
      <w:r>
        <w:t xml:space="preserve">、</w:t>
      </w:r>
      <w:r>
        <w:rPr>
          <w:rStyle w:val="VerbatimChar"/>
        </w:rPr>
        <w:t xml:space="preserve">Mgshder</w:t>
      </w:r>
      <w:r>
        <w:t xml:space="preserve">、</w:t>
      </w:r>
      <w:r>
        <w:rPr>
          <w:rStyle w:val="VerbatimChar"/>
        </w:rPr>
        <w:t xml:space="preserve">IsSOE</w:t>
      </w:r>
      <w:r>
        <w:t xml:space="preserve">、</w:t>
      </w:r>
      <w:r>
        <w:rPr>
          <w:rStyle w:val="VerbatimChar"/>
        </w:rPr>
        <w:t xml:space="preserve">Industry</w:t>
      </w:r>
      <w:r>
        <w:t xml:space="preserve">、</w:t>
      </w:r>
      <w:r>
        <w:rPr>
          <w:rStyle w:val="VerbatimChar"/>
        </w:rPr>
        <w:t xml:space="preserve">Tenure</w:t>
      </w:r>
      <w:r>
        <w:t xml:space="preserve"> </w:t>
      </w:r>
      <w:r>
        <w:rPr>
          <w:rFonts w:hint="eastAsia"/>
        </w:rPr>
        <w:t xml:space="preserve">和</w:t>
      </w:r>
      <w:r>
        <w:t xml:space="preserve"> </w:t>
      </w:r>
      <w:r>
        <w:rPr>
          <w:rStyle w:val="VerbatimChar"/>
        </w:rPr>
        <w:t xml:space="preserve">Roa</w:t>
      </w:r>
      <w:r>
        <w:t xml:space="preserve">。</w:t>
      </w:r>
      <w:r>
        <w:rPr>
          <w:rStyle w:val="VerbatimChar"/>
        </w:rPr>
        <w:t xml:space="preserve">lnSubsidy</w:t>
      </w:r>
      <w:r>
        <w:t xml:space="preserve"> </w:t>
      </w:r>
      <w:r>
        <w:rPr>
          <w:rFonts w:hint="eastAsia"/>
        </w:rPr>
        <w:t xml:space="preserve">被稳定保留，说明其对超额薪酬具有稳健解释力。</w:t>
      </w:r>
    </w:p>
    <w:bookmarkEnd w:id="19"/>
    <w:bookmarkStart w:id="20" w:name="随机森林特征重要性与预测"/>
    <w:p>
      <w:pPr>
        <w:pStyle w:val="Heading4"/>
      </w:pPr>
      <w:r>
        <w:t xml:space="preserve">5.6.2 </w:t>
      </w:r>
      <w:r>
        <w:rPr>
          <w:rFonts w:hint="eastAsia"/>
        </w:rPr>
        <w:t xml:space="preserve">随机森林——特征重要性与预测</w:t>
      </w:r>
    </w:p>
    <w:p>
      <w:pPr>
        <w:pStyle w:val="FirstParagraph"/>
      </w:pPr>
      <w:r>
        <w:rPr>
          <w:rFonts w:hint="eastAsia"/>
        </w:rPr>
        <w:t xml:space="preserve">随机森林回归的样本外预测结果为：R²</w:t>
      </w:r>
      <w:r>
        <w:t xml:space="preserve"> = </w:t>
      </w:r>
      <w:r>
        <w:rPr>
          <w:rFonts w:hint="eastAsia"/>
        </w:rPr>
        <w:t xml:space="preserve">0.1421，RMSE</w:t>
      </w:r>
      <w:r>
        <w:t xml:space="preserve"> = </w:t>
      </w:r>
      <w:r>
        <w:rPr>
          <w:rFonts w:hint="eastAsia"/>
        </w:rPr>
        <w:t xml:space="preserve">0.5237，MAE</w:t>
      </w:r>
      <w:r>
        <w:t xml:space="preserve"> = </w:t>
      </w:r>
      <w:r>
        <w:rPr>
          <w:rFonts w:hint="eastAsia"/>
        </w:rPr>
        <w:t xml:space="preserve">0.4033；5</w:t>
      </w:r>
      <w:r>
        <w:t xml:space="preserve"> </w:t>
      </w:r>
      <w:r>
        <w:rPr>
          <w:rFonts w:hint="eastAsia"/>
        </w:rPr>
        <w:t xml:space="preserve">折交叉验证</w:t>
      </w:r>
      <w:r>
        <w:t xml:space="preserve"> R² = 0.0694 ± </w:t>
      </w:r>
      <w:r>
        <w:rPr>
          <w:rFonts w:hint="eastAsia"/>
        </w:rPr>
        <w:t xml:space="preserve">0.0182。分类模型用于识别“是否存在超额薪酬”，准确率为</w:t>
      </w:r>
      <w:r>
        <w:t xml:space="preserve"> </w:t>
      </w:r>
      <w:r>
        <w:rPr>
          <w:rFonts w:hint="eastAsia"/>
        </w:rPr>
        <w:t xml:space="preserve">0.6268。回归特征重要性排序中，</w:t>
      </w:r>
      <w:r>
        <w:rPr>
          <w:rStyle w:val="VerbatimChar"/>
        </w:rPr>
        <w:t xml:space="preserve">Roa</w:t>
      </w:r>
      <w:r>
        <w:t xml:space="preserve"> </w:t>
      </w:r>
      <w:r>
        <w:rPr>
          <w:rFonts w:hint="eastAsia"/>
        </w:rPr>
        <w:t xml:space="preserve">位列第一，</w:t>
      </w:r>
      <w:r>
        <w:rPr>
          <w:rStyle w:val="VerbatimChar"/>
        </w:rPr>
        <w:t xml:space="preserve">lnSubsidy</w:t>
      </w:r>
      <w:r>
        <w:t xml:space="preserve"> </w:t>
      </w:r>
      <w:r>
        <w:rPr>
          <w:rFonts w:hint="eastAsia"/>
        </w:rPr>
        <w:t xml:space="preserve">位列第二，说明政府补助在非线性模型中依然具有重要作用。</w:t>
      </w:r>
    </w:p>
    <w:bookmarkEnd w:id="20"/>
    <w:bookmarkStart w:id="21" w:name="xgboost-shap-可解释性分析"/>
    <w:p>
      <w:pPr>
        <w:pStyle w:val="Heading4"/>
      </w:pPr>
      <w:r>
        <w:t xml:space="preserve">5.6.3 XGBoost + SHAP </w:t>
      </w:r>
      <w:r>
        <w:rPr>
          <w:rFonts w:hint="eastAsia"/>
        </w:rPr>
        <w:t xml:space="preserve">可解释性分析</w:t>
      </w:r>
    </w:p>
    <w:p>
      <w:pPr>
        <w:pStyle w:val="FirstParagraph"/>
      </w:pPr>
      <w:r>
        <w:t xml:space="preserve">XGBoost </w:t>
      </w:r>
      <w:r>
        <w:rPr>
          <w:rFonts w:hint="eastAsia"/>
        </w:rPr>
        <w:t xml:space="preserve">的样本外预测表现优于随机森林：R²</w:t>
      </w:r>
      <w:r>
        <w:t xml:space="preserve"> = </w:t>
      </w:r>
      <w:r>
        <w:rPr>
          <w:rFonts w:hint="eastAsia"/>
        </w:rPr>
        <w:t xml:space="preserve">0.2012，RMSE</w:t>
      </w:r>
      <w:r>
        <w:t xml:space="preserve"> = </w:t>
      </w:r>
      <w:r>
        <w:rPr>
          <w:rFonts w:hint="eastAsia"/>
        </w:rPr>
        <w:t xml:space="preserve">0.5054，5</w:t>
      </w:r>
      <w:r>
        <w:t xml:space="preserve"> </w:t>
      </w:r>
      <w:r>
        <w:rPr>
          <w:rFonts w:hint="eastAsia"/>
        </w:rPr>
        <w:t xml:space="preserve">折交叉验证</w:t>
      </w:r>
      <w:r>
        <w:t xml:space="preserve"> R² = 0.0723 ± 0.0278。SHAP </w:t>
      </w:r>
      <w:r>
        <w:rPr>
          <w:rFonts w:hint="eastAsia"/>
        </w:rPr>
        <w:t xml:space="preserve">重要性排序显示，</w:t>
      </w:r>
      <w:r>
        <w:rPr>
          <w:rStyle w:val="VerbatimChar"/>
        </w:rPr>
        <w:t xml:space="preserve">lnSubsidy</w:t>
      </w:r>
      <w:r>
        <w:t xml:space="preserve"> </w:t>
      </w:r>
      <w:r>
        <w:rPr>
          <w:rFonts w:hint="eastAsia"/>
        </w:rPr>
        <w:t xml:space="preserve">为第一重要变量，且</w:t>
      </w:r>
      <w:r>
        <w:t xml:space="preserve"> SHAP </w:t>
      </w:r>
      <w:r>
        <w:rPr>
          <w:rFonts w:hint="eastAsia"/>
        </w:rPr>
        <w:t xml:space="preserve">值整体为正，说明政府补助的提高显著抬升了超额薪酬的预测值。这一结果与计量回归的主结论高度一致。</w:t>
      </w:r>
    </w:p>
    <w:bookmarkEnd w:id="21"/>
    <w:bookmarkStart w:id="22" w:name="决策树与-k-means-企业画像"/>
    <w:p>
      <w:pPr>
        <w:pStyle w:val="Heading4"/>
      </w:pPr>
      <w:r>
        <w:t xml:space="preserve">5.6.4 </w:t>
      </w:r>
      <w:r>
        <w:rPr>
          <w:rFonts w:hint="eastAsia"/>
        </w:rPr>
        <w:t xml:space="preserve">决策树与</w:t>
      </w:r>
      <w:r>
        <w:t xml:space="preserve"> K-Means </w:t>
      </w:r>
      <w:r>
        <w:rPr>
          <w:rFonts w:hint="eastAsia"/>
        </w:rPr>
        <w:t xml:space="preserve">企业画像</w:t>
      </w:r>
    </w:p>
    <w:p>
      <w:pPr>
        <w:pStyle w:val="FirstParagraph"/>
      </w:pPr>
      <w:r>
        <w:rPr>
          <w:rFonts w:hint="eastAsia"/>
        </w:rPr>
        <w:t xml:space="preserve">决策树分类准确率为</w:t>
      </w:r>
      <w:r>
        <w:t xml:space="preserve"> </w:t>
      </w:r>
      <w:r>
        <w:rPr>
          <w:rFonts w:hint="eastAsia"/>
        </w:rPr>
        <w:t xml:space="preserve">0.5580，虽然整体精度不高，但可视化规则显示“高补助</w:t>
      </w:r>
      <w:r>
        <w:t xml:space="preserve"> + </w:t>
      </w:r>
      <w:r>
        <w:rPr>
          <w:rFonts w:hint="eastAsia"/>
        </w:rPr>
        <w:t xml:space="preserve">特定治理结构”是超额薪酬的重要风险路径。K-Means</w:t>
      </w:r>
      <w:r>
        <w:t xml:space="preserve"> </w:t>
      </w:r>
      <w:r>
        <w:rPr>
          <w:rFonts w:hint="eastAsia"/>
        </w:rPr>
        <w:t xml:space="preserve">聚类的最优聚类数为</w:t>
      </w:r>
      <w:r>
        <w:t xml:space="preserve"> K = </w:t>
      </w:r>
      <w:r>
        <w:rPr>
          <w:rFonts w:hint="eastAsia"/>
        </w:rPr>
        <w:t xml:space="preserve">2，高补助聚类同时表现为更高杠杆、更高平均薪酬和更高国有企业占比，这与前文制度异质性分析的方向一致。</w:t>
      </w:r>
    </w:p>
    <w:bookmarkEnd w:id="22"/>
    <w:bookmarkStart w:id="23" w:name="模型性能对比"/>
    <w:p>
      <w:pPr>
        <w:pStyle w:val="Heading4"/>
      </w:pPr>
      <w:r>
        <w:t xml:space="preserve">5.6.5 </w:t>
      </w:r>
      <w:r>
        <w:rPr>
          <w:rFonts w:hint="eastAsia"/>
        </w:rPr>
        <w:t xml:space="preserve">模型性能对比</w:t>
      </w:r>
    </w:p>
    <w:p>
      <w:pPr>
        <w:pStyle w:val="FirstParagraph"/>
      </w:pPr>
      <w:r>
        <w:rPr>
          <w:rFonts w:hint="eastAsia"/>
          <w:b/>
          <w:bCs/>
        </w:rPr>
        <w:t xml:space="preserve">表</w:t>
      </w:r>
      <w:r>
        <w:rPr>
          <w:b/>
          <w:bCs/>
        </w:rPr>
        <w:t xml:space="preserve"> 8 </w:t>
      </w:r>
      <w:r>
        <w:rPr>
          <w:rFonts w:hint="eastAsia"/>
          <w:b/>
          <w:bCs/>
        </w:rPr>
        <w:t xml:space="preserve">机器学习模型预测性能对比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模型</w:t>
            </w:r>
          </w:p>
        </w:tc>
        <w:tc>
          <w:tcPr/>
          <w:p>
            <w:pPr>
              <w:pStyle w:val="Compact"/>
              <w:jc w:val="center"/>
            </w:pPr>
            <w:r>
              <w:t xml:space="preserve">R²</w:t>
            </w:r>
          </w:p>
        </w:tc>
        <w:tc>
          <w:tcPr/>
          <w:p>
            <w:pPr>
              <w:pStyle w:val="Compact"/>
              <w:jc w:val="center"/>
            </w:pPr>
            <w:r>
              <w:t xml:space="preserve">RMSE</w:t>
            </w:r>
          </w:p>
        </w:tc>
        <w:tc>
          <w:tcPr/>
          <w:p>
            <w:pPr>
              <w:pStyle w:val="Compact"/>
              <w:jc w:val="center"/>
            </w:pPr>
            <w:r>
              <w:t xml:space="preserve">MAE</w:t>
            </w:r>
          </w:p>
        </w:tc>
      </w:tr>
      <w:tr>
        <w:tc>
          <w:tcPr/>
          <w:p>
            <w:pPr>
              <w:pStyle w:val="Compact"/>
              <w:jc w:val="left"/>
            </w:pPr>
            <w:r>
              <w:t xml:space="preserve">Lasso </w:t>
            </w:r>
            <w:r>
              <w:rPr>
                <w:rFonts w:hint="eastAsia"/>
              </w:rPr>
              <w:t xml:space="preserve">回归</w:t>
            </w:r>
          </w:p>
        </w:tc>
        <w:tc>
          <w:tcPr/>
          <w:p>
            <w:pPr>
              <w:pStyle w:val="Compact"/>
              <w:jc w:val="center"/>
            </w:pPr>
            <w:r>
              <w:t xml:space="preserve">0.0362</w:t>
            </w:r>
          </w:p>
        </w:tc>
        <w:tc>
          <w:tcPr/>
          <w:p>
            <w:pPr>
              <w:pStyle w:val="Compact"/>
              <w:jc w:val="center"/>
            </w:pPr>
            <w:r>
              <w:t xml:space="preserve">0.5551</w:t>
            </w:r>
          </w:p>
        </w:tc>
        <w:tc>
          <w:tcPr/>
          <w:p>
            <w:pPr>
              <w:pStyle w:val="Compact"/>
              <w:jc w:val="center"/>
            </w:pPr>
            <w:r>
              <w:t xml:space="preserve">0.4281</w:t>
            </w:r>
          </w:p>
        </w:tc>
      </w:tr>
      <w:tr>
        <w:tc>
          <w:tcPr/>
          <w:p>
            <w:pPr>
              <w:pStyle w:val="Compact"/>
              <w:jc w:val="left"/>
            </w:pPr>
            <w:r>
              <w:rPr>
                <w:rFonts w:hint="eastAsia"/>
              </w:rPr>
              <w:t xml:space="preserve">随机森林</w:t>
            </w:r>
          </w:p>
        </w:tc>
        <w:tc>
          <w:tcPr/>
          <w:p>
            <w:pPr>
              <w:pStyle w:val="Compact"/>
              <w:jc w:val="center"/>
            </w:pPr>
            <w:r>
              <w:t xml:space="preserve">0.1421</w:t>
            </w:r>
          </w:p>
        </w:tc>
        <w:tc>
          <w:tcPr/>
          <w:p>
            <w:pPr>
              <w:pStyle w:val="Compact"/>
              <w:jc w:val="center"/>
            </w:pPr>
            <w:r>
              <w:t xml:space="preserve">0.5237</w:t>
            </w:r>
          </w:p>
        </w:tc>
        <w:tc>
          <w:tcPr/>
          <w:p>
            <w:pPr>
              <w:pStyle w:val="Compact"/>
              <w:jc w:val="center"/>
            </w:pPr>
            <w:r>
              <w:t xml:space="preserve">0.4033</w:t>
            </w:r>
          </w:p>
        </w:tc>
      </w:tr>
      <w:tr>
        <w:tc>
          <w:tcPr/>
          <w:p>
            <w:pPr>
              <w:pStyle w:val="Compact"/>
              <w:jc w:val="left"/>
            </w:pPr>
            <w:r>
              <w:t xml:space="preserve">XGBoost</w:t>
            </w:r>
          </w:p>
        </w:tc>
        <w:tc>
          <w:tcPr/>
          <w:p>
            <w:pPr>
              <w:pStyle w:val="Compact"/>
              <w:jc w:val="center"/>
            </w:pPr>
            <w:r>
              <w:t xml:space="preserve">0.2012</w:t>
            </w:r>
          </w:p>
        </w:tc>
        <w:tc>
          <w:tcPr/>
          <w:p>
            <w:pPr>
              <w:pStyle w:val="Compact"/>
              <w:jc w:val="center"/>
            </w:pPr>
            <w:r>
              <w:t xml:space="preserve">0.5054</w:t>
            </w:r>
          </w:p>
        </w:tc>
        <w:tc>
          <w:tcPr/>
          <w:p>
            <w:pPr>
              <w:pStyle w:val="Compact"/>
              <w:jc w:val="center"/>
            </w:pPr>
            <w:r>
              <w:t xml:space="preserve">0.3900</w:t>
            </w:r>
          </w:p>
        </w:tc>
      </w:tr>
    </w:tbl>
    <w:p>
      <w:pPr>
        <w:pStyle w:val="BodyText"/>
      </w:pPr>
      <w:r>
        <w:rPr>
          <w:rFonts w:hint="eastAsia"/>
        </w:rPr>
        <w:t xml:space="preserve">总体来看，XGBoost</w:t>
      </w:r>
      <w:r>
        <w:t xml:space="preserve"> </w:t>
      </w:r>
      <w:r>
        <w:rPr>
          <w:rFonts w:hint="eastAsia"/>
        </w:rPr>
        <w:t xml:space="preserve">的预测性能最优，Lasso</w:t>
      </w:r>
      <w:r>
        <w:t xml:space="preserve"> </w:t>
      </w:r>
      <w:r>
        <w:rPr>
          <w:rFonts w:hint="eastAsia"/>
        </w:rPr>
        <w:t xml:space="preserve">则在变量筛选上提供了更清晰的解释性支持。机器学习结果从预测角度进一步验证了</w:t>
      </w:r>
      <w:r>
        <w:t xml:space="preserve"> </w:t>
      </w:r>
      <w:r>
        <w:rPr>
          <w:rStyle w:val="VerbatimChar"/>
        </w:rPr>
        <w:t xml:space="preserve">lnSubsidy</w:t>
      </w:r>
      <w:r>
        <w:t xml:space="preserve"> </w:t>
      </w:r>
      <w:r>
        <w:rPr>
          <w:rFonts w:hint="eastAsia"/>
        </w:rPr>
        <w:t xml:space="preserve">的重要性，并揭示了超额薪酬形成过程中的非线性特征。</w:t>
      </w:r>
    </w:p>
    <w:p>
      <w:r>
        <w:pict>
          <v:rect style="width:0;height:1.5pt" o:hralign="center" o:hrstd="t" o:hr="t"/>
        </w:pict>
      </w:r>
    </w:p>
    <w:bookmarkEnd w:id="23"/>
    <w:bookmarkEnd w:id="24"/>
    <w:bookmarkEnd w:id="25"/>
    <w:bookmarkStart w:id="26" w:name="研究结论"/>
    <w:p>
      <w:pPr>
        <w:pStyle w:val="Heading2"/>
      </w:pPr>
      <w:r>
        <w:t xml:space="preserve">6. </w:t>
      </w:r>
      <w:r>
        <w:rPr>
          <w:rFonts w:hint="eastAsia"/>
        </w:rPr>
        <w:t xml:space="preserve">研究结论</w:t>
      </w:r>
    </w:p>
    <w:p>
      <w:pPr>
        <w:pStyle w:val="FirstParagraph"/>
      </w:pPr>
      <w:r>
        <w:rPr>
          <w:rFonts w:hint="eastAsia"/>
        </w:rPr>
        <w:t xml:space="preserve">本文基于</w:t>
      </w:r>
      <w:r>
        <w:t xml:space="preserve"> 2003–2024 </w:t>
      </w:r>
      <w:r>
        <w:rPr>
          <w:rFonts w:hint="eastAsia"/>
        </w:rPr>
        <w:t xml:space="preserve">年沪深</w:t>
      </w:r>
      <w:r>
        <w:t xml:space="preserve"> A </w:t>
      </w:r>
      <w:r>
        <w:rPr>
          <w:rFonts w:hint="eastAsia"/>
        </w:rPr>
        <w:t xml:space="preserve">股上市公司面板数据，综合运用计量经济学方法与机器学习技术，系统考察了政府补助对高管超额薪酬的影响及其内在机制。主要结论如下：</w:t>
      </w:r>
    </w:p>
    <w:p>
      <w:pPr>
        <w:pStyle w:val="BodyText"/>
      </w:pPr>
      <w:r>
        <w:rPr>
          <w:rFonts w:hint="eastAsia"/>
          <w:b/>
          <w:bCs/>
        </w:rPr>
        <w:t xml:space="preserve">（1）政府补助显著推高高管超额薪酬，H1</w:t>
      </w:r>
      <w:r>
        <w:rPr>
          <w:b/>
          <w:bCs/>
        </w:rPr>
        <w:t xml:space="preserve"> </w:t>
      </w:r>
      <w:r>
        <w:rPr>
          <w:rFonts w:hint="eastAsia"/>
          <w:b/>
          <w:bCs/>
        </w:rPr>
        <w:t xml:space="preserve">得到支持。</w:t>
      </w:r>
      <w:r>
        <w:t xml:space="preserve"> </w:t>
      </w:r>
      <w:r>
        <w:rPr>
          <w:rFonts w:hint="eastAsia"/>
        </w:rPr>
        <w:t xml:space="preserve">在控制公司业绩、财务杠杆、股权集中度、区域特征以及行业和年份固定效应后，lnSubsidy</w:t>
      </w:r>
      <w:r>
        <w:t xml:space="preserve"> </w:t>
      </w:r>
      <w:r>
        <w:rPr>
          <w:rFonts w:hint="eastAsia"/>
        </w:rPr>
        <w:t xml:space="preserve">的系数在全样本中稳定为正且高度显著。</w:t>
      </w:r>
    </w:p>
    <w:p>
      <w:pPr>
        <w:pStyle w:val="BodyText"/>
      </w:pPr>
      <w:r>
        <w:rPr>
          <w:rFonts w:hint="eastAsia"/>
          <w:b/>
          <w:bCs/>
        </w:rPr>
        <w:t xml:space="preserve">（2）管理层权力的中介效应在全样本下不成立。</w:t>
      </w:r>
      <w:r>
        <w:t xml:space="preserve"> </w:t>
      </w:r>
      <w:r>
        <w:rPr>
          <w:rFonts w:hint="eastAsia"/>
        </w:rPr>
        <w:t xml:space="preserve">虽然政府补助显著提升管理层权力，但</w:t>
      </w:r>
      <w:r>
        <w:t xml:space="preserve"> Power </w:t>
      </w:r>
      <w:r>
        <w:rPr>
          <w:rFonts w:hint="eastAsia"/>
        </w:rPr>
        <w:t xml:space="preserve">对</w:t>
      </w:r>
      <w:r>
        <w:t xml:space="preserve"> Overpay </w:t>
      </w:r>
      <w:r>
        <w:rPr>
          <w:rFonts w:hint="eastAsia"/>
        </w:rPr>
        <w:t xml:space="preserve">的直接作用不显著，原始</w:t>
      </w:r>
      <w:r>
        <w:t xml:space="preserve"> Sobel </w:t>
      </w:r>
      <w:r>
        <w:rPr>
          <w:rFonts w:hint="eastAsia"/>
        </w:rPr>
        <w:t xml:space="preserve">与</w:t>
      </w:r>
      <w:r>
        <w:t xml:space="preserve"> cluster bootstrap </w:t>
      </w:r>
      <w:r>
        <w:rPr>
          <w:rFonts w:hint="eastAsia"/>
        </w:rPr>
        <w:t xml:space="preserve">均不支持全样本中介，因此</w:t>
      </w:r>
      <w:r>
        <w:t xml:space="preserve"> H2 </w:t>
      </w:r>
      <w:r>
        <w:rPr>
          <w:rFonts w:hint="eastAsia"/>
        </w:rPr>
        <w:t xml:space="preserve">不能在全样本层面成立。</w:t>
      </w:r>
    </w:p>
    <w:p>
      <w:pPr>
        <w:pStyle w:val="BodyText"/>
      </w:pPr>
      <w:r>
        <w:rPr>
          <w:rFonts w:hint="eastAsia"/>
          <w:b/>
          <w:bCs/>
        </w:rPr>
        <w:t xml:space="preserve">（3）中介机制具有明显的情境依赖性，但相关证据属于探索性支持。</w:t>
      </w:r>
      <w:r>
        <w:t xml:space="preserve"> </w:t>
      </w:r>
      <w:r>
        <w:rPr>
          <w:rFonts w:hint="eastAsia"/>
        </w:rPr>
        <w:t xml:space="preserve">在东部样本、2003–2012</w:t>
      </w:r>
      <w:r>
        <w:t xml:space="preserve"> </w:t>
      </w:r>
      <w:r>
        <w:rPr>
          <w:rFonts w:hint="eastAsia"/>
        </w:rPr>
        <w:t xml:space="preserve">样本、国有×东部样本以及地方国企×东部样本中，原始</w:t>
      </w:r>
      <w:r>
        <w:t xml:space="preserve"> </w:t>
      </w:r>
      <w:r>
        <w:rPr>
          <w:rFonts w:hint="eastAsia"/>
        </w:rPr>
        <w:t xml:space="preserve">Sobel、层内</w:t>
      </w:r>
      <w:r>
        <w:t xml:space="preserve"> FDR </w:t>
      </w:r>
      <w:r>
        <w:rPr>
          <w:rFonts w:hint="eastAsia"/>
        </w:rPr>
        <w:t xml:space="preserve">和</w:t>
      </w:r>
      <w:r>
        <w:t xml:space="preserve"> cluster bootstrap </w:t>
      </w:r>
      <w:r>
        <w:rPr>
          <w:rFonts w:hint="eastAsia"/>
        </w:rPr>
        <w:t xml:space="preserve">提供了一致的探索性稳健支持；地方国企样本与地方国企×后期样本仅保留原始</w:t>
      </w:r>
      <w:r>
        <w:t xml:space="preserve"> Sobel </w:t>
      </w:r>
      <w:r>
        <w:rPr>
          <w:rFonts w:hint="eastAsia"/>
        </w:rPr>
        <w:t xml:space="preserve">的边际证据。这说明管理层权力的中介作用主要出现在特定制度环境和样本时期，而非普遍存在于全部上市公司。</w:t>
      </w:r>
    </w:p>
    <w:p>
      <w:pPr>
        <w:pStyle w:val="BodyText"/>
      </w:pPr>
      <w:r>
        <w:rPr>
          <w:rFonts w:hint="eastAsia"/>
          <w:b/>
          <w:bCs/>
        </w:rPr>
        <w:t xml:space="preserve">（4）产权、行业监管与国企层级会显著影响补助效应大小。</w:t>
      </w:r>
      <w:r>
        <w:t xml:space="preserve"> </w:t>
      </w:r>
      <w:r>
        <w:rPr>
          <w:rFonts w:hint="eastAsia"/>
        </w:rPr>
        <w:t xml:space="preserve">私营企业中补助效应明显强于国有企业；非管制行业强于管制行业；地方国企强于央企。这表明外部监管和内部治理约束会改变财政补贴向高管超额薪酬转化的强度。</w:t>
      </w:r>
    </w:p>
    <w:p>
      <w:pPr>
        <w:pStyle w:val="BodyText"/>
      </w:pPr>
      <w:r>
        <w:rPr>
          <w:rFonts w:hint="eastAsia"/>
          <w:b/>
          <w:bCs/>
        </w:rPr>
        <w:t xml:space="preserve">（5）机器学习分析从预测视角验证了计量结论。</w:t>
      </w:r>
      <w:r>
        <w:t xml:space="preserve"> </w:t>
      </w:r>
      <w:r>
        <w:t xml:space="preserve">Lasso </w:t>
      </w:r>
      <w:r>
        <w:rPr>
          <w:rFonts w:hint="eastAsia"/>
        </w:rPr>
        <w:t xml:space="preserve">保留了</w:t>
      </w:r>
      <w:r>
        <w:t xml:space="preserve"> </w:t>
      </w:r>
      <w:r>
        <w:rPr>
          <w:rStyle w:val="VerbatimChar"/>
        </w:rPr>
        <w:t xml:space="preserve">lnSubsidy</w:t>
      </w:r>
      <w:r>
        <w:t xml:space="preserve"> </w:t>
      </w:r>
      <w:r>
        <w:rPr>
          <w:rFonts w:hint="eastAsia"/>
        </w:rPr>
        <w:t xml:space="preserve">等核心变量，XGBoost</w:t>
      </w:r>
      <w:r>
        <w:t xml:space="preserve"> </w:t>
      </w:r>
      <w:r>
        <w:rPr>
          <w:rFonts w:hint="eastAsia"/>
        </w:rPr>
        <w:t xml:space="preserve">的</w:t>
      </w:r>
      <w:r>
        <w:t xml:space="preserve"> SHAP </w:t>
      </w:r>
      <w:r>
        <w:rPr>
          <w:rFonts w:hint="eastAsia"/>
        </w:rPr>
        <w:t xml:space="preserve">分析更将</w:t>
      </w:r>
      <w:r>
        <w:t xml:space="preserve"> </w:t>
      </w:r>
      <w:r>
        <w:rPr>
          <w:rStyle w:val="VerbatimChar"/>
        </w:rPr>
        <w:t xml:space="preserve">lnSubsidy</w:t>
      </w:r>
      <w:r>
        <w:t xml:space="preserve"> </w:t>
      </w:r>
      <w:r>
        <w:rPr>
          <w:rFonts w:hint="eastAsia"/>
        </w:rPr>
        <w:t xml:space="preserve">排名为最重要特征，说明政府补助在非线性模型中同样是高管超额薪酬的重要驱动因素。</w:t>
      </w:r>
    </w:p>
    <w:p>
      <w:pPr>
        <w:pStyle w:val="BodyText"/>
      </w:pPr>
      <w:r>
        <w:rPr>
          <w:rFonts w:hint="eastAsia"/>
          <w:b/>
          <w:bCs/>
        </w:rPr>
        <w:t xml:space="preserve">实践启示</w:t>
      </w:r>
      <w:r>
        <w:rPr>
          <w:rFonts w:hint="eastAsia"/>
        </w:rPr>
        <w:t xml:space="preserve">：财政部门和监管机构应重点关注补贴资金在东部地区及部分地方国企治理环境中的资源配置问题；企业层面则应强化董事会治理和薪酬约束机制，防止补贴资源被管理层内部化。对于分组中介结果，政策含义应以“探索性情境证据”而非“普遍机制”来表述。</w:t>
      </w:r>
    </w:p>
    <w:p>
      <w:pPr>
        <w:pStyle w:val="BodyText"/>
      </w:pPr>
      <w:r>
        <w:rPr>
          <w:rFonts w:hint="eastAsia"/>
          <w:b/>
          <w:bCs/>
        </w:rPr>
        <w:t xml:space="preserve">研究局限与展望</w:t>
      </w:r>
      <w:r>
        <w:rPr>
          <w:rFonts w:hint="eastAsia"/>
        </w:rPr>
        <w:t xml:space="preserve">：本文尚未引入工具变量或动态面板处理潜在内生性问题，PCA</w:t>
      </w:r>
      <w:r>
        <w:t xml:space="preserve"> </w:t>
      </w:r>
      <w:r>
        <w:rPr>
          <w:rFonts w:hint="eastAsia"/>
        </w:rPr>
        <w:t xml:space="preserve">指标的</w:t>
      </w:r>
      <w:r>
        <w:t xml:space="preserve"> KMO </w:t>
      </w:r>
      <w:r>
        <w:rPr>
          <w:rFonts w:hint="eastAsia"/>
        </w:rPr>
        <w:t xml:space="preserve">水平也仅属基本可接受。后续研究可进一步细化管理层权力度量，并结合文本数据与机器学习方法开展更高维度的机制识别。</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2026-03-22T15:37:09Z</dcterms:created>
  <dcterms:modified xsi:type="dcterms:W3CDTF">2026-03-22T15:37:09Z</dcterms:modified>
</cp:coreProperties>
</file>

<file path=docProps/custom.xml><?xml version="1.0" encoding="utf-8"?>
<Properties xmlns="http://schemas.openxmlformats.org/officeDocument/2006/custom-properties" xmlns:vt="http://schemas.openxmlformats.org/officeDocument/2006/docPropsVTypes"/>
</file>