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AF5152">
      <w:pPr>
        <w:tabs>
          <w:tab w:val="left" w:pos="2550"/>
        </w:tabs>
        <w:spacing w:line="312" w:lineRule="auto"/>
        <w:jc w:val="center"/>
        <w:rPr>
          <w:rFonts w:eastAsia="黑体"/>
          <w:b/>
          <w:bCs/>
          <w:sz w:val="32"/>
        </w:rPr>
      </w:pPr>
    </w:p>
    <w:p w14:paraId="126CF7BD">
      <w:pPr>
        <w:tabs>
          <w:tab w:val="left" w:pos="2550"/>
        </w:tabs>
        <w:spacing w:line="312" w:lineRule="auto"/>
        <w:jc w:val="center"/>
        <w:rPr>
          <w:rFonts w:eastAsia="黑体"/>
          <w:b/>
          <w:bCs/>
          <w:sz w:val="32"/>
        </w:rPr>
      </w:pPr>
      <w:r>
        <w:rPr>
          <w:rFonts w:eastAsia="黑体"/>
          <w:b/>
          <w:bCs/>
          <w:sz w:val="32"/>
        </w:rPr>
        <w:drawing>
          <wp:anchor distT="0" distB="0" distL="114300" distR="114300" simplePos="0" relativeHeight="251659264"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14:paraId="426A467A">
      <w:pPr>
        <w:tabs>
          <w:tab w:val="left" w:pos="2550"/>
        </w:tabs>
        <w:spacing w:line="312" w:lineRule="auto"/>
        <w:jc w:val="center"/>
        <w:rPr>
          <w:rFonts w:eastAsia="黑体"/>
          <w:b/>
          <w:bCs/>
          <w:sz w:val="32"/>
        </w:rPr>
      </w:pPr>
    </w:p>
    <w:p w14:paraId="2683D9FA">
      <w:pPr>
        <w:tabs>
          <w:tab w:val="left" w:pos="2550"/>
        </w:tabs>
        <w:spacing w:line="312" w:lineRule="auto"/>
        <w:jc w:val="center"/>
        <w:rPr>
          <w:rFonts w:eastAsia="黑体"/>
          <w:b/>
          <w:bCs/>
          <w:sz w:val="32"/>
        </w:rPr>
      </w:pPr>
      <w:bookmarkStart w:id="105" w:name="_GoBack"/>
      <w:bookmarkEnd w:id="105"/>
    </w:p>
    <w:p w14:paraId="5AFAEA98">
      <w:pPr>
        <w:tabs>
          <w:tab w:val="left" w:pos="2550"/>
        </w:tabs>
        <w:spacing w:line="312" w:lineRule="auto"/>
        <w:jc w:val="center"/>
        <w:rPr>
          <w:rFonts w:eastAsia="黑体"/>
          <w:b/>
          <w:bCs/>
          <w:sz w:val="52"/>
          <w:szCs w:val="52"/>
        </w:rPr>
      </w:pPr>
      <w:r>
        <w:rPr>
          <w:rFonts w:hint="eastAsia" w:eastAsia="黑体"/>
          <w:b/>
          <w:bCs/>
          <w:sz w:val="52"/>
          <w:szCs w:val="52"/>
        </w:rPr>
        <w:t>本 科 生 毕 业 论 文 正 文</w:t>
      </w:r>
    </w:p>
    <w:p w14:paraId="035A51C2">
      <w:pPr>
        <w:tabs>
          <w:tab w:val="left" w:pos="2550"/>
        </w:tabs>
        <w:spacing w:line="312" w:lineRule="auto"/>
        <w:jc w:val="center"/>
        <w:rPr>
          <w:rFonts w:eastAsia="黑体"/>
          <w:b/>
          <w:bCs/>
          <w:sz w:val="32"/>
        </w:rPr>
      </w:pPr>
    </w:p>
    <w:p w14:paraId="36ECDF3D">
      <w:pPr>
        <w:tabs>
          <w:tab w:val="left" w:pos="2550"/>
        </w:tabs>
        <w:spacing w:line="312" w:lineRule="auto"/>
        <w:jc w:val="center"/>
        <w:rPr>
          <w:rFonts w:eastAsia="楷体"/>
          <w:bCs/>
          <w:sz w:val="32"/>
        </w:rPr>
      </w:pPr>
      <w:r>
        <w:rPr>
          <w:rFonts w:eastAsia="楷体"/>
          <w:bCs/>
          <w:sz w:val="32"/>
        </w:rPr>
        <w:t>（</w:t>
      </w:r>
      <w:r>
        <w:rPr>
          <w:rFonts w:eastAsia="楷体"/>
          <w:bCs/>
          <w:sz w:val="32"/>
          <w:u w:val="single"/>
        </w:rPr>
        <w:t xml:space="preserve"> 202</w:t>
      </w:r>
      <w:r>
        <w:rPr>
          <w:rFonts w:hint="eastAsia" w:eastAsia="楷体"/>
          <w:bCs/>
          <w:sz w:val="32"/>
          <w:u w:val="single"/>
          <w:lang w:val="en-US" w:eastAsia="zh-CN"/>
        </w:rPr>
        <w:t>6</w:t>
      </w:r>
      <w:r>
        <w:rPr>
          <w:rFonts w:eastAsia="楷体"/>
          <w:bCs/>
          <w:sz w:val="32"/>
          <w:u w:val="single"/>
        </w:rPr>
        <w:t xml:space="preserve"> </w:t>
      </w:r>
      <w:r>
        <w:rPr>
          <w:rFonts w:eastAsia="楷体"/>
          <w:bCs/>
          <w:sz w:val="32"/>
        </w:rPr>
        <w:t>届）</w:t>
      </w:r>
    </w:p>
    <w:p w14:paraId="53107CE2">
      <w:pPr>
        <w:tabs>
          <w:tab w:val="left" w:pos="2550"/>
        </w:tabs>
        <w:spacing w:line="312" w:lineRule="auto"/>
        <w:jc w:val="center"/>
        <w:rPr>
          <w:rFonts w:eastAsia="黑体"/>
          <w:b/>
          <w:bCs/>
          <w:sz w:val="32"/>
        </w:rPr>
      </w:pPr>
    </w:p>
    <w:p w14:paraId="36230AFD"/>
    <w:p w14:paraId="033CD22E">
      <w:pPr>
        <w:spacing w:line="240" w:lineRule="exact"/>
        <w:ind w:firstLine="720" w:firstLineChars="400"/>
        <w:rPr>
          <w:sz w:val="18"/>
          <w:szCs w:val="18"/>
        </w:rPr>
      </w:pPr>
    </w:p>
    <w:tbl>
      <w:tblPr>
        <w:tblStyle w:val="16"/>
        <w:tblW w:w="9115" w:type="dxa"/>
        <w:jc w:val="center"/>
        <w:tblLayout w:type="autofit"/>
        <w:tblCellMar>
          <w:top w:w="0" w:type="dxa"/>
          <w:left w:w="108" w:type="dxa"/>
          <w:bottom w:w="0" w:type="dxa"/>
          <w:right w:w="108" w:type="dxa"/>
        </w:tblCellMar>
      </w:tblPr>
      <w:tblGrid>
        <w:gridCol w:w="1865"/>
        <w:gridCol w:w="3522"/>
        <w:gridCol w:w="1417"/>
        <w:gridCol w:w="2311"/>
      </w:tblGrid>
      <w:tr w14:paraId="7B8302AA">
        <w:trPr>
          <w:trHeight w:val="600" w:hRule="atLeast"/>
          <w:jc w:val="center"/>
        </w:trPr>
        <w:tc>
          <w:tcPr>
            <w:tcW w:w="1865" w:type="dxa"/>
            <w:tcBorders>
              <w:top w:val="nil"/>
              <w:left w:val="nil"/>
              <w:bottom w:val="nil"/>
              <w:right w:val="nil"/>
            </w:tcBorders>
            <w:shd w:val="clear" w:color="auto" w:fill="auto"/>
            <w:vAlign w:val="bottom"/>
          </w:tcPr>
          <w:p w14:paraId="68ED7D2B">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论文题目</w:t>
            </w:r>
          </w:p>
        </w:tc>
        <w:tc>
          <w:tcPr>
            <w:tcW w:w="7250" w:type="dxa"/>
            <w:gridSpan w:val="3"/>
            <w:tcBorders>
              <w:top w:val="nil"/>
              <w:left w:val="nil"/>
              <w:bottom w:val="single" w:color="auto" w:sz="4" w:space="0"/>
              <w:right w:val="nil"/>
            </w:tcBorders>
            <w:shd w:val="clear" w:color="auto" w:fill="auto"/>
            <w:vAlign w:val="bottom"/>
          </w:tcPr>
          <w:p w14:paraId="38A3225B">
            <w:pPr>
              <w:tabs>
                <w:tab w:val="left" w:pos="2550"/>
              </w:tabs>
              <w:spacing w:before="0" w:after="0" w:line="312" w:lineRule="auto"/>
              <w:ind w:firstLine="0"/>
              <w:jc w:val="both"/>
              <w:rPr>
                <w:rFonts w:ascii="楷体" w:hAnsi="楷体" w:eastAsia="楷体"/>
                <w:color w:val="000000"/>
                <w:kern w:val="0"/>
                <w:sz w:val="28"/>
                <w:szCs w:val="28"/>
              </w:rPr>
            </w:pPr>
            <w:r>
              <w:rPr>
                <w:rFonts w:hint="eastAsia" w:ascii="楷体" w:hAnsi="楷体" w:eastAsia="楷体" w:cs="楷体"/>
                <w:sz w:val="28"/>
                <w:szCs w:val="28"/>
              </w:rPr>
              <w:t>基于数据挖掘的上市公司财政补贴与高管超额薪酬研究</w:t>
            </w:r>
          </w:p>
        </w:tc>
      </w:tr>
      <w:tr w14:paraId="78CFF492">
        <w:trPr>
          <w:trHeight w:val="585" w:hRule="atLeast"/>
          <w:jc w:val="center"/>
        </w:trPr>
        <w:tc>
          <w:tcPr>
            <w:tcW w:w="1865" w:type="dxa"/>
            <w:tcBorders>
              <w:top w:val="nil"/>
              <w:left w:val="nil"/>
              <w:bottom w:val="nil"/>
              <w:right w:val="nil"/>
            </w:tcBorders>
            <w:shd w:val="clear" w:color="auto" w:fill="auto"/>
            <w:vAlign w:val="bottom"/>
          </w:tcPr>
          <w:p w14:paraId="1A62D773">
            <w:pPr>
              <w:widowControl/>
              <w:spacing w:line="340" w:lineRule="exact"/>
              <w:jc w:val="center"/>
              <w:rPr>
                <w:rFonts w:ascii="楷体_GB2312" w:hAnsi="宋体" w:eastAsia="楷体_GB2312" w:cs="宋体"/>
                <w:color w:val="000000"/>
                <w:kern w:val="0"/>
                <w:sz w:val="30"/>
                <w:szCs w:val="30"/>
              </w:rPr>
            </w:pPr>
          </w:p>
        </w:tc>
        <w:tc>
          <w:tcPr>
            <w:tcW w:w="7250" w:type="dxa"/>
            <w:gridSpan w:val="3"/>
            <w:tcBorders>
              <w:top w:val="single" w:color="auto" w:sz="4" w:space="0"/>
              <w:left w:val="nil"/>
              <w:bottom w:val="single" w:color="auto" w:sz="4" w:space="0"/>
              <w:right w:val="nil"/>
            </w:tcBorders>
            <w:shd w:val="clear" w:color="auto" w:fill="auto"/>
            <w:vAlign w:val="bottom"/>
          </w:tcPr>
          <w:p w14:paraId="2F02FF0B">
            <w:pPr>
              <w:widowControl/>
              <w:rPr>
                <w:rFonts w:ascii="楷体" w:hAnsi="楷体" w:eastAsia="楷体"/>
                <w:color w:val="000000"/>
                <w:kern w:val="0"/>
                <w:sz w:val="28"/>
                <w:szCs w:val="28"/>
              </w:rPr>
            </w:pPr>
          </w:p>
        </w:tc>
      </w:tr>
      <w:tr w14:paraId="2C7EB046">
        <w:trPr>
          <w:trHeight w:val="1270" w:hRule="atLeast"/>
          <w:jc w:val="center"/>
        </w:trPr>
        <w:tc>
          <w:tcPr>
            <w:tcW w:w="9115" w:type="dxa"/>
            <w:gridSpan w:val="4"/>
            <w:tcBorders>
              <w:top w:val="nil"/>
              <w:left w:val="nil"/>
              <w:right w:val="nil"/>
            </w:tcBorders>
            <w:shd w:val="clear" w:color="auto" w:fill="auto"/>
            <w:noWrap/>
            <w:vAlign w:val="bottom"/>
          </w:tcPr>
          <w:p w14:paraId="3B76ED52">
            <w:pPr>
              <w:widowControl/>
              <w:spacing w:line="340" w:lineRule="exact"/>
              <w:jc w:val="center"/>
              <w:rPr>
                <w:rFonts w:ascii="宋体" w:hAnsi="宋体" w:cs="宋体"/>
                <w:color w:val="000000"/>
                <w:kern w:val="0"/>
                <w:sz w:val="22"/>
                <w:szCs w:val="22"/>
              </w:rPr>
            </w:pPr>
          </w:p>
        </w:tc>
      </w:tr>
      <w:tr w14:paraId="7743DA11">
        <w:trPr>
          <w:trHeight w:val="600" w:hRule="atLeast"/>
          <w:jc w:val="center"/>
        </w:trPr>
        <w:tc>
          <w:tcPr>
            <w:tcW w:w="1865" w:type="dxa"/>
            <w:tcBorders>
              <w:top w:val="nil"/>
              <w:left w:val="nil"/>
              <w:bottom w:val="nil"/>
              <w:right w:val="nil"/>
            </w:tcBorders>
            <w:shd w:val="clear" w:color="auto" w:fill="auto"/>
            <w:vAlign w:val="bottom"/>
          </w:tcPr>
          <w:p w14:paraId="197DC710">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学生姓名</w:t>
            </w:r>
          </w:p>
        </w:tc>
        <w:tc>
          <w:tcPr>
            <w:tcW w:w="3522" w:type="dxa"/>
            <w:tcBorders>
              <w:top w:val="nil"/>
              <w:left w:val="nil"/>
              <w:bottom w:val="single" w:color="auto" w:sz="4" w:space="0"/>
              <w:right w:val="nil"/>
            </w:tcBorders>
            <w:shd w:val="clear" w:color="auto" w:fill="auto"/>
            <w:noWrap/>
            <w:vAlign w:val="bottom"/>
          </w:tcPr>
          <w:p w14:paraId="336BFDB6">
            <w:pPr>
              <w:widowControl/>
              <w:jc w:val="center"/>
              <w:rPr>
                <w:rFonts w:hint="eastAsia" w:ascii="楷体" w:hAnsi="楷体" w:eastAsia="楷体" w:cs="宋体"/>
                <w:color w:val="000000"/>
                <w:kern w:val="0"/>
                <w:sz w:val="24"/>
                <w:lang w:val="en-US" w:eastAsia="zh-CN"/>
              </w:rPr>
            </w:pPr>
            <w:r>
              <w:rPr>
                <w:rFonts w:hint="eastAsia" w:ascii="楷体" w:hAnsi="楷体" w:eastAsia="楷体" w:cs="宋体"/>
                <w:color w:val="000000"/>
                <w:kern w:val="0"/>
                <w:sz w:val="24"/>
                <w:lang w:val="en-US" w:eastAsia="zh-CN"/>
              </w:rPr>
              <w:t>彭晓俞</w:t>
            </w:r>
          </w:p>
        </w:tc>
        <w:tc>
          <w:tcPr>
            <w:tcW w:w="1417" w:type="dxa"/>
            <w:tcBorders>
              <w:top w:val="nil"/>
              <w:left w:val="nil"/>
              <w:bottom w:val="nil"/>
              <w:right w:val="nil"/>
            </w:tcBorders>
            <w:shd w:val="clear" w:color="auto" w:fill="auto"/>
            <w:vAlign w:val="bottom"/>
          </w:tcPr>
          <w:p w14:paraId="3E401DC9">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 号</w:t>
            </w:r>
          </w:p>
        </w:tc>
        <w:tc>
          <w:tcPr>
            <w:tcW w:w="2311" w:type="dxa"/>
            <w:tcBorders>
              <w:top w:val="nil"/>
              <w:left w:val="nil"/>
              <w:bottom w:val="single" w:color="auto" w:sz="4" w:space="0"/>
              <w:right w:val="nil"/>
            </w:tcBorders>
            <w:shd w:val="clear" w:color="auto" w:fill="auto"/>
            <w:noWrap/>
            <w:vAlign w:val="bottom"/>
          </w:tcPr>
          <w:p w14:paraId="202F0166">
            <w:pPr>
              <w:widowControl/>
              <w:jc w:val="center"/>
              <w:rPr>
                <w:rFonts w:hint="default" w:ascii="楷体_GB2312" w:hAnsi="宋体" w:eastAsia="楷体_GB2312" w:cs="宋体"/>
                <w:color w:val="000000"/>
                <w:kern w:val="0"/>
                <w:sz w:val="24"/>
                <w:lang w:val="en-US" w:eastAsia="zh-CN"/>
              </w:rPr>
            </w:pPr>
            <w:r>
              <w:rPr>
                <w:rFonts w:hint="eastAsia" w:ascii="楷体" w:hAnsi="楷体" w:eastAsia="楷体" w:cs="楷体"/>
                <w:color w:val="000000"/>
                <w:kern w:val="0"/>
                <w:sz w:val="24"/>
                <w:lang w:val="en-US" w:eastAsia="zh-CN"/>
              </w:rPr>
              <w:t>2022212208011</w:t>
            </w:r>
          </w:p>
        </w:tc>
      </w:tr>
      <w:tr w14:paraId="27993B4E">
        <w:trPr>
          <w:trHeight w:val="600" w:hRule="atLeast"/>
          <w:jc w:val="center"/>
        </w:trPr>
        <w:tc>
          <w:tcPr>
            <w:tcW w:w="1865" w:type="dxa"/>
            <w:tcBorders>
              <w:top w:val="nil"/>
              <w:left w:val="nil"/>
              <w:bottom w:val="nil"/>
              <w:right w:val="nil"/>
            </w:tcBorders>
            <w:shd w:val="clear" w:color="auto" w:fill="auto"/>
            <w:vAlign w:val="bottom"/>
          </w:tcPr>
          <w:p w14:paraId="68FC7D46">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专    业</w:t>
            </w:r>
          </w:p>
        </w:tc>
        <w:tc>
          <w:tcPr>
            <w:tcW w:w="3522" w:type="dxa"/>
            <w:tcBorders>
              <w:top w:val="single" w:color="auto" w:sz="4" w:space="0"/>
              <w:left w:val="nil"/>
              <w:bottom w:val="single" w:color="auto" w:sz="4" w:space="0"/>
              <w:right w:val="nil"/>
            </w:tcBorders>
            <w:shd w:val="clear" w:color="auto" w:fill="auto"/>
            <w:vAlign w:val="bottom"/>
          </w:tcPr>
          <w:p w14:paraId="1CBFFE76">
            <w:pPr>
              <w:jc w:val="center"/>
              <w:rPr>
                <w:rFonts w:hint="default" w:ascii="楷体" w:hAnsi="楷体" w:eastAsia="楷体"/>
                <w:sz w:val="24"/>
                <w:lang w:val="en-US" w:eastAsia="zh-CN"/>
              </w:rPr>
            </w:pPr>
            <w:r>
              <w:rPr>
                <w:rFonts w:hint="eastAsia" w:ascii="楷体" w:hAnsi="楷体" w:eastAsia="楷体"/>
                <w:sz w:val="24"/>
                <w:lang w:val="en-US" w:eastAsia="zh-CN"/>
              </w:rPr>
              <w:t>计算机科学与技术（金融信息服务）</w:t>
            </w:r>
          </w:p>
        </w:tc>
        <w:tc>
          <w:tcPr>
            <w:tcW w:w="1417" w:type="dxa"/>
            <w:tcBorders>
              <w:top w:val="nil"/>
              <w:left w:val="nil"/>
              <w:bottom w:val="nil"/>
              <w:right w:val="nil"/>
            </w:tcBorders>
            <w:shd w:val="clear" w:color="auto" w:fill="auto"/>
            <w:vAlign w:val="bottom"/>
          </w:tcPr>
          <w:p w14:paraId="1D11DEB8">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班 级</w:t>
            </w:r>
          </w:p>
        </w:tc>
        <w:tc>
          <w:tcPr>
            <w:tcW w:w="2311" w:type="dxa"/>
            <w:tcBorders>
              <w:top w:val="single" w:color="auto" w:sz="4" w:space="0"/>
              <w:left w:val="nil"/>
              <w:bottom w:val="single" w:color="auto" w:sz="4" w:space="0"/>
              <w:right w:val="nil"/>
            </w:tcBorders>
            <w:shd w:val="clear" w:color="auto" w:fill="auto"/>
            <w:noWrap/>
            <w:vAlign w:val="bottom"/>
          </w:tcPr>
          <w:p w14:paraId="261F7C25">
            <w:pPr>
              <w:widowControl/>
              <w:jc w:val="center"/>
              <w:rPr>
                <w:rFonts w:hint="default" w:ascii="楷体_GB2312" w:hAnsi="宋体" w:eastAsia="楷体_GB2312" w:cs="宋体"/>
                <w:color w:val="000000"/>
                <w:kern w:val="0"/>
                <w:sz w:val="24"/>
                <w:lang w:val="en-US" w:eastAsia="zh-CN"/>
              </w:rPr>
            </w:pPr>
            <w:r>
              <w:rPr>
                <w:rFonts w:hint="eastAsia" w:ascii="楷体" w:hAnsi="楷体" w:eastAsia="楷体" w:cs="楷体"/>
                <w:color w:val="000000"/>
                <w:kern w:val="0"/>
                <w:sz w:val="24"/>
                <w:lang w:val="en-US" w:eastAsia="zh-CN"/>
              </w:rPr>
              <w:t>计算机（金融）223</w:t>
            </w:r>
          </w:p>
        </w:tc>
      </w:tr>
      <w:tr w14:paraId="7BCCD4B5">
        <w:trPr>
          <w:trHeight w:val="600" w:hRule="atLeast"/>
          <w:jc w:val="center"/>
        </w:trPr>
        <w:tc>
          <w:tcPr>
            <w:tcW w:w="1865" w:type="dxa"/>
            <w:tcBorders>
              <w:top w:val="nil"/>
              <w:left w:val="nil"/>
              <w:bottom w:val="nil"/>
              <w:right w:val="nil"/>
            </w:tcBorders>
            <w:shd w:val="clear" w:color="auto" w:fill="auto"/>
            <w:vAlign w:val="bottom"/>
          </w:tcPr>
          <w:p w14:paraId="01CBF7D2">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指导教师</w:t>
            </w:r>
          </w:p>
        </w:tc>
        <w:tc>
          <w:tcPr>
            <w:tcW w:w="3522" w:type="dxa"/>
            <w:tcBorders>
              <w:top w:val="single" w:color="auto" w:sz="4" w:space="0"/>
              <w:left w:val="nil"/>
              <w:bottom w:val="single" w:color="auto" w:sz="4" w:space="0"/>
              <w:right w:val="nil"/>
            </w:tcBorders>
            <w:shd w:val="clear" w:color="auto" w:fill="auto"/>
            <w:vAlign w:val="bottom"/>
          </w:tcPr>
          <w:p w14:paraId="51F31638">
            <w:pPr>
              <w:widowControl/>
              <w:jc w:val="center"/>
              <w:rPr>
                <w:rFonts w:hint="eastAsia" w:ascii="楷体" w:hAnsi="楷体" w:eastAsia="楷体" w:cs="宋体"/>
                <w:color w:val="000000"/>
                <w:kern w:val="0"/>
                <w:sz w:val="24"/>
                <w:lang w:val="en-US" w:eastAsia="zh-CN"/>
              </w:rPr>
            </w:pPr>
            <w:r>
              <w:rPr>
                <w:rFonts w:hint="eastAsia" w:ascii="楷体" w:hAnsi="楷体" w:eastAsia="楷体" w:cs="宋体"/>
                <w:color w:val="000000"/>
                <w:kern w:val="0"/>
                <w:sz w:val="24"/>
                <w:lang w:val="en-US" w:eastAsia="zh-CN"/>
              </w:rPr>
              <w:t>周一真</w:t>
            </w:r>
          </w:p>
        </w:tc>
        <w:tc>
          <w:tcPr>
            <w:tcW w:w="1417" w:type="dxa"/>
            <w:tcBorders>
              <w:top w:val="nil"/>
              <w:left w:val="nil"/>
              <w:bottom w:val="nil"/>
              <w:right w:val="nil"/>
            </w:tcBorders>
            <w:shd w:val="clear" w:color="auto" w:fill="auto"/>
            <w:vAlign w:val="bottom"/>
          </w:tcPr>
          <w:p w14:paraId="0612A147">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职 称</w:t>
            </w:r>
          </w:p>
        </w:tc>
        <w:tc>
          <w:tcPr>
            <w:tcW w:w="2311" w:type="dxa"/>
            <w:tcBorders>
              <w:top w:val="single" w:color="auto" w:sz="4" w:space="0"/>
              <w:left w:val="nil"/>
              <w:bottom w:val="single" w:color="auto" w:sz="4" w:space="0"/>
              <w:right w:val="nil"/>
            </w:tcBorders>
            <w:shd w:val="clear" w:color="auto" w:fill="auto"/>
            <w:noWrap/>
            <w:vAlign w:val="bottom"/>
          </w:tcPr>
          <w:p w14:paraId="44187DFC">
            <w:pPr>
              <w:widowControl/>
              <w:jc w:val="center"/>
              <w:rPr>
                <w:rFonts w:hint="eastAsia" w:ascii="楷体_GB2312" w:hAnsi="宋体" w:eastAsia="楷体_GB2312" w:cs="宋体"/>
                <w:color w:val="000000"/>
                <w:kern w:val="0"/>
                <w:sz w:val="24"/>
                <w:lang w:val="en-US" w:eastAsia="zh-CN"/>
              </w:rPr>
            </w:pPr>
            <w:r>
              <w:rPr>
                <w:rFonts w:hint="eastAsia" w:ascii="楷体" w:hAnsi="楷体" w:eastAsia="楷体" w:cs="楷体"/>
                <w:color w:val="000000"/>
                <w:kern w:val="0"/>
                <w:sz w:val="24"/>
                <w:lang w:val="en-US" w:eastAsia="zh-CN"/>
              </w:rPr>
              <w:t>讲师</w:t>
            </w:r>
          </w:p>
        </w:tc>
      </w:tr>
    </w:tbl>
    <w:p w14:paraId="0144F7C0">
      <w:pPr>
        <w:spacing w:line="380" w:lineRule="exact"/>
        <w:ind w:firstLine="1280" w:firstLineChars="400"/>
        <w:rPr>
          <w:sz w:val="32"/>
        </w:rPr>
      </w:pPr>
    </w:p>
    <w:p w14:paraId="214A5E64">
      <w:pPr>
        <w:spacing w:line="380" w:lineRule="exact"/>
        <w:ind w:firstLine="1280" w:firstLineChars="400"/>
        <w:rPr>
          <w:sz w:val="32"/>
        </w:rPr>
      </w:pPr>
    </w:p>
    <w:p w14:paraId="3E83AF98">
      <w:pPr>
        <w:spacing w:line="360" w:lineRule="auto"/>
        <w:ind w:firstLine="1280" w:firstLineChars="400"/>
        <w:rPr>
          <w:sz w:val="32"/>
        </w:rPr>
      </w:pPr>
    </w:p>
    <w:p w14:paraId="67CEF765">
      <w:pPr>
        <w:tabs>
          <w:tab w:val="left" w:pos="2550"/>
        </w:tabs>
        <w:spacing w:line="312" w:lineRule="auto"/>
        <w:jc w:val="center"/>
        <w:rPr>
          <w:rFonts w:eastAsia="黑体"/>
          <w:b/>
          <w:bCs/>
          <w:sz w:val="32"/>
        </w:rPr>
      </w:pPr>
    </w:p>
    <w:p w14:paraId="74D44582">
      <w:pPr>
        <w:tabs>
          <w:tab w:val="left" w:pos="2550"/>
        </w:tabs>
        <w:spacing w:line="312" w:lineRule="auto"/>
        <w:jc w:val="center"/>
        <w:rPr>
          <w:rFonts w:eastAsia="黑体"/>
          <w:b/>
          <w:bCs/>
          <w:sz w:val="32"/>
        </w:rPr>
      </w:pPr>
    </w:p>
    <w:p w14:paraId="01F9866D">
      <w:pPr>
        <w:tabs>
          <w:tab w:val="left" w:pos="2550"/>
        </w:tabs>
        <w:spacing w:line="312" w:lineRule="auto"/>
        <w:jc w:val="center"/>
        <w:rPr>
          <w:rFonts w:eastAsia="黑体"/>
          <w:b/>
          <w:bCs/>
          <w:sz w:val="32"/>
        </w:rPr>
      </w:pPr>
    </w:p>
    <w:p w14:paraId="7CE981BB">
      <w:pPr>
        <w:jc w:val="center"/>
        <w:rPr>
          <w:rFonts w:ascii="仿宋" w:hAnsi="仿宋" w:eastAsia="仿宋"/>
          <w:b/>
          <w:bCs/>
          <w:sz w:val="32"/>
        </w:rPr>
      </w:pPr>
      <w:r>
        <w:rPr>
          <w:rFonts w:hint="eastAsia" w:ascii="仿宋" w:hAnsi="仿宋" w:eastAsia="仿宋"/>
          <w:b/>
          <w:bCs/>
          <w:sz w:val="32"/>
        </w:rPr>
        <w:t>信息科学与技术学院</w:t>
      </w:r>
    </w:p>
    <w:p w14:paraId="79DBC083">
      <w:pPr>
        <w:tabs>
          <w:tab w:val="left" w:pos="2550"/>
        </w:tabs>
        <w:spacing w:line="312" w:lineRule="auto"/>
        <w:jc w:val="center"/>
        <w:rPr>
          <w:rFonts w:ascii="华文楷体" w:hAnsi="华文楷体" w:eastAsia="华文楷体"/>
          <w:b/>
          <w:bCs/>
          <w:sz w:val="32"/>
        </w:rPr>
        <w:sectPr>
          <w:headerReference r:id="rId3" w:type="default"/>
          <w:footerReference r:id="rId4" w:type="even"/>
          <w:pgSz w:w="11906" w:h="16838"/>
          <w:pgMar w:top="1134" w:right="1134" w:bottom="1134" w:left="1701" w:header="737" w:footer="624" w:gutter="0"/>
          <w:pgNumType w:start="1"/>
          <w:cols w:space="425" w:num="1"/>
          <w:docGrid w:type="lines" w:linePitch="312" w:charSpace="0"/>
        </w:sectPr>
      </w:pPr>
    </w:p>
    <w:p w14:paraId="3EFFFCE3">
      <w:pPr>
        <w:tabs>
          <w:tab w:val="left" w:pos="2550"/>
        </w:tabs>
        <w:rPr>
          <w:rFonts w:ascii="华文楷体" w:hAnsi="华文楷体" w:eastAsia="华文楷体"/>
          <w:b/>
          <w:bCs/>
          <w:szCs w:val="21"/>
        </w:rPr>
      </w:pPr>
    </w:p>
    <w:p w14:paraId="1AD6F66E">
      <w:pPr>
        <w:tabs>
          <w:tab w:val="left" w:pos="2550"/>
        </w:tabs>
        <w:spacing w:before="0" w:after="0" w:line="312" w:lineRule="auto"/>
        <w:ind w:firstLine="0"/>
        <w:jc w:val="center"/>
        <w:rPr>
          <w:rFonts w:eastAsia="黑体"/>
          <w:bCs/>
          <w:sz w:val="32"/>
        </w:rPr>
      </w:pPr>
      <w:r>
        <w:rPr>
          <w:rFonts w:ascii="黑体" w:hAnsi="黑体" w:eastAsia="黑体"/>
          <w:sz w:val="32"/>
        </w:rPr>
        <w:t>基于数据挖掘的上市公司财政补贴</w:t>
      </w:r>
      <w:r>
        <w:rPr>
          <w:rFonts w:ascii="黑体" w:hAnsi="黑体" w:eastAsia="黑体"/>
          <w:sz w:val="32"/>
        </w:rPr>
        <w:br w:type="textWrapping"/>
      </w:r>
      <w:r>
        <w:rPr>
          <w:rFonts w:ascii="黑体" w:hAnsi="黑体" w:eastAsia="黑体"/>
          <w:sz w:val="32"/>
        </w:rPr>
        <w:t>与高管超额薪酬研究</w:t>
      </w:r>
    </w:p>
    <w:p w14:paraId="3C63A0C7">
      <w:pPr>
        <w:tabs>
          <w:tab w:val="left" w:pos="2550"/>
        </w:tabs>
        <w:jc w:val="center"/>
        <w:rPr>
          <w:rFonts w:ascii="宋体" w:hAnsi="宋体"/>
          <w:b/>
          <w:bCs/>
          <w:szCs w:val="21"/>
        </w:rPr>
      </w:pPr>
    </w:p>
    <w:p w14:paraId="18B2E120">
      <w:pPr>
        <w:tabs>
          <w:tab w:val="left" w:pos="2550"/>
        </w:tabs>
        <w:spacing w:before="0" w:after="0" w:line="312" w:lineRule="auto"/>
        <w:ind w:firstLine="0"/>
        <w:jc w:val="center"/>
        <w:rPr>
          <w:rFonts w:eastAsia="黑体"/>
          <w:bCs/>
          <w:sz w:val="28"/>
          <w:szCs w:val="28"/>
        </w:rPr>
      </w:pPr>
      <w:bookmarkStart w:id="0" w:name="_Toc105491688"/>
      <w:r>
        <w:rPr>
          <w:rFonts w:ascii="黑体" w:hAnsi="黑体" w:eastAsia="黑体"/>
          <w:sz w:val="28"/>
        </w:rPr>
        <w:t>摘  要</w:t>
      </w:r>
    </w:p>
    <w:p w14:paraId="12CF6A47">
      <w:pPr>
        <w:tabs>
          <w:tab w:val="left" w:pos="2550"/>
        </w:tabs>
        <w:jc w:val="center"/>
        <w:rPr>
          <w:rFonts w:ascii="宋体" w:hAnsi="宋体"/>
          <w:bCs/>
          <w:szCs w:val="21"/>
        </w:rPr>
      </w:pPr>
    </w:p>
    <w:p w14:paraId="5DDA3825">
      <w:pPr>
        <w:spacing w:before="0" w:after="0" w:line="312" w:lineRule="auto"/>
        <w:ind w:firstLine="358"/>
        <w:jc w:val="left"/>
        <w:rPr>
          <w:rFonts w:hint="eastAsia" w:ascii="宋体" w:hAnsi="宋体" w:eastAsia="宋体" w:cs="宋体"/>
          <w:lang w:eastAsia="zh-CN"/>
        </w:rPr>
      </w:pPr>
      <w:r>
        <w:rPr>
          <w:rFonts w:hint="eastAsia" w:ascii="宋体" w:hAnsi="宋体" w:eastAsia="宋体" w:cs="宋体"/>
          <w:sz w:val="21"/>
        </w:rPr>
        <w:t>本文以2003—2024年沪深A股非金融上市公司为观察对象，将基准回归限定在上一年已获财政补贴的公司年度，考察补贴强度与高管超额薪酬的关系。</w:t>
      </w:r>
      <w:r>
        <w:rPr>
          <w:rFonts w:hint="eastAsia" w:ascii="宋体" w:hAnsi="宋体" w:eastAsia="宋体" w:cs="宋体"/>
          <w:sz w:val="21"/>
          <w:lang w:val="en-US" w:eastAsia="zh-CN"/>
        </w:rPr>
        <w:t>结果</w:t>
      </w:r>
      <w:r>
        <w:rPr>
          <w:rFonts w:hint="eastAsia" w:ascii="宋体" w:hAnsi="宋体" w:eastAsia="宋体" w:cs="宋体"/>
          <w:sz w:val="21"/>
        </w:rPr>
        <w:t>显示，滞后一期正补助对数系数为正且显著。加入行业×年份固定效应、缩短样本期、仅保留制造业样本，并实施</w:t>
      </w:r>
      <w:r>
        <w:rPr>
          <w:rFonts w:hint="default" w:ascii="Times New Roman Regular" w:hAnsi="Times New Roman Regular" w:eastAsia="宋体" w:cs="Times New Roman Regular"/>
          <w:sz w:val="21"/>
        </w:rPr>
        <w:t>Heckman</w:t>
      </w:r>
      <w:r>
        <w:rPr>
          <w:rFonts w:hint="eastAsia" w:ascii="宋体" w:hAnsi="宋体" w:eastAsia="宋体" w:cs="宋体"/>
          <w:sz w:val="21"/>
        </w:rPr>
        <w:t>校正和事件动态检验后，结论方向保持一致。异质性发现表明，这一关联在民营企业和非管制行业更明显。管理层权力可能参与传导，但经济幅度较小。引入随机森林、</w:t>
      </w:r>
      <w:r>
        <w:rPr>
          <w:rFonts w:hint="default" w:ascii="Times New Roman Regular" w:hAnsi="Times New Roman Regular" w:eastAsia="宋体" w:cs="Times New Roman Regular"/>
          <w:sz w:val="21"/>
        </w:rPr>
        <w:t>SHAP</w:t>
      </w:r>
      <w:r>
        <w:rPr>
          <w:rFonts w:hint="eastAsia" w:ascii="宋体" w:hAnsi="宋体" w:eastAsia="宋体" w:cs="宋体"/>
          <w:sz w:val="21"/>
        </w:rPr>
        <w:t>、</w:t>
      </w:r>
      <w:r>
        <w:rPr>
          <w:rFonts w:hint="default" w:ascii="Times New Roman Regular" w:hAnsi="Times New Roman Regular" w:eastAsia="宋体" w:cs="Times New Roman Regular"/>
          <w:sz w:val="21"/>
        </w:rPr>
        <w:t>Lasso</w:t>
      </w:r>
      <w:r>
        <w:rPr>
          <w:rFonts w:hint="eastAsia" w:ascii="宋体" w:hAnsi="宋体" w:eastAsia="宋体" w:cs="宋体"/>
          <w:sz w:val="21"/>
        </w:rPr>
        <w:t>和</w:t>
      </w:r>
      <w:r>
        <w:rPr>
          <w:rFonts w:hint="default" w:ascii="Times New Roman Regular" w:hAnsi="Times New Roman Regular" w:eastAsia="宋体" w:cs="Times New Roman Regular"/>
          <w:sz w:val="21"/>
        </w:rPr>
        <w:t>XGBoos</w:t>
      </w:r>
      <w:r>
        <w:rPr>
          <w:rFonts w:hint="eastAsia" w:ascii="宋体" w:hAnsi="宋体" w:eastAsia="宋体" w:cs="宋体"/>
          <w:sz w:val="21"/>
        </w:rPr>
        <w:t>t等方法，对基准回归结果进行补充验证。</w:t>
      </w:r>
      <w:r>
        <w:rPr>
          <w:rFonts w:hint="eastAsia" w:ascii="宋体" w:hAnsi="宋体" w:eastAsia="宋体" w:cs="宋体"/>
          <w:sz w:val="21"/>
          <w:lang w:val="en-US" w:eastAsia="zh-CN"/>
        </w:rPr>
        <w:t>本文论证了</w:t>
      </w:r>
      <w:r>
        <w:rPr>
          <w:rFonts w:hint="eastAsia" w:ascii="宋体" w:hAnsi="宋体" w:eastAsia="宋体" w:cs="宋体"/>
          <w:b w:val="0"/>
          <w:sz w:val="21"/>
        </w:rPr>
        <w:t>财政补贴与高管超额薪酬之间存在较一致的条件相关</w:t>
      </w:r>
      <w:r>
        <w:rPr>
          <w:rFonts w:hint="eastAsia" w:ascii="宋体" w:hAnsi="宋体" w:eastAsia="宋体" w:cs="宋体"/>
          <w:b w:val="0"/>
          <w:sz w:val="21"/>
          <w:lang w:eastAsia="zh-CN"/>
        </w:rPr>
        <w:t>。</w:t>
      </w:r>
    </w:p>
    <w:p w14:paraId="7DD63B8C">
      <w:pPr>
        <w:spacing w:before="0" w:after="0" w:line="240" w:lineRule="auto"/>
        <w:ind w:firstLine="0"/>
        <w:jc w:val="left"/>
      </w:pPr>
    </w:p>
    <w:p w14:paraId="774EE962">
      <w:pPr>
        <w:spacing w:before="0" w:after="0" w:line="312" w:lineRule="auto"/>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14:paraId="66377E5B">
      <w:pPr>
        <w:pageBreakBefore/>
        <w:spacing w:before="0" w:after="0" w:line="240" w:lineRule="auto"/>
        <w:ind w:firstLine="0"/>
        <w:jc w:val="center"/>
      </w:pPr>
    </w:p>
    <w:p w14:paraId="635534C3">
      <w:pPr>
        <w:spacing w:before="0" w:after="0" w:line="240" w:lineRule="auto"/>
        <w:ind w:firstLine="0"/>
        <w:jc w:val="center"/>
      </w:pPr>
    </w:p>
    <w:p w14:paraId="637AA47C">
      <w:pPr>
        <w:spacing w:before="0" w:after="0" w:line="240" w:lineRule="auto"/>
        <w:ind w:firstLine="0"/>
        <w:jc w:val="left"/>
      </w:pPr>
    </w:p>
    <w:p w14:paraId="5F4298BE">
      <w:pPr>
        <w:pageBreakBefore w:val="0"/>
        <w:spacing w:before="0" w:after="0" w:line="312" w:lineRule="auto"/>
        <w:ind w:firstLine="0"/>
        <w:jc w:val="center"/>
      </w:pPr>
      <w:r>
        <w:rPr>
          <w:rFonts w:ascii="Times New Roman" w:hAnsi="Times New Roman" w:eastAsia="Times New Roman"/>
          <w:b/>
          <w:sz w:val="32"/>
        </w:rPr>
        <w:t>RESEARCH ON FISCAL SUBSIDIES AND EXECUTIVE</w:t>
      </w:r>
    </w:p>
    <w:p w14:paraId="1FEA0598">
      <w:pPr>
        <w:spacing w:before="0" w:after="0" w:line="312" w:lineRule="auto"/>
        <w:ind w:firstLine="0"/>
        <w:jc w:val="center"/>
      </w:pPr>
      <w:r>
        <w:rPr>
          <w:rFonts w:ascii="Times New Roman" w:hAnsi="Times New Roman" w:eastAsia="Times New Roman"/>
          <w:b/>
          <w:sz w:val="32"/>
        </w:rPr>
        <w:t>EXCESS COMPENSATION OF LISTED COMPANIES</w:t>
      </w:r>
    </w:p>
    <w:p w14:paraId="260082CD">
      <w:pPr>
        <w:spacing w:before="0" w:after="0" w:line="312" w:lineRule="auto"/>
        <w:ind w:firstLine="0"/>
        <w:jc w:val="center"/>
      </w:pPr>
      <w:r>
        <w:rPr>
          <w:rFonts w:ascii="Times New Roman" w:hAnsi="Times New Roman" w:eastAsia="Times New Roman"/>
          <w:b/>
          <w:sz w:val="32"/>
        </w:rPr>
        <w:t>BASED ON DATA MINING</w:t>
      </w:r>
    </w:p>
    <w:p w14:paraId="6888B71E">
      <w:pPr>
        <w:spacing w:before="0" w:after="0" w:line="240" w:lineRule="auto"/>
        <w:ind w:firstLine="0"/>
        <w:jc w:val="center"/>
      </w:pPr>
    </w:p>
    <w:p w14:paraId="78C2B9F7">
      <w:pPr>
        <w:spacing w:before="0" w:after="0" w:line="312" w:lineRule="auto"/>
        <w:ind w:firstLine="0"/>
        <w:jc w:val="center"/>
      </w:pPr>
      <w:r>
        <w:rPr>
          <w:rFonts w:ascii="Times New Roman" w:hAnsi="Times New Roman" w:eastAsia="Times New Roman"/>
          <w:b/>
          <w:sz w:val="28"/>
        </w:rPr>
        <w:t>ABSTRACT</w:t>
      </w:r>
    </w:p>
    <w:p w14:paraId="257F2A60">
      <w:pPr>
        <w:spacing w:before="0" w:after="0" w:line="240" w:lineRule="auto"/>
        <w:ind w:firstLine="0"/>
        <w:jc w:val="center"/>
      </w:pPr>
    </w:p>
    <w:p w14:paraId="7C944B5D">
      <w:pPr>
        <w:spacing w:before="0" w:after="0" w:line="312" w:lineRule="auto"/>
        <w:ind w:firstLine="420"/>
        <w:jc w:val="left"/>
      </w:pPr>
      <w:r>
        <w:rPr>
          <w:rFonts w:ascii="Times New Roman" w:hAnsi="Times New Roman" w:eastAsia="Times New Roman"/>
          <w:sz w:val="21"/>
        </w:rPr>
        <w:t>Using non-financial A-share listed firms from 2003 to 2024 as the observation frame, this study restricts the baseline regression to firm-year observations that had already received fiscal subsidies in the previous year and examines the association between subsidy intensity and executive excess compensation. The coefficient on the logarithm of lagged positive subsidies is positive and statistically significant. The direction remains stable after adding industry-by-year fixed effects, shortening the sample period, retaining only manufacturing firms, applying Heckman correction, and conducting an event-study dynamic check. Heterogeneity tests suggest that the association is more evident in private firms and non-regulated industries. Managerial power may serve as a partial channel, but its economic magnitude is small. The machine-learning section only provides predictive supplementary evidence. Overall, within already subsidized firms, higher subsidy intensity tends to be accompanied by higher executive excess compensation, while the interpretation remains cautious.</w:t>
      </w:r>
    </w:p>
    <w:p w14:paraId="41C06BFD">
      <w:pPr>
        <w:spacing w:before="0" w:after="0" w:line="240" w:lineRule="auto"/>
        <w:ind w:firstLine="0"/>
        <w:jc w:val="left"/>
      </w:pPr>
    </w:p>
    <w:p w14:paraId="3A61959E">
      <w:pPr>
        <w:spacing w:before="0" w:after="0" w:line="312" w:lineRule="auto"/>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14:paraId="429B4E33">
      <w:pPr>
        <w:spacing w:line="312" w:lineRule="auto"/>
        <w:ind w:right="25" w:rightChars="12"/>
        <w:sectPr>
          <w:headerReference r:id="rId5" w:type="default"/>
          <w:pgSz w:w="11906" w:h="16838"/>
          <w:pgMar w:top="1134" w:right="1134" w:bottom="1134" w:left="1701" w:header="737" w:footer="624" w:gutter="0"/>
          <w:pgNumType w:start="1"/>
          <w:cols w:space="425" w:num="1"/>
          <w:docGrid w:type="lines" w:linePitch="312" w:charSpace="0"/>
        </w:sectPr>
      </w:pPr>
    </w:p>
    <w:p w14:paraId="7519A12C">
      <w:pPr>
        <w:spacing w:line="312" w:lineRule="auto"/>
        <w:ind w:right="25" w:rightChars="12"/>
      </w:pPr>
    </w:p>
    <w:p w14:paraId="2CC7A074">
      <w:pPr>
        <w:spacing w:before="0" w:after="0" w:line="312" w:lineRule="auto"/>
        <w:ind w:right="25" w:rightChars="12" w:firstLine="0"/>
        <w:jc w:val="center"/>
        <w:rPr>
          <w:rFonts w:ascii="黑体" w:eastAsia="黑体"/>
          <w:sz w:val="32"/>
          <w:szCs w:val="32"/>
        </w:rPr>
      </w:pPr>
      <w:r>
        <w:rPr>
          <w:rFonts w:ascii="黑体" w:hAnsi="黑体" w:eastAsia="黑体"/>
          <w:sz w:val="32"/>
        </w:rPr>
        <w:t>目  录</w:t>
      </w:r>
    </w:p>
    <w:p w14:paraId="5074DD78">
      <w:pPr>
        <w:ind w:right="25" w:rightChars="12"/>
        <w:jc w:val="center"/>
      </w:pPr>
    </w:p>
    <w:p w14:paraId="6AE9BFF4">
      <w:pPr>
        <w:pStyle w:val="12"/>
      </w:pPr>
      <w:r>
        <w:fldChar w:fldCharType="begin"/>
      </w:r>
      <w:r>
        <w:instrText xml:space="preserve"> TOC \o "1-3" \h \z \u </w:instrText>
      </w:r>
      <w:r>
        <w:fldChar w:fldCharType="separate"/>
      </w:r>
      <w:r>
        <w:fldChar w:fldCharType="begin"/>
      </w:r>
      <w:r>
        <w:instrText xml:space="preserve"> HYPERLINK \l "_TocAuto0001" </w:instrText>
      </w:r>
      <w:r>
        <w:fldChar w:fldCharType="separate"/>
      </w:r>
      <w:r>
        <w:rPr>
          <w:rStyle w:val="22"/>
        </w:rPr>
        <w:t>第一章 绪论</w:t>
      </w:r>
      <w:r>
        <w:tab/>
      </w:r>
      <w:r>
        <w:fldChar w:fldCharType="begin"/>
      </w:r>
      <w:r>
        <w:instrText xml:space="preserve"> PAGEREF _TocAuto0001 \h </w:instrText>
      </w:r>
      <w:r>
        <w:fldChar w:fldCharType="separate"/>
      </w:r>
      <w:r>
        <w:t>1</w:t>
      </w:r>
      <w:r>
        <w:fldChar w:fldCharType="end"/>
      </w:r>
      <w:r>
        <w:fldChar w:fldCharType="end"/>
      </w:r>
    </w:p>
    <w:p w14:paraId="3E7FA85A">
      <w:pPr>
        <w:pStyle w:val="14"/>
      </w:pPr>
      <w:r>
        <w:fldChar w:fldCharType="begin"/>
      </w:r>
      <w:r>
        <w:instrText xml:space="preserve"> HYPERLINK \l "_TocAuto0002" </w:instrText>
      </w:r>
      <w:r>
        <w:fldChar w:fldCharType="separate"/>
      </w:r>
      <w:r>
        <w:rPr>
          <w:rStyle w:val="22"/>
        </w:rPr>
        <w:t>1.1 研究背景与问题提出</w:t>
      </w:r>
      <w:r>
        <w:tab/>
      </w:r>
      <w:r>
        <w:fldChar w:fldCharType="begin"/>
      </w:r>
      <w:r>
        <w:instrText xml:space="preserve"> PAGEREF _TocAuto0002 \h </w:instrText>
      </w:r>
      <w:r>
        <w:fldChar w:fldCharType="separate"/>
      </w:r>
      <w:r>
        <w:t>1</w:t>
      </w:r>
      <w:r>
        <w:fldChar w:fldCharType="end"/>
      </w:r>
      <w:r>
        <w:fldChar w:fldCharType="end"/>
      </w:r>
    </w:p>
    <w:p w14:paraId="5C021203">
      <w:pPr>
        <w:pStyle w:val="14"/>
      </w:pPr>
      <w:r>
        <w:fldChar w:fldCharType="begin"/>
      </w:r>
      <w:r>
        <w:instrText xml:space="preserve"> HYPERLINK \l "_TocAuto0003" </w:instrText>
      </w:r>
      <w:r>
        <w:fldChar w:fldCharType="separate"/>
      </w:r>
      <w:r>
        <w:rPr>
          <w:rStyle w:val="22"/>
        </w:rPr>
        <w:t>1.2 研究目的与研究意义</w:t>
      </w:r>
      <w:r>
        <w:tab/>
      </w:r>
      <w:r>
        <w:fldChar w:fldCharType="begin"/>
      </w:r>
      <w:r>
        <w:instrText xml:space="preserve"> PAGEREF _TocAuto0003 \h </w:instrText>
      </w:r>
      <w:r>
        <w:fldChar w:fldCharType="separate"/>
      </w:r>
      <w:r>
        <w:t>2</w:t>
      </w:r>
      <w:r>
        <w:fldChar w:fldCharType="end"/>
      </w:r>
      <w:r>
        <w:fldChar w:fldCharType="end"/>
      </w:r>
    </w:p>
    <w:p w14:paraId="1281C3A2">
      <w:pPr>
        <w:pStyle w:val="14"/>
      </w:pPr>
      <w:r>
        <w:fldChar w:fldCharType="begin"/>
      </w:r>
      <w:r>
        <w:instrText xml:space="preserve"> HYPERLINK \l "_TocAuto0004" </w:instrText>
      </w:r>
      <w:r>
        <w:fldChar w:fldCharType="separate"/>
      </w:r>
      <w:r>
        <w:rPr>
          <w:rStyle w:val="22"/>
        </w:rPr>
        <w:t>1.3 国内外研究现状</w:t>
      </w:r>
      <w:r>
        <w:tab/>
      </w:r>
      <w:r>
        <w:fldChar w:fldCharType="begin"/>
      </w:r>
      <w:r>
        <w:instrText xml:space="preserve"> PAGEREF _TocAuto0004 \h </w:instrText>
      </w:r>
      <w:r>
        <w:fldChar w:fldCharType="separate"/>
      </w:r>
      <w:r>
        <w:t>3</w:t>
      </w:r>
      <w:r>
        <w:fldChar w:fldCharType="end"/>
      </w:r>
      <w:r>
        <w:fldChar w:fldCharType="end"/>
      </w:r>
    </w:p>
    <w:p w14:paraId="186CCB45">
      <w:pPr>
        <w:pStyle w:val="14"/>
      </w:pPr>
      <w:r>
        <w:fldChar w:fldCharType="begin"/>
      </w:r>
      <w:r>
        <w:instrText xml:space="preserve"> HYPERLINK \l "_TocAuto0005" </w:instrText>
      </w:r>
      <w:r>
        <w:fldChar w:fldCharType="separate"/>
      </w:r>
      <w:r>
        <w:rPr>
          <w:rStyle w:val="22"/>
        </w:rPr>
        <w:t>1.4 研究方法与技术路线</w:t>
      </w:r>
      <w:r>
        <w:tab/>
      </w:r>
      <w:r>
        <w:fldChar w:fldCharType="begin"/>
      </w:r>
      <w:r>
        <w:instrText xml:space="preserve"> PAGEREF _TocAuto0005 \h </w:instrText>
      </w:r>
      <w:r>
        <w:fldChar w:fldCharType="separate"/>
      </w:r>
      <w:r>
        <w:t>7</w:t>
      </w:r>
      <w:r>
        <w:fldChar w:fldCharType="end"/>
      </w:r>
      <w:r>
        <w:fldChar w:fldCharType="end"/>
      </w:r>
    </w:p>
    <w:p w14:paraId="09A6C1F0">
      <w:pPr>
        <w:pStyle w:val="12"/>
      </w:pPr>
      <w:r>
        <w:fldChar w:fldCharType="begin"/>
      </w:r>
      <w:r>
        <w:instrText xml:space="preserve"> HYPERLINK \l "_TocAuto0006" </w:instrText>
      </w:r>
      <w:r>
        <w:fldChar w:fldCharType="separate"/>
      </w:r>
      <w:r>
        <w:rPr>
          <w:rStyle w:val="22"/>
        </w:rPr>
        <w:t>第二章 理论分析与假设</w:t>
      </w:r>
      <w:r>
        <w:tab/>
      </w:r>
      <w:r>
        <w:fldChar w:fldCharType="begin"/>
      </w:r>
      <w:r>
        <w:instrText xml:space="preserve"> PAGEREF _TocAuto0006 \h </w:instrText>
      </w:r>
      <w:r>
        <w:fldChar w:fldCharType="separate"/>
      </w:r>
      <w:r>
        <w:t>10</w:t>
      </w:r>
      <w:r>
        <w:fldChar w:fldCharType="end"/>
      </w:r>
      <w:r>
        <w:fldChar w:fldCharType="end"/>
      </w:r>
    </w:p>
    <w:p w14:paraId="15F0D630">
      <w:pPr>
        <w:pStyle w:val="14"/>
      </w:pPr>
      <w:r>
        <w:fldChar w:fldCharType="begin"/>
      </w:r>
      <w:r>
        <w:instrText xml:space="preserve"> HYPERLINK \l "_TocAuto0007" </w:instrText>
      </w:r>
      <w:r>
        <w:fldChar w:fldCharType="separate"/>
      </w:r>
      <w:r>
        <w:rPr>
          <w:rStyle w:val="22"/>
        </w:rPr>
        <w:t>2.1 概念界定</w:t>
      </w:r>
      <w:r>
        <w:tab/>
      </w:r>
      <w:r>
        <w:fldChar w:fldCharType="begin"/>
      </w:r>
      <w:r>
        <w:instrText xml:space="preserve"> PAGEREF _TocAuto0007 \h </w:instrText>
      </w:r>
      <w:r>
        <w:fldChar w:fldCharType="separate"/>
      </w:r>
      <w:r>
        <w:t>10</w:t>
      </w:r>
      <w:r>
        <w:fldChar w:fldCharType="end"/>
      </w:r>
      <w:r>
        <w:fldChar w:fldCharType="end"/>
      </w:r>
    </w:p>
    <w:p w14:paraId="473A64F4">
      <w:pPr>
        <w:pStyle w:val="14"/>
      </w:pPr>
      <w:r>
        <w:fldChar w:fldCharType="begin"/>
      </w:r>
      <w:r>
        <w:instrText xml:space="preserve"> HYPERLINK \l "_TocAuto0008" </w:instrText>
      </w:r>
      <w:r>
        <w:fldChar w:fldCharType="separate"/>
      </w:r>
      <w:r>
        <w:rPr>
          <w:rStyle w:val="22"/>
        </w:rPr>
        <w:t>2.2 理论基础</w:t>
      </w:r>
      <w:r>
        <w:tab/>
      </w:r>
      <w:r>
        <w:fldChar w:fldCharType="begin"/>
      </w:r>
      <w:r>
        <w:instrText xml:space="preserve"> PAGEREF _TocAuto0008 \h </w:instrText>
      </w:r>
      <w:r>
        <w:fldChar w:fldCharType="separate"/>
      </w:r>
      <w:r>
        <w:t>13</w:t>
      </w:r>
      <w:r>
        <w:fldChar w:fldCharType="end"/>
      </w:r>
      <w:r>
        <w:fldChar w:fldCharType="end"/>
      </w:r>
    </w:p>
    <w:p w14:paraId="657F1EAD">
      <w:pPr>
        <w:pStyle w:val="14"/>
      </w:pPr>
      <w:r>
        <w:fldChar w:fldCharType="begin"/>
      </w:r>
      <w:r>
        <w:instrText xml:space="preserve"> HYPERLINK \l "_TocAuto0009" </w:instrText>
      </w:r>
      <w:r>
        <w:fldChar w:fldCharType="separate"/>
      </w:r>
      <w:r>
        <w:rPr>
          <w:rStyle w:val="22"/>
        </w:rPr>
        <w:t>2.3 研究假设</w:t>
      </w:r>
      <w:r>
        <w:tab/>
      </w:r>
      <w:r>
        <w:fldChar w:fldCharType="begin"/>
      </w:r>
      <w:r>
        <w:instrText xml:space="preserve"> PAGEREF _TocAuto0009 \h </w:instrText>
      </w:r>
      <w:r>
        <w:fldChar w:fldCharType="separate"/>
      </w:r>
      <w:r>
        <w:t>19</w:t>
      </w:r>
      <w:r>
        <w:fldChar w:fldCharType="end"/>
      </w:r>
      <w:r>
        <w:fldChar w:fldCharType="end"/>
      </w:r>
    </w:p>
    <w:p w14:paraId="507F8927">
      <w:pPr>
        <w:pStyle w:val="12"/>
      </w:pPr>
      <w:r>
        <w:fldChar w:fldCharType="begin"/>
      </w:r>
      <w:r>
        <w:instrText xml:space="preserve"> HYPERLINK \l "_TocAuto0010" </w:instrText>
      </w:r>
      <w:r>
        <w:fldChar w:fldCharType="separate"/>
      </w:r>
      <w:r>
        <w:rPr>
          <w:rStyle w:val="22"/>
        </w:rPr>
        <w:t>第三章 研究设计</w:t>
      </w:r>
      <w:r>
        <w:tab/>
      </w:r>
      <w:r>
        <w:fldChar w:fldCharType="begin"/>
      </w:r>
      <w:r>
        <w:instrText xml:space="preserve"> PAGEREF _TocAuto0010 \h </w:instrText>
      </w:r>
      <w:r>
        <w:fldChar w:fldCharType="separate"/>
      </w:r>
      <w:r>
        <w:t>21</w:t>
      </w:r>
      <w:r>
        <w:fldChar w:fldCharType="end"/>
      </w:r>
      <w:r>
        <w:fldChar w:fldCharType="end"/>
      </w:r>
    </w:p>
    <w:p w14:paraId="1AC6CAAC">
      <w:pPr>
        <w:pStyle w:val="14"/>
      </w:pPr>
      <w:r>
        <w:fldChar w:fldCharType="begin"/>
      </w:r>
      <w:r>
        <w:instrText xml:space="preserve"> HYPERLINK \l "_TocAuto0011" </w:instrText>
      </w:r>
      <w:r>
        <w:fldChar w:fldCharType="separate"/>
      </w:r>
      <w:r>
        <w:rPr>
          <w:rStyle w:val="22"/>
        </w:rPr>
        <w:t>3.1 研究问题界定与分析框架</w:t>
      </w:r>
      <w:r>
        <w:tab/>
      </w:r>
      <w:r>
        <w:fldChar w:fldCharType="begin"/>
      </w:r>
      <w:r>
        <w:instrText xml:space="preserve"> PAGEREF _TocAuto0011 \h </w:instrText>
      </w:r>
      <w:r>
        <w:fldChar w:fldCharType="separate"/>
      </w:r>
      <w:r>
        <w:t>21</w:t>
      </w:r>
      <w:r>
        <w:fldChar w:fldCharType="end"/>
      </w:r>
      <w:r>
        <w:fldChar w:fldCharType="end"/>
      </w:r>
    </w:p>
    <w:p w14:paraId="00905D9E">
      <w:pPr>
        <w:pStyle w:val="14"/>
      </w:pPr>
      <w:r>
        <w:fldChar w:fldCharType="begin"/>
      </w:r>
      <w:r>
        <w:instrText xml:space="preserve"> HYPERLINK \l "_TocAuto0012" </w:instrText>
      </w:r>
      <w:r>
        <w:fldChar w:fldCharType="separate"/>
      </w:r>
      <w:r>
        <w:rPr>
          <w:rStyle w:val="22"/>
        </w:rPr>
        <w:t>3.2 样本选择与数据来源</w:t>
      </w:r>
      <w:r>
        <w:tab/>
      </w:r>
      <w:r>
        <w:fldChar w:fldCharType="begin"/>
      </w:r>
      <w:r>
        <w:instrText xml:space="preserve"> PAGEREF _TocAuto0012 \h </w:instrText>
      </w:r>
      <w:r>
        <w:fldChar w:fldCharType="separate"/>
      </w:r>
      <w:r>
        <w:t>22</w:t>
      </w:r>
      <w:r>
        <w:fldChar w:fldCharType="end"/>
      </w:r>
      <w:r>
        <w:fldChar w:fldCharType="end"/>
      </w:r>
    </w:p>
    <w:p w14:paraId="139C71B4">
      <w:pPr>
        <w:pStyle w:val="14"/>
      </w:pPr>
      <w:r>
        <w:fldChar w:fldCharType="begin"/>
      </w:r>
      <w:r>
        <w:instrText xml:space="preserve"> HYPERLINK \l "_TocAuto0013" </w:instrText>
      </w:r>
      <w:r>
        <w:fldChar w:fldCharType="separate"/>
      </w:r>
      <w:r>
        <w:rPr>
          <w:rStyle w:val="22"/>
        </w:rPr>
        <w:t>3.3 变量设定与说明</w:t>
      </w:r>
      <w:r>
        <w:tab/>
      </w:r>
      <w:r>
        <w:fldChar w:fldCharType="begin"/>
      </w:r>
      <w:r>
        <w:instrText xml:space="preserve"> PAGEREF _TocAuto0013 \h </w:instrText>
      </w:r>
      <w:r>
        <w:fldChar w:fldCharType="separate"/>
      </w:r>
      <w:r>
        <w:t>24</w:t>
      </w:r>
      <w:r>
        <w:fldChar w:fldCharType="end"/>
      </w:r>
      <w:r>
        <w:fldChar w:fldCharType="end"/>
      </w:r>
    </w:p>
    <w:p w14:paraId="4852BE23">
      <w:pPr>
        <w:pStyle w:val="14"/>
      </w:pPr>
      <w:r>
        <w:fldChar w:fldCharType="begin"/>
      </w:r>
      <w:r>
        <w:instrText xml:space="preserve"> HYPERLINK \l "_TocAuto0014" </w:instrText>
      </w:r>
      <w:r>
        <w:fldChar w:fldCharType="separate"/>
      </w:r>
      <w:r>
        <w:rPr>
          <w:rStyle w:val="22"/>
        </w:rPr>
        <w:t>3.4 模型设定</w:t>
      </w:r>
      <w:r>
        <w:tab/>
      </w:r>
      <w:r>
        <w:fldChar w:fldCharType="begin"/>
      </w:r>
      <w:r>
        <w:instrText xml:space="preserve"> PAGEREF _TocAuto0014 \h </w:instrText>
      </w:r>
      <w:r>
        <w:fldChar w:fldCharType="separate"/>
      </w:r>
      <w:r>
        <w:t>27</w:t>
      </w:r>
      <w:r>
        <w:fldChar w:fldCharType="end"/>
      </w:r>
      <w:r>
        <w:fldChar w:fldCharType="end"/>
      </w:r>
    </w:p>
    <w:p w14:paraId="79E1266D">
      <w:pPr>
        <w:pStyle w:val="14"/>
      </w:pPr>
      <w:r>
        <w:fldChar w:fldCharType="begin"/>
      </w:r>
      <w:r>
        <w:instrText xml:space="preserve"> HYPERLINK \l "_TocAuto0015" </w:instrText>
      </w:r>
      <w:r>
        <w:fldChar w:fldCharType="separate"/>
      </w:r>
      <w:r>
        <w:rPr>
          <w:rStyle w:val="22"/>
        </w:rPr>
        <w:t>3.5 机器学习方法</w:t>
      </w:r>
      <w:r>
        <w:tab/>
      </w:r>
      <w:r>
        <w:fldChar w:fldCharType="begin"/>
      </w:r>
      <w:r>
        <w:instrText xml:space="preserve"> PAGEREF _TocAuto0015 \h </w:instrText>
      </w:r>
      <w:r>
        <w:fldChar w:fldCharType="separate"/>
      </w:r>
      <w:r>
        <w:t>30</w:t>
      </w:r>
      <w:r>
        <w:fldChar w:fldCharType="end"/>
      </w:r>
      <w:r>
        <w:fldChar w:fldCharType="end"/>
      </w:r>
    </w:p>
    <w:p w14:paraId="22E7E9EA">
      <w:pPr>
        <w:pStyle w:val="12"/>
      </w:pPr>
      <w:r>
        <w:fldChar w:fldCharType="begin"/>
      </w:r>
      <w:r>
        <w:instrText xml:space="preserve"> HYPERLINK \l "_TocAuto0016" </w:instrText>
      </w:r>
      <w:r>
        <w:fldChar w:fldCharType="separate"/>
      </w:r>
      <w:r>
        <w:rPr>
          <w:rStyle w:val="22"/>
        </w:rPr>
        <w:t>第四章 实证分析</w:t>
      </w:r>
      <w:r>
        <w:tab/>
      </w:r>
      <w:r>
        <w:fldChar w:fldCharType="begin"/>
      </w:r>
      <w:r>
        <w:instrText xml:space="preserve"> PAGEREF _TocAuto0016 \h </w:instrText>
      </w:r>
      <w:r>
        <w:fldChar w:fldCharType="separate"/>
      </w:r>
      <w:r>
        <w:t>37</w:t>
      </w:r>
      <w:r>
        <w:fldChar w:fldCharType="end"/>
      </w:r>
      <w:r>
        <w:fldChar w:fldCharType="end"/>
      </w:r>
    </w:p>
    <w:p w14:paraId="1F5C4166">
      <w:pPr>
        <w:pStyle w:val="14"/>
      </w:pPr>
      <w:r>
        <w:fldChar w:fldCharType="begin"/>
      </w:r>
      <w:r>
        <w:instrText xml:space="preserve"> HYPERLINK \l "_TocAuto0017" </w:instrText>
      </w:r>
      <w:r>
        <w:fldChar w:fldCharType="separate"/>
      </w:r>
      <w:r>
        <w:rPr>
          <w:rStyle w:val="22"/>
        </w:rPr>
        <w:t>4.1 描述性统计</w:t>
      </w:r>
      <w:r>
        <w:tab/>
      </w:r>
      <w:r>
        <w:fldChar w:fldCharType="begin"/>
      </w:r>
      <w:r>
        <w:instrText xml:space="preserve"> PAGEREF _TocAuto0017 \h </w:instrText>
      </w:r>
      <w:r>
        <w:fldChar w:fldCharType="separate"/>
      </w:r>
      <w:r>
        <w:t>37</w:t>
      </w:r>
      <w:r>
        <w:fldChar w:fldCharType="end"/>
      </w:r>
      <w:r>
        <w:fldChar w:fldCharType="end"/>
      </w:r>
    </w:p>
    <w:p w14:paraId="3778873B">
      <w:pPr>
        <w:pStyle w:val="14"/>
      </w:pPr>
      <w:r>
        <w:fldChar w:fldCharType="begin"/>
      </w:r>
      <w:r>
        <w:instrText xml:space="preserve"> HYPERLINK \l "_TocAuto0018" </w:instrText>
      </w:r>
      <w:r>
        <w:fldChar w:fldCharType="separate"/>
      </w:r>
      <w:r>
        <w:rPr>
          <w:rStyle w:val="22"/>
        </w:rPr>
        <w:t>4.2 相关性分析</w:t>
      </w:r>
      <w:r>
        <w:tab/>
      </w:r>
      <w:r>
        <w:fldChar w:fldCharType="begin"/>
      </w:r>
      <w:r>
        <w:instrText xml:space="preserve"> PAGEREF _TocAuto0018 \h </w:instrText>
      </w:r>
      <w:r>
        <w:fldChar w:fldCharType="separate"/>
      </w:r>
      <w:r>
        <w:t>38</w:t>
      </w:r>
      <w:r>
        <w:fldChar w:fldCharType="end"/>
      </w:r>
      <w:r>
        <w:fldChar w:fldCharType="end"/>
      </w:r>
    </w:p>
    <w:p w14:paraId="0512EA6E">
      <w:pPr>
        <w:pStyle w:val="14"/>
      </w:pPr>
      <w:r>
        <w:fldChar w:fldCharType="begin"/>
      </w:r>
      <w:r>
        <w:instrText xml:space="preserve"> HYPERLINK \l "_TocAuto0019" </w:instrText>
      </w:r>
      <w:r>
        <w:fldChar w:fldCharType="separate"/>
      </w:r>
      <w:r>
        <w:rPr>
          <w:rStyle w:val="22"/>
        </w:rPr>
        <w:t>4.3 基准回归分析</w:t>
      </w:r>
      <w:r>
        <w:tab/>
      </w:r>
      <w:r>
        <w:fldChar w:fldCharType="begin"/>
      </w:r>
      <w:r>
        <w:instrText xml:space="preserve"> PAGEREF _TocAuto0019 \h </w:instrText>
      </w:r>
      <w:r>
        <w:fldChar w:fldCharType="separate"/>
      </w:r>
      <w:r>
        <w:t>40</w:t>
      </w:r>
      <w:r>
        <w:fldChar w:fldCharType="end"/>
      </w:r>
      <w:r>
        <w:fldChar w:fldCharType="end"/>
      </w:r>
    </w:p>
    <w:p w14:paraId="5DBB7426">
      <w:pPr>
        <w:pStyle w:val="14"/>
      </w:pPr>
      <w:r>
        <w:fldChar w:fldCharType="begin"/>
      </w:r>
      <w:r>
        <w:instrText xml:space="preserve"> HYPERLINK \l "_TocAuto0020" </w:instrText>
      </w:r>
      <w:r>
        <w:fldChar w:fldCharType="separate"/>
      </w:r>
      <w:r>
        <w:rPr>
          <w:rStyle w:val="22"/>
        </w:rPr>
        <w:t>4.4 内生性处理</w:t>
      </w:r>
      <w:r>
        <w:tab/>
      </w:r>
      <w:r>
        <w:fldChar w:fldCharType="begin"/>
      </w:r>
      <w:r>
        <w:instrText xml:space="preserve"> PAGEREF _TocAuto0020 \h </w:instrText>
      </w:r>
      <w:r>
        <w:fldChar w:fldCharType="separate"/>
      </w:r>
      <w:r>
        <w:t>43</w:t>
      </w:r>
      <w:r>
        <w:fldChar w:fldCharType="end"/>
      </w:r>
      <w:r>
        <w:fldChar w:fldCharType="end"/>
      </w:r>
    </w:p>
    <w:p w14:paraId="6D217165">
      <w:pPr>
        <w:pStyle w:val="14"/>
      </w:pPr>
      <w:r>
        <w:fldChar w:fldCharType="begin"/>
      </w:r>
      <w:r>
        <w:instrText xml:space="preserve"> HYPERLINK \l "_TocAuto0021" </w:instrText>
      </w:r>
      <w:r>
        <w:fldChar w:fldCharType="separate"/>
      </w:r>
      <w:r>
        <w:rPr>
          <w:rStyle w:val="22"/>
        </w:rPr>
        <w:t>4.5 稳健性检验</w:t>
      </w:r>
      <w:r>
        <w:tab/>
      </w:r>
      <w:r>
        <w:fldChar w:fldCharType="begin"/>
      </w:r>
      <w:r>
        <w:instrText xml:space="preserve"> PAGEREF _TocAuto0021 \h </w:instrText>
      </w:r>
      <w:r>
        <w:fldChar w:fldCharType="separate"/>
      </w:r>
      <w:r>
        <w:t>47</w:t>
      </w:r>
      <w:r>
        <w:fldChar w:fldCharType="end"/>
      </w:r>
      <w:r>
        <w:fldChar w:fldCharType="end"/>
      </w:r>
    </w:p>
    <w:p w14:paraId="5E705B5E">
      <w:pPr>
        <w:pStyle w:val="14"/>
      </w:pPr>
      <w:r>
        <w:fldChar w:fldCharType="begin"/>
      </w:r>
      <w:r>
        <w:instrText xml:space="preserve"> HYPERLINK \l "_TocAuto0022" </w:instrText>
      </w:r>
      <w:r>
        <w:fldChar w:fldCharType="separate"/>
      </w:r>
      <w:r>
        <w:rPr>
          <w:rStyle w:val="22"/>
        </w:rPr>
        <w:t>4.6 基于机器学习方法的补充验证</w:t>
      </w:r>
      <w:r>
        <w:tab/>
      </w:r>
      <w:r>
        <w:fldChar w:fldCharType="begin"/>
      </w:r>
      <w:r>
        <w:instrText xml:space="preserve"> PAGEREF _TocAuto0022 \h </w:instrText>
      </w:r>
      <w:r>
        <w:fldChar w:fldCharType="separate"/>
      </w:r>
      <w:r>
        <w:t>49</w:t>
      </w:r>
      <w:r>
        <w:fldChar w:fldCharType="end"/>
      </w:r>
      <w:r>
        <w:fldChar w:fldCharType="end"/>
      </w:r>
    </w:p>
    <w:p w14:paraId="01C483EF">
      <w:pPr>
        <w:pStyle w:val="14"/>
      </w:pPr>
      <w:r>
        <w:fldChar w:fldCharType="begin"/>
      </w:r>
      <w:r>
        <w:instrText xml:space="preserve"> HYPERLINK \l "_TocAuto0023" </w:instrText>
      </w:r>
      <w:r>
        <w:fldChar w:fldCharType="separate"/>
      </w:r>
      <w:r>
        <w:rPr>
          <w:rStyle w:val="22"/>
        </w:rPr>
        <w:t>4.7 中介效应分析</w:t>
      </w:r>
      <w:r>
        <w:tab/>
      </w:r>
      <w:r>
        <w:fldChar w:fldCharType="begin"/>
      </w:r>
      <w:r>
        <w:instrText xml:space="preserve"> PAGEREF _TocAuto0023 \h </w:instrText>
      </w:r>
      <w:r>
        <w:fldChar w:fldCharType="separate"/>
      </w:r>
      <w:r>
        <w:t>55</w:t>
      </w:r>
      <w:r>
        <w:fldChar w:fldCharType="end"/>
      </w:r>
      <w:r>
        <w:fldChar w:fldCharType="end"/>
      </w:r>
    </w:p>
    <w:p w14:paraId="25EC5C4E">
      <w:pPr>
        <w:pStyle w:val="14"/>
      </w:pPr>
      <w:r>
        <w:fldChar w:fldCharType="begin"/>
      </w:r>
      <w:r>
        <w:instrText xml:space="preserve"> HYPERLINK \l "_TocAuto0024" </w:instrText>
      </w:r>
      <w:r>
        <w:fldChar w:fldCharType="separate"/>
      </w:r>
      <w:r>
        <w:rPr>
          <w:rStyle w:val="22"/>
        </w:rPr>
        <w:t>4.8 异质性分析</w:t>
      </w:r>
      <w:r>
        <w:tab/>
      </w:r>
      <w:r>
        <w:fldChar w:fldCharType="begin"/>
      </w:r>
      <w:r>
        <w:instrText xml:space="preserve"> PAGEREF _TocAuto0024 \h </w:instrText>
      </w:r>
      <w:r>
        <w:fldChar w:fldCharType="separate"/>
      </w:r>
      <w:r>
        <w:t>58</w:t>
      </w:r>
      <w:r>
        <w:fldChar w:fldCharType="end"/>
      </w:r>
      <w:r>
        <w:fldChar w:fldCharType="end"/>
      </w:r>
    </w:p>
    <w:p w14:paraId="0C021D83">
      <w:pPr>
        <w:pStyle w:val="12"/>
      </w:pPr>
      <w:r>
        <w:fldChar w:fldCharType="begin"/>
      </w:r>
      <w:r>
        <w:instrText xml:space="preserve"> HYPERLINK \l "_TocAuto0025" </w:instrText>
      </w:r>
      <w:r>
        <w:fldChar w:fldCharType="separate"/>
      </w:r>
      <w:r>
        <w:rPr>
          <w:rStyle w:val="22"/>
        </w:rPr>
        <w:t>第五章 结论</w:t>
      </w:r>
      <w:r>
        <w:tab/>
      </w:r>
      <w:r>
        <w:fldChar w:fldCharType="begin"/>
      </w:r>
      <w:r>
        <w:instrText xml:space="preserve"> PAGEREF _TocAuto0025 \h </w:instrText>
      </w:r>
      <w:r>
        <w:fldChar w:fldCharType="separate"/>
      </w:r>
      <w:r>
        <w:t>63</w:t>
      </w:r>
      <w:r>
        <w:fldChar w:fldCharType="end"/>
      </w:r>
      <w:r>
        <w:fldChar w:fldCharType="end"/>
      </w:r>
    </w:p>
    <w:p w14:paraId="7004CB8E">
      <w:pPr>
        <w:pStyle w:val="14"/>
      </w:pPr>
      <w:r>
        <w:fldChar w:fldCharType="begin"/>
      </w:r>
      <w:r>
        <w:instrText xml:space="preserve"> HYPERLINK \l "_TocAuto0026" </w:instrText>
      </w:r>
      <w:r>
        <w:fldChar w:fldCharType="separate"/>
      </w:r>
      <w:r>
        <w:rPr>
          <w:rStyle w:val="22"/>
        </w:rPr>
        <w:t>5.1 研究结论</w:t>
      </w:r>
      <w:r>
        <w:tab/>
      </w:r>
      <w:r>
        <w:fldChar w:fldCharType="begin"/>
      </w:r>
      <w:r>
        <w:instrText xml:space="preserve"> PAGEREF _TocAuto0026 \h </w:instrText>
      </w:r>
      <w:r>
        <w:fldChar w:fldCharType="separate"/>
      </w:r>
      <w:r>
        <w:t>63</w:t>
      </w:r>
      <w:r>
        <w:fldChar w:fldCharType="end"/>
      </w:r>
      <w:r>
        <w:fldChar w:fldCharType="end"/>
      </w:r>
    </w:p>
    <w:p w14:paraId="43A6DB06">
      <w:pPr>
        <w:pStyle w:val="14"/>
      </w:pPr>
      <w:r>
        <w:fldChar w:fldCharType="begin"/>
      </w:r>
      <w:r>
        <w:instrText xml:space="preserve"> HYPERLINK \l "_TocAuto0027" </w:instrText>
      </w:r>
      <w:r>
        <w:fldChar w:fldCharType="separate"/>
      </w:r>
      <w:r>
        <w:rPr>
          <w:rStyle w:val="22"/>
        </w:rPr>
        <w:t>5.2 政策建议</w:t>
      </w:r>
      <w:r>
        <w:tab/>
      </w:r>
      <w:r>
        <w:fldChar w:fldCharType="begin"/>
      </w:r>
      <w:r>
        <w:instrText xml:space="preserve"> PAGEREF _TocAuto0027 \h </w:instrText>
      </w:r>
      <w:r>
        <w:fldChar w:fldCharType="separate"/>
      </w:r>
      <w:r>
        <w:t>65</w:t>
      </w:r>
      <w:r>
        <w:fldChar w:fldCharType="end"/>
      </w:r>
      <w:r>
        <w:fldChar w:fldCharType="end"/>
      </w:r>
    </w:p>
    <w:p w14:paraId="631A2F2D">
      <w:pPr>
        <w:pStyle w:val="14"/>
      </w:pPr>
      <w:r>
        <w:fldChar w:fldCharType="begin"/>
      </w:r>
      <w:r>
        <w:instrText xml:space="preserve"> HYPERLINK \l "_TocAuto0028" </w:instrText>
      </w:r>
      <w:r>
        <w:fldChar w:fldCharType="separate"/>
      </w:r>
      <w:r>
        <w:rPr>
          <w:rStyle w:val="22"/>
        </w:rPr>
        <w:t>5.3 研究局限与展望</w:t>
      </w:r>
      <w:r>
        <w:tab/>
      </w:r>
      <w:r>
        <w:fldChar w:fldCharType="begin"/>
      </w:r>
      <w:r>
        <w:instrText xml:space="preserve"> PAGEREF _TocAuto0028 \h </w:instrText>
      </w:r>
      <w:r>
        <w:fldChar w:fldCharType="separate"/>
      </w:r>
      <w:r>
        <w:t>66</w:t>
      </w:r>
      <w:r>
        <w:fldChar w:fldCharType="end"/>
      </w:r>
      <w:r>
        <w:fldChar w:fldCharType="end"/>
      </w:r>
    </w:p>
    <w:p w14:paraId="5A181545">
      <w:pPr>
        <w:pStyle w:val="12"/>
      </w:pPr>
      <w:r>
        <w:fldChar w:fldCharType="begin"/>
      </w:r>
      <w:r>
        <w:instrText xml:space="preserve"> HYPERLINK \l "_TocAuto0029" </w:instrText>
      </w:r>
      <w:r>
        <w:fldChar w:fldCharType="separate"/>
      </w:r>
      <w:r>
        <w:rPr>
          <w:rStyle w:val="22"/>
        </w:rPr>
        <w:t>参考文献</w:t>
      </w:r>
      <w:r>
        <w:tab/>
      </w:r>
      <w:r>
        <w:fldChar w:fldCharType="begin"/>
      </w:r>
      <w:r>
        <w:instrText xml:space="preserve"> PAGEREF _TocAuto0029 \h </w:instrText>
      </w:r>
      <w:r>
        <w:fldChar w:fldCharType="separate"/>
      </w:r>
      <w:r>
        <w:t>68</w:t>
      </w:r>
      <w:r>
        <w:fldChar w:fldCharType="end"/>
      </w:r>
      <w:r>
        <w:fldChar w:fldCharType="end"/>
      </w:r>
    </w:p>
    <w:p w14:paraId="08913CF0">
      <w:pPr>
        <w:pStyle w:val="12"/>
      </w:pPr>
      <w:r>
        <w:fldChar w:fldCharType="begin"/>
      </w:r>
      <w:r>
        <w:instrText xml:space="preserve"> HYPERLINK \l "_TocAuto0030" </w:instrText>
      </w:r>
      <w:r>
        <w:fldChar w:fldCharType="separate"/>
      </w:r>
      <w:r>
        <w:rPr>
          <w:rStyle w:val="22"/>
        </w:rPr>
        <w:t>致谢</w:t>
      </w:r>
      <w:r>
        <w:tab/>
      </w:r>
      <w:r>
        <w:fldChar w:fldCharType="begin"/>
      </w:r>
      <w:r>
        <w:instrText xml:space="preserve"> PAGEREF _TocAuto0030 \h </w:instrText>
      </w:r>
      <w:r>
        <w:fldChar w:fldCharType="separate"/>
      </w:r>
      <w:r>
        <w:t>71</w:t>
      </w:r>
      <w:r>
        <w:fldChar w:fldCharType="end"/>
      </w:r>
      <w:r>
        <w:fldChar w:fldCharType="end"/>
      </w:r>
      <w:r>
        <w:fldChar w:fldCharType="end"/>
      </w:r>
    </w:p>
    <w:p w14:paraId="507C0A85">
      <w:pPr>
        <w:spacing w:line="312" w:lineRule="auto"/>
        <w:ind w:right="25" w:rightChars="12"/>
        <w:jc w:val="distribute"/>
        <w:rPr>
          <w:rFonts w:ascii="宋体" w:hAnsi="宋体"/>
          <w:b/>
          <w:sz w:val="36"/>
          <w:szCs w:val="36"/>
        </w:rPr>
        <w:sectPr>
          <w:headerReference r:id="rId6" w:type="default"/>
          <w:pgSz w:w="11906" w:h="16838"/>
          <w:pgMar w:top="1134" w:right="1134" w:bottom="1134" w:left="1701" w:header="737" w:footer="624" w:gutter="0"/>
          <w:pgNumType w:start="1"/>
          <w:cols w:space="425" w:num="1"/>
          <w:docGrid w:type="lines" w:linePitch="312" w:charSpace="0"/>
        </w:sectPr>
      </w:pPr>
    </w:p>
    <w:p w14:paraId="5B765AC9">
      <w:pPr>
        <w:pStyle w:val="2"/>
        <w:pageBreakBefore w:val="0"/>
        <w:spacing w:before="0" w:after="0" w:line="312" w:lineRule="auto"/>
        <w:ind w:firstLine="0"/>
        <w:jc w:val="center"/>
      </w:pPr>
      <w:bookmarkStart w:id="1" w:name="_TocAuto0001"/>
      <w:bookmarkStart w:id="2" w:name="第一章-绪论"/>
      <w:r>
        <w:rPr>
          <w:rFonts w:hint="eastAsia" w:ascii="Times New Roman" w:hAnsi="Times New Roman" w:eastAsia="黑体"/>
          <w:b/>
          <w:sz w:val="32"/>
        </w:rPr>
        <w:t>第一章</w:t>
      </w:r>
      <w:r>
        <w:rPr>
          <w:rFonts w:ascii="Times New Roman" w:hAnsi="Times New Roman" w:eastAsia="黑体"/>
          <w:b/>
          <w:sz w:val="32"/>
        </w:rPr>
        <w:t xml:space="preserve"> </w:t>
      </w:r>
      <w:r>
        <w:rPr>
          <w:rFonts w:hint="eastAsia" w:ascii="Times New Roman" w:hAnsi="Times New Roman" w:eastAsia="黑体"/>
          <w:b/>
          <w:sz w:val="32"/>
        </w:rPr>
        <w:t>绪论</w:t>
      </w:r>
      <w:bookmarkEnd w:id="1"/>
    </w:p>
    <w:p w14:paraId="55B8F788">
      <w:pPr>
        <w:pStyle w:val="3"/>
        <w:spacing w:before="0" w:after="0" w:line="312" w:lineRule="auto"/>
        <w:ind w:firstLine="0"/>
        <w:jc w:val="left"/>
      </w:pPr>
      <w:bookmarkStart w:id="3" w:name="_TocAuto0002"/>
      <w:bookmarkStart w:id="4" w:name="研究背景与问题提出"/>
      <w:r>
        <w:rPr>
          <w:rFonts w:ascii="Times New Roman" w:hAnsi="Times New Roman" w:eastAsia="黑体"/>
          <w:b w:val="0"/>
          <w:sz w:val="28"/>
        </w:rPr>
        <w:t xml:space="preserve">1.1 </w:t>
      </w:r>
      <w:r>
        <w:rPr>
          <w:rFonts w:hint="eastAsia" w:ascii="Times New Roman" w:hAnsi="Times New Roman" w:eastAsia="黑体"/>
          <w:b w:val="0"/>
          <w:sz w:val="28"/>
        </w:rPr>
        <w:t>研究背景与问题提出</w:t>
      </w:r>
      <w:bookmarkEnd w:id="3"/>
    </w:p>
    <w:p w14:paraId="6A3AC122">
      <w:pPr>
        <w:spacing w:before="0" w:after="0" w:line="312" w:lineRule="auto"/>
        <w:ind w:firstLine="420"/>
        <w:jc w:val="both"/>
      </w:pPr>
      <w:r>
        <w:rPr>
          <w:rFonts w:hint="eastAsia" w:ascii="Times New Roman" w:hAnsi="Times New Roman" w:eastAsia="宋体"/>
          <w:b w:val="0"/>
          <w:sz w:val="21"/>
        </w:rPr>
        <w:t>党的二十大报告提出，中国经济已由高速增长阶段转向更注重发展质量的新阶段。这一转变对应着政府资金投向、政策工具选择和绩效评估标准的全面调整。财政补贴在这一背景下持续承担政策功能，服务于战略性新兴产业培育和技术创新激励，也承担企业纾困、稳就业和稳预期等现实任务。根据</w:t>
      </w:r>
      <w:r>
        <w:rPr>
          <w:rFonts w:ascii="Times New Roman" w:hAnsi="Times New Roman" w:eastAsia="宋体"/>
          <w:b w:val="0"/>
          <w:sz w:val="21"/>
        </w:rPr>
        <w:t xml:space="preserve"> CSMAR </w:t>
      </w:r>
      <w:r>
        <w:rPr>
          <w:rFonts w:hint="eastAsia" w:ascii="Times New Roman" w:hAnsi="Times New Roman" w:eastAsia="宋体"/>
          <w:b w:val="0"/>
          <w:sz w:val="21"/>
        </w:rPr>
        <w:t>统计，2003至2024年间沪深A股非金融上市公司的政府补助规模持续扩大，获补企业数量和平均补贴强度均呈上升趋势。财政补贴已成为中国资本市场一类常规的制度性变量。</w:t>
      </w:r>
    </w:p>
    <w:p w14:paraId="2D9B10B2">
      <w:pPr>
        <w:spacing w:before="0" w:after="0" w:line="312" w:lineRule="auto"/>
        <w:ind w:firstLine="420"/>
        <w:jc w:val="both"/>
      </w:pPr>
      <w:r>
        <w:rPr>
          <w:rFonts w:hint="eastAsia" w:ascii="Times New Roman" w:hAnsi="Times New Roman" w:eastAsia="宋体"/>
          <w:b w:val="0"/>
          <w:sz w:val="21"/>
        </w:rPr>
        <w:t>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也涉及财政资源配置效率和企业内部利益分配的合理性。</w:t>
      </w:r>
    </w:p>
    <w:p w14:paraId="556ABC67">
      <w:pPr>
        <w:spacing w:before="0" w:after="0" w:line="312" w:lineRule="auto"/>
        <w:ind w:firstLine="420"/>
        <w:jc w:val="both"/>
      </w:pPr>
      <w:r>
        <w:rPr>
          <w:rFonts w:hint="eastAsia" w:ascii="Times New Roman" w:hAnsi="Times New Roman" w:eastAsia="宋体"/>
          <w:b w:val="0"/>
          <w:sz w:val="21"/>
        </w:rPr>
        <w:t>高管薪酬为何偏离“合理区间”，现有文献主要沿两条路径解释。“最优契约说”强调市场竞争与治理约束，视薪酬为董事会与高管博弈后的均衡状态，最终应反映高管的边际贡献；“管理权力说”则关注现实中的治理偏差，认为所有权与控制权分离的公司中，高管可以通过干预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空间、为寻租行为提供空间。本文便从这里切入。</w:t>
      </w:r>
    </w:p>
    <w:p w14:paraId="02429D0C">
      <w:pPr>
        <w:spacing w:before="0" w:after="0" w:line="312" w:lineRule="auto"/>
        <w:ind w:firstLine="420"/>
        <w:jc w:val="both"/>
      </w:pPr>
      <w:r>
        <w:rPr>
          <w:rFonts w:hint="eastAsia" w:ascii="Times New Roman" w:hAnsi="Times New Roman" w:eastAsia="宋体"/>
          <w:b w:val="0"/>
          <w:sz w:val="21"/>
        </w:rPr>
        <w:t>围绕这一主题，本文集中回答四个相互关联的问题：在已经获得财政补贴的上市公司内部，补贴强度在控制企业基本特征后是否与高管超额薪酬存在显著正向关联？管理层权力是否可能在两者之间形成传导路径，即补贴强度变化会不会通过改变权力结构传导到超额薪酬？这一关联在不同产权性质和行业管制强度下是否呈现差异？机器学习补充验证能否从特征重要性、SHAP</w:t>
      </w:r>
      <w:r>
        <w:rPr>
          <w:rFonts w:ascii="Times New Roman" w:hAnsi="Times New Roman" w:eastAsia="宋体"/>
          <w:b w:val="0"/>
          <w:sz w:val="21"/>
        </w:rPr>
        <w:t xml:space="preserve"> </w:t>
      </w:r>
      <w:r>
        <w:rPr>
          <w:rFonts w:hint="eastAsia" w:ascii="Times New Roman" w:hAnsi="Times New Roman" w:eastAsia="宋体"/>
          <w:b w:val="0"/>
          <w:sz w:val="21"/>
        </w:rPr>
        <w:t>边际贡献、系数保留与方向一致性、部分依赖趋势四个角度，为基准回归提供补充观察？</w:t>
      </w:r>
    </w:p>
    <w:bookmarkEnd w:id="0"/>
    <w:p w14:paraId="1CEEBA9F">
      <w:pPr>
        <w:pStyle w:val="3"/>
        <w:spacing w:before="0" w:after="0" w:line="312" w:lineRule="auto"/>
        <w:ind w:firstLine="0"/>
        <w:jc w:val="left"/>
      </w:pPr>
      <w:bookmarkStart w:id="5" w:name="_TocAuto0003"/>
      <w:bookmarkStart w:id="6" w:name="研究目的与研究意义"/>
      <w:r>
        <w:rPr>
          <w:rFonts w:ascii="Times New Roman" w:hAnsi="Times New Roman" w:eastAsia="黑体"/>
          <w:b w:val="0"/>
          <w:sz w:val="28"/>
        </w:rPr>
        <w:t xml:space="preserve">1.2 </w:t>
      </w:r>
      <w:r>
        <w:rPr>
          <w:rFonts w:hint="eastAsia" w:ascii="Times New Roman" w:hAnsi="Times New Roman" w:eastAsia="黑体"/>
          <w:b w:val="0"/>
          <w:sz w:val="28"/>
        </w:rPr>
        <w:t>研究目的与研究意义</w:t>
      </w:r>
      <w:bookmarkEnd w:id="5"/>
    </w:p>
    <w:p w14:paraId="475B0A63">
      <w:pPr>
        <w:spacing w:before="0" w:after="0" w:line="312" w:lineRule="auto"/>
        <w:ind w:firstLine="420"/>
        <w:jc w:val="both"/>
      </w:pPr>
      <w:r>
        <w:rPr>
          <w:rFonts w:hint="eastAsia" w:ascii="Times New Roman" w:hAnsi="Times New Roman" w:eastAsia="宋体"/>
          <w:b w:val="0"/>
          <w:sz w:val="21"/>
        </w:rPr>
        <w:t>在理论层面，本文将政府补贴这一政策变量纳入高管超额薪酬的经验结构，把“外部资源输入”与“内部权力结构”纳入同一条解释链。实证设计上主动区分“是否获得补贴”和“获得补贴后的强弱差异”，把核心命题收束为已获补贴企业内部的强度效应，有助于避免把两个不同经济议题混成一条回归。测量层面采用</w:t>
      </w:r>
      <w:r>
        <w:rPr>
          <w:rFonts w:ascii="Times New Roman" w:hAnsi="Times New Roman" w:eastAsia="宋体"/>
          <w:b w:val="0"/>
          <w:sz w:val="21"/>
        </w:rPr>
        <w:t xml:space="preserve"> PCA </w:t>
      </w:r>
      <w:r>
        <w:rPr>
          <w:rFonts w:hint="eastAsia" w:ascii="Times New Roman" w:hAnsi="Times New Roman" w:eastAsia="宋体"/>
          <w:b w:val="0"/>
          <w:sz w:val="21"/>
        </w:rPr>
        <w:t>构造管理层权力综合指标，同时将固定效应、选择偏差校正和机器学习补充验证并行使用，使线性识别与非线性观察能够相互补充。</w:t>
      </w:r>
    </w:p>
    <w:p w14:paraId="39A18AC5">
      <w:pPr>
        <w:spacing w:before="0" w:after="0" w:line="312" w:lineRule="auto"/>
        <w:ind w:firstLine="420"/>
        <w:jc w:val="both"/>
      </w:pPr>
      <w:r>
        <w:rPr>
          <w:rFonts w:hint="eastAsia" w:ascii="Times New Roman" w:hAnsi="Times New Roman" w:eastAsia="宋体"/>
          <w:b w:val="0"/>
          <w:sz w:val="21"/>
        </w:rPr>
        <w:t>在实践层面，本文更贴近政策和市场实践。对财政监管部门而言，现有证据提示：真正更值得关注的，不是“补贴是否必然推高薪酬”，而是已经获得补贴的企业在补贴强度上升后，是否同步出现高管薪酬异常抬升。对资本市场监管者来说，产权和行业异质性表明，民营企业和非管制行业中的补贴—薪酬联动更值得重点核查；机器学习补充验证给出的财政补贴与核心基本面变量的相对重要性排序，可作为筛查线索的辅助参考，但不宜直接替代正式监管判断。对投资者和公众而言，理解补贴与薪酬之间潜在联系及其边界，有助于评估上市公司治理质量和财政资金的实际使用效率。</w:t>
      </w:r>
    </w:p>
    <w:bookmarkEnd w:id="2"/>
    <w:p w14:paraId="49C6B3D3">
      <w:pPr>
        <w:pStyle w:val="3"/>
        <w:spacing w:before="0" w:after="0" w:line="312" w:lineRule="auto"/>
        <w:ind w:firstLine="0"/>
        <w:jc w:val="left"/>
      </w:pPr>
      <w:bookmarkStart w:id="7" w:name="_TocAuto0004"/>
      <w:bookmarkStart w:id="8" w:name="国内外研究现状"/>
      <w:r>
        <w:rPr>
          <w:rFonts w:ascii="Times New Roman" w:hAnsi="Times New Roman" w:eastAsia="黑体"/>
          <w:b w:val="0"/>
          <w:sz w:val="28"/>
        </w:rPr>
        <w:t xml:space="preserve">1.3 </w:t>
      </w:r>
      <w:r>
        <w:rPr>
          <w:rFonts w:hint="eastAsia" w:ascii="Times New Roman" w:hAnsi="Times New Roman" w:eastAsia="黑体"/>
          <w:b w:val="0"/>
          <w:sz w:val="28"/>
        </w:rPr>
        <w:t>国内外研究现状</w:t>
      </w:r>
      <w:bookmarkEnd w:id="7"/>
    </w:p>
    <w:p w14:paraId="5532334D">
      <w:pPr>
        <w:pStyle w:val="28"/>
        <w:spacing w:before="0" w:after="0" w:line="312" w:lineRule="auto"/>
        <w:ind w:firstLine="420"/>
        <w:jc w:val="left"/>
      </w:pPr>
      <w:bookmarkStart w:id="9" w:name="高管超额薪酬的界定与测量方法"/>
      <w:r>
        <w:rPr>
          <w:rFonts w:ascii="Times New Roman" w:hAnsi="Times New Roman" w:eastAsia="宋体"/>
          <w:b w:val="0"/>
          <w:sz w:val="24"/>
        </w:rPr>
        <w:t xml:space="preserve">1.3.1 </w:t>
      </w:r>
      <w:r>
        <w:rPr>
          <w:rFonts w:hint="eastAsia" w:ascii="Times New Roman" w:hAnsi="Times New Roman" w:eastAsia="宋体"/>
          <w:b w:val="0"/>
          <w:sz w:val="24"/>
        </w:rPr>
        <w:t>高管超额薪酬的界定与测量方法</w:t>
      </w:r>
    </w:p>
    <w:p w14:paraId="17D13891">
      <w:pPr>
        <w:spacing w:before="0" w:after="0" w:line="312" w:lineRule="auto"/>
        <w:ind w:firstLine="420"/>
        <w:jc w:val="both"/>
      </w:pPr>
      <w:r>
        <w:rPr>
          <w:rFonts w:hint="eastAsia" w:ascii="Times New Roman" w:hAnsi="Times New Roman" w:eastAsia="宋体"/>
          <w:b w:val="0"/>
          <w:sz w:val="21"/>
        </w:rPr>
        <w:t>高管超额薪酬这一议题的核心困难不在于发现“薪酬高”，而在于区分哪些部分属于正常激励、哪些已偏离合理边界。早期文献常直接使用CEO绝对薪酬规模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将讨论视角从“薪酬高不高”转向“薪酬契约如何形成”，指出所有权分散的上市公司中，管理层可通过干预董事会提名、薪酬委员会构成和条款设计来抬高自身报酬。期权、退休福利和其他隐性收益因此成为识别管理权力的重要窗口。</w:t>
      </w:r>
    </w:p>
    <w:p w14:paraId="62904079">
      <w:pPr>
        <w:spacing w:before="0" w:after="0" w:line="312" w:lineRule="auto"/>
        <w:ind w:firstLine="420"/>
        <w:jc w:val="both"/>
      </w:pPr>
      <w:r>
        <w:rPr>
          <w:rFonts w:hint="eastAsia" w:ascii="Times New Roman" w:hAnsi="Times New Roman" w:eastAsia="宋体"/>
          <w:b w:val="0"/>
          <w:sz w:val="21"/>
        </w:rPr>
        <w:t>Core等（1999）</w:t>
      </w:r>
      <w:r>
        <w:rPr>
          <w:rFonts w:ascii="Times New Roman" w:hAnsi="Times New Roman" w:eastAsia="宋体"/>
          <w:b w:val="0"/>
          <w:sz w:val="21"/>
          <w:vertAlign w:val="superscript"/>
        </w:rPr>
        <w:t>[5]</w:t>
      </w:r>
      <w:r>
        <w:rPr>
          <w:rFonts w:hint="eastAsia" w:ascii="Times New Roman" w:hAnsi="Times New Roman" w:eastAsia="宋体"/>
          <w:b w:val="0"/>
          <w:sz w:val="21"/>
        </w:rPr>
        <w:t>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经验工作也沿着该框架展开，并在样本处理和变量设定上作了贴合中国上市公司情境的调整。</w:t>
      </w:r>
    </w:p>
    <w:p w14:paraId="185C0D2B">
      <w:pPr>
        <w:spacing w:before="0" w:after="0" w:line="312" w:lineRule="auto"/>
        <w:ind w:firstLine="420"/>
        <w:jc w:val="both"/>
      </w:pPr>
      <w:r>
        <w:rPr>
          <w:rFonts w:hint="eastAsia" w:ascii="Times New Roman" w:hAnsi="Times New Roman" w:eastAsia="宋体"/>
          <w:b w:val="0"/>
          <w:sz w:val="21"/>
        </w:rPr>
        <w:t>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更关注高管与员工之间的薪酬差距，罗昆、曹光宇（2015）</w:t>
      </w:r>
      <w:r>
        <w:rPr>
          <w:rFonts w:ascii="Times New Roman" w:hAnsi="Times New Roman" w:eastAsia="宋体"/>
          <w:b w:val="0"/>
          <w:sz w:val="21"/>
          <w:vertAlign w:val="superscript"/>
        </w:rPr>
        <w:t>[24]</w:t>
      </w:r>
      <w:r>
        <w:rPr>
          <w:rFonts w:hint="eastAsia" w:ascii="Times New Roman" w:hAnsi="Times New Roman" w:eastAsia="宋体"/>
          <w:b w:val="0"/>
          <w:sz w:val="21"/>
        </w:rPr>
        <w:t>则直接使用残差法刻画超额薪酬，二者切入点不同，却都把政府补贴纳入了解释框架，并得到补贴与高管额外收益正向联系的结论。吴妍（2019）</w:t>
      </w:r>
      <w:r>
        <w:rPr>
          <w:rFonts w:ascii="Times New Roman" w:hAnsi="Times New Roman" w:eastAsia="宋体"/>
          <w:b w:val="0"/>
          <w:sz w:val="21"/>
          <w:vertAlign w:val="superscript"/>
        </w:rPr>
        <w:t>[29]</w:t>
      </w:r>
      <w:r>
        <w:rPr>
          <w:rFonts w:hint="eastAsia" w:ascii="Times New Roman" w:hAnsi="Times New Roman" w:eastAsia="宋体"/>
          <w:b w:val="0"/>
          <w:sz w:val="21"/>
        </w:rPr>
        <w:t>、张莉莉（2019）</w:t>
      </w:r>
      <w:r>
        <w:rPr>
          <w:rFonts w:ascii="Times New Roman" w:hAnsi="Times New Roman" w:eastAsia="宋体"/>
          <w:b w:val="0"/>
          <w:sz w:val="21"/>
          <w:vertAlign w:val="superscript"/>
        </w:rPr>
        <w:t>[32]</w:t>
      </w:r>
      <w:r>
        <w:rPr>
          <w:rFonts w:hint="eastAsia" w:ascii="Times New Roman" w:hAnsi="Times New Roman" w:eastAsia="宋体"/>
          <w:b w:val="0"/>
          <w:sz w:val="21"/>
        </w:rPr>
        <w:t>等学位论文则提供了更贴近中国制度环境的变量设定和样本处理经验。这至少表明，在中国资本市场语境下，把超额薪酬构造成一个可比较、可检验的经验变量是可行的。超额薪酬的形成并不只受高管自身权力变化牵动，企业获得的外部资源，尤其是财政补贴，也会进入这一过程，下一节即转入补贴分配逻辑及其公司行为效应的讨论。</w:t>
      </w:r>
    </w:p>
    <w:bookmarkEnd w:id="4"/>
    <w:p w14:paraId="5936DBED">
      <w:pPr>
        <w:pStyle w:val="28"/>
        <w:spacing w:before="0" w:after="0" w:line="312" w:lineRule="auto"/>
        <w:ind w:firstLine="420"/>
        <w:jc w:val="left"/>
      </w:pPr>
      <w:bookmarkStart w:id="10" w:name="财政补贴的分配逻辑与公司行为效应"/>
      <w:r>
        <w:rPr>
          <w:rFonts w:ascii="Times New Roman" w:hAnsi="Times New Roman" w:eastAsia="宋体"/>
          <w:b w:val="0"/>
          <w:sz w:val="24"/>
        </w:rPr>
        <w:t xml:space="preserve">1.3.2 </w:t>
      </w:r>
      <w:r>
        <w:rPr>
          <w:rFonts w:hint="eastAsia" w:ascii="Times New Roman" w:hAnsi="Times New Roman" w:eastAsia="宋体"/>
          <w:b w:val="0"/>
          <w:sz w:val="24"/>
        </w:rPr>
        <w:t>财政补贴的分配逻辑与公司行为效应</w:t>
      </w:r>
    </w:p>
    <w:p w14:paraId="037F5760">
      <w:pPr>
        <w:spacing w:before="0" w:after="0" w:line="312" w:lineRule="auto"/>
        <w:ind w:firstLine="420"/>
        <w:jc w:val="both"/>
      </w:pPr>
      <w:r>
        <w:rPr>
          <w:rFonts w:hint="eastAsia" w:ascii="Times New Roman" w:hAnsi="Times New Roman" w:eastAsia="宋体"/>
          <w:b w:val="0"/>
          <w:sz w:val="21"/>
        </w:rPr>
        <w:t>现有文献提醒，财政补贴不宜被理解为随机落入企业账户的外部资金。唐清泉和罗党论（2007）</w:t>
      </w:r>
      <w:r>
        <w:rPr>
          <w:rFonts w:ascii="Times New Roman" w:hAnsi="Times New Roman" w:eastAsia="宋体"/>
          <w:b w:val="0"/>
          <w:sz w:val="21"/>
          <w:vertAlign w:val="superscript"/>
        </w:rPr>
        <w:t>[27]</w:t>
      </w:r>
      <w:r>
        <w:rPr>
          <w:rFonts w:hint="eastAsia" w:ascii="Times New Roman" w:hAnsi="Times New Roman" w:eastAsia="宋体"/>
          <w:b w:val="0"/>
          <w:sz w:val="21"/>
        </w:rPr>
        <w:t>指出，中国上市公司的补贴分配兼带产业政策导向和政治关联色彩，补贴能否获得本身就嵌入了企业特征与制度关系的筛选。潘红波、夏新平和余明桂（2008）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[26]</w:t>
      </w:r>
      <w:r>
        <w:rPr>
          <w:rFonts w:hint="eastAsia" w:ascii="Times New Roman" w:hAnsi="Times New Roman" w:eastAsia="宋体"/>
          <w:b w:val="0"/>
          <w:sz w:val="21"/>
        </w:rPr>
        <w:t>进一步发现政治关联更强的企业更容易获得政策支持。补贴兼具财务资源和治理关系的双重属性：它进入企业后会牵动利润表，并改变管理层在企业内部的资源支配位置。</w:t>
      </w:r>
    </w:p>
    <w:p w14:paraId="4719B0E4">
      <w:pPr>
        <w:spacing w:before="0" w:after="0" w:line="312" w:lineRule="auto"/>
        <w:ind w:firstLine="420"/>
        <w:jc w:val="both"/>
      </w:pPr>
      <w:r>
        <w:rPr>
          <w:rFonts w:hint="eastAsia" w:ascii="Times New Roman" w:hAnsi="Times New Roman" w:eastAsia="宋体"/>
          <w:b w:val="0"/>
          <w:sz w:val="21"/>
        </w:rPr>
        <w:t>Jiang等（2025）</w:t>
      </w:r>
      <w:r>
        <w:rPr>
          <w:rFonts w:ascii="Times New Roman" w:hAnsi="Times New Roman" w:eastAsia="宋体"/>
          <w:b w:val="0"/>
          <w:sz w:val="21"/>
          <w:vertAlign w:val="superscript"/>
        </w:rPr>
        <w:t>[9]</w:t>
      </w:r>
      <w:r>
        <w:rPr>
          <w:rFonts w:hint="eastAsia" w:ascii="Times New Roman" w:hAnsi="Times New Roman" w:eastAsia="宋体"/>
          <w:b w:val="0"/>
          <w:sz w:val="21"/>
        </w:rPr>
        <w:t>将视角延伸至补贴到账后的资源消化环节，观察到政府补贴与管理冗余显著正相关，在内部控制较弱、社会信任基础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从披露端提供了另一条证据：部分企业会通过强化年报中的政策导向表述来提升补贴获取概率，这提示补贴的形成过程本身就嵌入了信息策略和治理差异。既然补贴的获取和使用都并非中性过程，补贴进入企业后能否外溢到高管薪酬，便取决于内部治理机制的约束强度，这正是下一节的讨论重点。</w:t>
      </w:r>
    </w:p>
    <w:bookmarkEnd w:id="6"/>
    <w:p w14:paraId="334A2FAE">
      <w:pPr>
        <w:pStyle w:val="28"/>
        <w:spacing w:before="0" w:after="0" w:line="312" w:lineRule="auto"/>
        <w:ind w:firstLine="420"/>
        <w:jc w:val="left"/>
      </w:pPr>
      <w:bookmarkStart w:id="11" w:name="内部治理机制对补贴薪酬关联的调节"/>
      <w:r>
        <w:rPr>
          <w:rFonts w:ascii="Times New Roman" w:hAnsi="Times New Roman" w:eastAsia="宋体"/>
          <w:b w:val="0"/>
          <w:sz w:val="24"/>
        </w:rPr>
        <w:t xml:space="preserve">1.3.3 </w:t>
      </w:r>
      <w:r>
        <w:rPr>
          <w:rFonts w:hint="eastAsia" w:ascii="Times New Roman" w:hAnsi="Times New Roman" w:eastAsia="宋体"/>
          <w:b w:val="0"/>
          <w:sz w:val="24"/>
        </w:rPr>
        <w:t>内部治理机制对补贴—薪酬关联的调节</w:t>
      </w:r>
    </w:p>
    <w:p w14:paraId="3492CC76">
      <w:pPr>
        <w:spacing w:before="0" w:after="0" w:line="312" w:lineRule="auto"/>
        <w:ind w:firstLine="420"/>
        <w:jc w:val="both"/>
      </w:pPr>
      <w:r>
        <w:rPr>
          <w:rFonts w:hint="eastAsia" w:ascii="Times New Roman" w:hAnsi="Times New Roman" w:eastAsia="宋体"/>
          <w:b w:val="0"/>
          <w:sz w:val="21"/>
        </w:rPr>
        <w:t>补贴能否外溢到薪酬端，很大程度上取决于企业内部的治理约束强度。步丹璐和王晓艳（2014）</w:t>
      </w:r>
      <w:r>
        <w:rPr>
          <w:rFonts w:ascii="Times New Roman" w:hAnsi="Times New Roman" w:eastAsia="宋体"/>
          <w:b w:val="0"/>
          <w:sz w:val="21"/>
          <w:vertAlign w:val="superscript"/>
        </w:rPr>
        <w:t>[16]</w:t>
      </w:r>
      <w:r>
        <w:rPr>
          <w:rFonts w:hint="eastAsia" w:ascii="Times New Roman" w:hAnsi="Times New Roman" w:eastAsia="宋体"/>
          <w:b w:val="0"/>
          <w:sz w:val="21"/>
        </w:rPr>
        <w:t>观察到政府补助会扩大高管与员工之间的薪酬差距，治理约束较弱的企业表现更为明显。陈冬华、陈信元和万华林（2005）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讨论国有企业时指出，显性薪酬受限后管理层会转向在职消费、差旅费等更隐蔽的补偿渠道。综合来看，补贴对薪酬的外溢不一定体现为工资单上的直接增加，也会沿着治理薄弱环节转化为更隐性的收益安排。</w:t>
      </w:r>
    </w:p>
    <w:p w14:paraId="4E06C5DA">
      <w:pPr>
        <w:spacing w:before="0" w:after="0" w:line="312" w:lineRule="auto"/>
        <w:ind w:firstLine="420"/>
        <w:jc w:val="both"/>
      </w:pPr>
      <w:r>
        <w:rPr>
          <w:rFonts w:hint="eastAsia" w:ascii="Times New Roman" w:hAnsi="Times New Roman" w:eastAsia="宋体"/>
          <w:b w:val="0"/>
          <w:sz w:val="21"/>
        </w:rPr>
        <w:t>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显示内控质量越高，高管薪酬对业绩变化的敏感度越强，这显示完善的内部约束有助于将薪酬拉回激励逻辑。罗进辉（2018）</w:t>
      </w:r>
      <w:r>
        <w:rPr>
          <w:rFonts w:ascii="Times New Roman" w:hAnsi="Times New Roman" w:eastAsia="宋体"/>
          <w:b w:val="0"/>
          <w:sz w:val="21"/>
          <w:vertAlign w:val="superscript"/>
        </w:rPr>
        <w:t>[23]</w:t>
      </w:r>
      <w:r>
        <w:rPr>
          <w:rFonts w:hint="eastAsia" w:ascii="Times New Roman" w:hAnsi="Times New Roman" w:eastAsia="宋体"/>
          <w:b w:val="0"/>
          <w:sz w:val="21"/>
        </w:rPr>
        <w:t>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14:paraId="20573AFB">
      <w:pPr>
        <w:spacing w:before="0" w:after="0" w:line="312" w:lineRule="auto"/>
        <w:ind w:firstLine="420"/>
        <w:jc w:val="both"/>
      </w:pPr>
      <w:r>
        <w:rPr>
          <w:rFonts w:hint="eastAsia" w:ascii="Times New Roman" w:hAnsi="Times New Roman" w:eastAsia="宋体"/>
          <w:b w:val="0"/>
          <w:sz w:val="21"/>
        </w:rPr>
        <w:t>王克敏、王华杰、李栋栋等（2018）</w:t>
      </w:r>
      <w:r>
        <w:rPr>
          <w:rFonts w:ascii="Times New Roman" w:hAnsi="Times New Roman" w:eastAsia="宋体"/>
          <w:b w:val="0"/>
          <w:sz w:val="21"/>
          <w:vertAlign w:val="superscript"/>
        </w:rPr>
        <w:t>[28]</w:t>
      </w:r>
      <w:r>
        <w:rPr>
          <w:rFonts w:hint="eastAsia" w:ascii="Times New Roman" w:hAnsi="Times New Roman" w:eastAsia="宋体"/>
          <w:b w:val="0"/>
          <w:sz w:val="21"/>
        </w:rPr>
        <w:t>将视角延伸至年报文本，得到业绩不佳或存在不利信息时企业更倾向于使用复杂表达，年报可读性低的企业高管超额薪酬也更高。信息披露并非单纯的事实呈现，它也容易成为提高解读成本、削弱外部监督的工具。连君莎（2020）</w:t>
      </w:r>
      <w:r>
        <w:rPr>
          <w:rFonts w:ascii="Times New Roman" w:hAnsi="Times New Roman" w:eastAsia="宋体"/>
          <w:b w:val="0"/>
          <w:sz w:val="21"/>
          <w:vertAlign w:val="superscript"/>
        </w:rPr>
        <w:t>[20]</w:t>
      </w:r>
      <w:r>
        <w:rPr>
          <w:rFonts w:hint="eastAsia" w:ascii="Times New Roman" w:hAnsi="Times New Roman" w:eastAsia="宋体"/>
          <w:b w:val="0"/>
          <w:sz w:val="21"/>
        </w:rPr>
        <w:t>、章海浪（2021）</w:t>
      </w:r>
      <w:r>
        <w:rPr>
          <w:rFonts w:ascii="Times New Roman" w:hAnsi="Times New Roman" w:eastAsia="宋体"/>
          <w:b w:val="0"/>
          <w:sz w:val="21"/>
          <w:vertAlign w:val="superscript"/>
        </w:rPr>
        <w:t>[31]</w:t>
      </w:r>
      <w:r>
        <w:rPr>
          <w:rFonts w:hint="eastAsia" w:ascii="Times New Roman" w:hAnsi="Times New Roman" w:eastAsia="宋体"/>
          <w:b w:val="0"/>
          <w:sz w:val="21"/>
        </w:rPr>
        <w:t>、徐坤（2021）</w:t>
      </w:r>
      <w:r>
        <w:rPr>
          <w:rFonts w:ascii="Times New Roman" w:hAnsi="Times New Roman" w:eastAsia="宋体"/>
          <w:b w:val="0"/>
          <w:sz w:val="21"/>
          <w:vertAlign w:val="superscript"/>
        </w:rPr>
        <w:t>[30]</w:t>
      </w:r>
      <w:r>
        <w:rPr>
          <w:rFonts w:hint="eastAsia" w:ascii="Times New Roman" w:hAnsi="Times New Roman" w:eastAsia="宋体"/>
          <w:b w:val="0"/>
          <w:sz w:val="21"/>
        </w:rPr>
        <w:t>分别从内部控制、薪酬公平和管理层语调角度进一步补充了这一判断：补贴、治理与薪酬的联系需要在信息透明度和监督强度的差异中理解。上述文献主要依赖线性计量框架，而补贴与薪酬之间可能存在的非线性关系和交互结构，则需要借助机器学习工具加以补充观察。</w:t>
      </w:r>
    </w:p>
    <w:bookmarkEnd w:id="8"/>
    <w:p w14:paraId="2CEC1AF2">
      <w:pPr>
        <w:pStyle w:val="28"/>
        <w:spacing w:before="0" w:after="0" w:line="312" w:lineRule="auto"/>
        <w:ind w:firstLine="420"/>
        <w:jc w:val="left"/>
      </w:pPr>
      <w:bookmarkStart w:id="12" w:name="机器学习与数据挖掘方法在会计金融研究中的应用"/>
      <w:r>
        <w:rPr>
          <w:rFonts w:ascii="Times New Roman" w:hAnsi="Times New Roman" w:eastAsia="宋体"/>
          <w:b w:val="0"/>
          <w:sz w:val="24"/>
        </w:rPr>
        <w:t xml:space="preserve">1.3.4 </w:t>
      </w:r>
      <w:r>
        <w:rPr>
          <w:rFonts w:hint="eastAsia" w:ascii="Times New Roman" w:hAnsi="Times New Roman" w:eastAsia="宋体"/>
          <w:b w:val="0"/>
          <w:sz w:val="24"/>
        </w:rPr>
        <w:t>机器学习与数据挖掘方法在会计金融研究中的应用</w:t>
      </w:r>
    </w:p>
    <w:p w14:paraId="64E3D513">
      <w:pPr>
        <w:spacing w:before="0" w:after="0" w:line="312" w:lineRule="auto"/>
        <w:ind w:firstLine="420"/>
        <w:jc w:val="both"/>
      </w:pPr>
      <w:r>
        <w:rPr>
          <w:rFonts w:hint="eastAsia" w:ascii="Times New Roman" w:hAnsi="Times New Roman" w:eastAsia="宋体"/>
          <w:b w:val="0"/>
          <w:sz w:val="21"/>
        </w:rPr>
        <w:t>机器学习文献与本文的关联在于，它能处理线性回归不太擅长处理的情形。Li（2008）</w:t>
      </w:r>
      <w:r>
        <w:rPr>
          <w:rFonts w:ascii="Times New Roman" w:hAnsi="Times New Roman" w:eastAsia="宋体"/>
          <w:b w:val="0"/>
          <w:sz w:val="21"/>
          <w:vertAlign w:val="superscript"/>
        </w:rPr>
        <w:t>[11]</w:t>
      </w:r>
      <w:r>
        <w:rPr>
          <w:rFonts w:hint="eastAsia" w:ascii="Times New Roman" w:hAnsi="Times New Roman" w:eastAsia="宋体"/>
          <w:b w:val="0"/>
          <w:sz w:val="21"/>
        </w:rPr>
        <w:t>较早将文本特征与经济后果联系起来，这意味着非结构化信息也可以进入会计议题。Gu、Kelly</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w:t>
      </w:r>
      <w:r>
        <w:rPr>
          <w:rFonts w:hint="eastAsia" w:ascii="Times New Roman" w:hAnsi="Times New Roman" w:eastAsia="宋体"/>
          <w:b w:val="0"/>
          <w:sz w:val="21"/>
        </w:rPr>
        <w:t>Xiu（2020）</w:t>
      </w:r>
      <w:r>
        <w:rPr>
          <w:rFonts w:ascii="Times New Roman" w:hAnsi="Times New Roman" w:eastAsia="宋体"/>
          <w:b w:val="0"/>
          <w:sz w:val="21"/>
          <w:vertAlign w:val="superscript"/>
        </w:rPr>
        <w:t>[7]</w:t>
      </w:r>
      <w:r>
        <w:rPr>
          <w:rFonts w:hint="eastAsia" w:ascii="Times New Roman" w:hAnsi="Times New Roman" w:eastAsia="宋体"/>
          <w:b w:val="0"/>
          <w:sz w:val="21"/>
        </w:rPr>
        <w:t>在实证资产定价领域系统比较了多种机器学习工具，提示集成树和神经网络在捕捉非线性模式方面具有显著优势。Perols、Bowen、Zimmermann等（2017）</w:t>
      </w:r>
      <w:r>
        <w:rPr>
          <w:rFonts w:ascii="Times New Roman" w:hAnsi="Times New Roman" w:eastAsia="宋体"/>
          <w:b w:val="0"/>
          <w:sz w:val="21"/>
          <w:vertAlign w:val="superscript"/>
        </w:rPr>
        <w:t>[12]</w:t>
      </w:r>
      <w:r>
        <w:rPr>
          <w:rFonts w:hint="eastAsia" w:ascii="Times New Roman" w:hAnsi="Times New Roman" w:eastAsia="宋体"/>
          <w:b w:val="0"/>
          <w:sz w:val="21"/>
        </w:rPr>
        <w:t>在财务舞弊识别中观察到，随机森林、神经网络和Boosting等方法相较传统逻辑回归有更好的预测表现，关键在于模型能自动捕捉更高阶的交互结构。陆瑶、张叶青、黎波和赵浩宇（2020）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[22]</w:t>
      </w:r>
      <w:r>
        <w:rPr>
          <w:rFonts w:hint="eastAsia" w:ascii="Times New Roman" w:hAnsi="Times New Roman" w:eastAsia="宋体"/>
          <w:b w:val="0"/>
          <w:sz w:val="21"/>
        </w:rPr>
        <w:t>将梯度提升树用于高管特征与公司业绩关系的考察，显示某些变量的作用不一定沿线性方式平稳展开，在特定区间或特定组合下才明显增强。</w:t>
      </w:r>
    </w:p>
    <w:p w14:paraId="3DEC55DB">
      <w:pPr>
        <w:spacing w:before="0" w:after="0" w:line="312" w:lineRule="auto"/>
        <w:ind w:firstLine="420"/>
        <w:jc w:val="both"/>
      </w:pPr>
      <w:r>
        <w:rPr>
          <w:rFonts w:hint="eastAsia" w:ascii="Times New Roman" w:hAnsi="Times New Roman" w:eastAsia="宋体"/>
          <w:b w:val="0"/>
          <w:sz w:val="21"/>
        </w:rPr>
        <w:t>后续文献将这一思路扩展到文本分析和异常识别。马长峰、陈志娟和张顺明（2020）</w:t>
      </w:r>
      <w:r>
        <w:rPr>
          <w:rFonts w:ascii="Times New Roman" w:hAnsi="Times New Roman" w:eastAsia="宋体"/>
          <w:b w:val="0"/>
          <w:sz w:val="21"/>
          <w:vertAlign w:val="superscript"/>
        </w:rPr>
        <w:t>[25]</w:t>
      </w:r>
      <w:r>
        <w:rPr>
          <w:rFonts w:hint="eastAsia" w:ascii="Times New Roman" w:hAnsi="Times New Roman" w:eastAsia="宋体"/>
          <w:b w:val="0"/>
          <w:sz w:val="21"/>
        </w:rPr>
        <w:t>在综述中提到，机器学习更适合承担探索性和补充性任务，不宜直接替代因果推断。Rjiba、Saadi、Boubaker等（2021）</w:t>
      </w:r>
      <w:r>
        <w:rPr>
          <w:rFonts w:ascii="Times New Roman" w:hAnsi="Times New Roman" w:eastAsia="宋体"/>
          <w:b w:val="0"/>
          <w:sz w:val="21"/>
          <w:vertAlign w:val="superscript"/>
        </w:rPr>
        <w:t>[13]</w:t>
      </w:r>
      <w:r>
        <w:rPr>
          <w:rFonts w:hint="eastAsia" w:ascii="Times New Roman" w:hAnsi="Times New Roman" w:eastAsia="宋体"/>
          <w:b w:val="0"/>
          <w:sz w:val="21"/>
        </w:rPr>
        <w:t>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、Ketelaar和Mićković（2025）</w:t>
      </w:r>
      <w:r>
        <w:rPr>
          <w:rFonts w:ascii="Times New Roman" w:hAnsi="Times New Roman" w:eastAsia="宋体"/>
          <w:b w:val="0"/>
          <w:sz w:val="21"/>
          <w:vertAlign w:val="superscript"/>
        </w:rPr>
        <w:t>[10]</w:t>
      </w:r>
      <w:r>
        <w:rPr>
          <w:rFonts w:hint="eastAsia" w:ascii="Times New Roman" w:hAnsi="Times New Roman" w:eastAsia="宋体"/>
          <w:b w:val="0"/>
          <w:sz w:val="21"/>
        </w:rPr>
        <w:t>则将上下文语言学习与人工智能方法用于舞弊和异常识别。这些工作的启发在于：当财政补贴与超额薪酬之间可能存在区间效应、交互结构或非线性关系时，机器学习可作为补充观察工具，但不应替代基准回归的主体地位。综合以上四个维度的文献积累，下面对现有文献的总体贡献和仍待填补的空白进行述评。</w:t>
      </w:r>
    </w:p>
    <w:bookmarkEnd w:id="9"/>
    <w:p w14:paraId="515E14A8">
      <w:pPr>
        <w:pStyle w:val="28"/>
        <w:spacing w:before="0" w:after="0" w:line="312" w:lineRule="auto"/>
        <w:ind w:firstLine="420"/>
        <w:jc w:val="left"/>
      </w:pPr>
      <w:bookmarkStart w:id="13" w:name="研究述评与现有文献的局限"/>
      <w:r>
        <w:rPr>
          <w:rFonts w:ascii="Times New Roman" w:hAnsi="Times New Roman" w:eastAsia="宋体"/>
          <w:b w:val="0"/>
          <w:sz w:val="24"/>
        </w:rPr>
        <w:t xml:space="preserve">1.3.5 </w:t>
      </w:r>
      <w:r>
        <w:rPr>
          <w:rFonts w:hint="eastAsia" w:ascii="Times New Roman" w:hAnsi="Times New Roman" w:eastAsia="宋体"/>
          <w:b w:val="0"/>
          <w:sz w:val="24"/>
        </w:rPr>
        <w:t>研究述评与现有文献的局限</w:t>
      </w:r>
    </w:p>
    <w:p w14:paraId="0B935559">
      <w:pPr>
        <w:spacing w:before="0" w:after="0" w:line="312" w:lineRule="auto"/>
        <w:ind w:firstLine="420"/>
        <w:jc w:val="both"/>
      </w:pPr>
      <w:r>
        <w:rPr>
          <w:rFonts w:hint="eastAsia" w:ascii="Times New Roman" w:hAnsi="Times New Roman" w:eastAsia="宋体"/>
          <w:b w:val="0"/>
          <w:sz w:val="21"/>
        </w:rPr>
        <w:t>综合前述文献，现有文献对几个基础命题已形成较清晰的认识：超额薪酬的界定与测量已有较稳定的处理路径，财政补贴对高管收入的作用在中国情境下积累了不少证据，内部控制、媒体监督和披露复杂性等因素对补贴效应强弱的调节效应也得到了较多支持。</w:t>
      </w:r>
    </w:p>
    <w:p w14:paraId="21D3F36B">
      <w:pPr>
        <w:spacing w:before="0" w:after="0" w:line="312" w:lineRule="auto"/>
        <w:ind w:firstLine="420"/>
        <w:jc w:val="both"/>
      </w:pPr>
      <w:r>
        <w:rPr>
          <w:rFonts w:hint="eastAsia" w:ascii="Times New Roman" w:hAnsi="Times New Roman" w:eastAsia="宋体"/>
          <w:b w:val="0"/>
          <w:sz w:val="21"/>
        </w:rPr>
        <w:t>现有文献也留下了几处空白。不少文献仍以薪酬规模或薪酬差距作被解释变量，企业规模和绩效带来的正常差异容易被混入。管理层权力在补贴与薪酬之间的中介角色虽有讨论，但结合固定效应与滞后设定的系统检验尚不多见。机器学习工作多集中在舞弊识别或文本分类，用于考察补贴与超额薪酬非线性结构的案例仍较少。本文的设计正是围绕这三处不足展开。</w:t>
      </w:r>
    </w:p>
    <w:bookmarkEnd w:id="10"/>
    <w:bookmarkEnd w:id="11"/>
    <w:p w14:paraId="2F0CE7C2">
      <w:pPr>
        <w:pStyle w:val="3"/>
        <w:spacing w:before="0" w:after="0" w:line="312" w:lineRule="auto"/>
        <w:ind w:firstLine="0"/>
        <w:jc w:val="left"/>
      </w:pPr>
      <w:bookmarkStart w:id="14" w:name="_TocAuto0005"/>
      <w:bookmarkStart w:id="15" w:name="研究方法与技术路线"/>
      <w:r>
        <w:rPr>
          <w:rFonts w:ascii="Times New Roman" w:hAnsi="Times New Roman" w:eastAsia="黑体"/>
          <w:b w:val="0"/>
          <w:sz w:val="28"/>
        </w:rPr>
        <w:t xml:space="preserve">1.4 </w:t>
      </w:r>
      <w:r>
        <w:rPr>
          <w:rFonts w:hint="eastAsia" w:ascii="Times New Roman" w:hAnsi="Times New Roman" w:eastAsia="黑体"/>
          <w:b w:val="0"/>
          <w:sz w:val="28"/>
        </w:rPr>
        <w:t>研究方法与技术路线</w:t>
      </w:r>
      <w:bookmarkEnd w:id="14"/>
    </w:p>
    <w:p w14:paraId="07B87FDD">
      <w:pPr>
        <w:spacing w:before="0" w:after="0" w:line="312" w:lineRule="auto"/>
        <w:ind w:firstLine="420"/>
        <w:jc w:val="both"/>
      </w:pPr>
      <w:r>
        <w:rPr>
          <w:rFonts w:hint="eastAsia" w:ascii="Times New Roman" w:hAnsi="Times New Roman" w:eastAsia="宋体"/>
          <w:b w:val="0"/>
          <w:sz w:val="21"/>
        </w:rPr>
        <w:t>技术路线的设计让每类工具回答不同层面的任务。前半部分完成文献梳理与理论推演，明确两条检验主线：财政补贴与高管超额薪酬是否存在稳定联系，管理层权力是否承担传导角色。</w:t>
      </w:r>
    </w:p>
    <w:p w14:paraId="120F6526">
      <w:pPr>
        <w:spacing w:before="0" w:after="0" w:line="312" w:lineRule="auto"/>
        <w:ind w:firstLine="420"/>
        <w:jc w:val="both"/>
      </w:pPr>
      <w:r>
        <w:rPr>
          <w:rFonts w:hint="eastAsia" w:ascii="Times New Roman" w:hAnsi="Times New Roman" w:eastAsia="宋体"/>
          <w:b w:val="0"/>
          <w:sz w:val="21"/>
        </w:rPr>
        <w:t>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的设定构造超额薪酬变量，并把基准回归聚焦为“上一年已获得补贴企业内部的补贴强度效应”：在公司和年份固定效应下，检验滞后一期正补助对数是否与</w:t>
      </w:r>
      <w:r>
        <w:rPr>
          <w:rFonts w:ascii="Times New Roman" w:hAnsi="Times New Roman" w:eastAsia="宋体"/>
          <w:b w:val="0"/>
          <w:sz w:val="21"/>
        </w:rPr>
        <w:t xml:space="preserve"> Overpay </w:t>
      </w:r>
      <w:r>
        <w:rPr>
          <w:rFonts w:hint="eastAsia" w:ascii="Times New Roman" w:hAnsi="Times New Roman" w:eastAsia="宋体"/>
          <w:b w:val="0"/>
          <w:sz w:val="21"/>
        </w:rPr>
        <w:t>同步变化。更严格的行业×年份固定效应、选择偏差校正和事件动态检验用于收紧识别边界，中介检验观察权力渠道是否存在，异质性分析判断联系是否随制度情境而分化。</w:t>
      </w:r>
    </w:p>
    <w:p w14:paraId="39E0A131">
      <w:pPr>
        <w:spacing w:before="0" w:after="0" w:line="312" w:lineRule="auto"/>
        <w:ind w:firstLine="420"/>
        <w:jc w:val="both"/>
      </w:pPr>
      <w:r>
        <w:rPr>
          <w:rFonts w:hint="eastAsia" w:ascii="Times New Roman" w:hAnsi="Times New Roman" w:eastAsia="宋体"/>
          <w:b w:val="0"/>
          <w:sz w:val="21"/>
        </w:rPr>
        <w:t>机器学习补充验证置于第四章稳健性检验之后，并与基准回归保持相同的样本边界和核心变量口径。随机森林复核财政补贴与控制变量的相对重要性；SHAP补充解释财政补贴的边际贡献强度；Lasso检验财政补贴变量是否被保留且方向一致；XGBoost则通过特征重要性与财政补贴的部分依赖图，观察更灵活模型中的趋势是否与OLS一致。</w:t>
      </w:r>
    </w:p>
    <w:p w14:paraId="2FD9BD75">
      <w:pPr>
        <w:spacing w:before="0" w:after="0" w:line="240" w:lineRule="auto"/>
        <w:ind w:firstLine="0"/>
        <w:jc w:val="center"/>
      </w:pPr>
      <w:r>
        <w:rPr>
          <w:rFonts w:ascii="Times New Roman" w:hAnsi="Times New Roman" w:eastAsia="宋体"/>
          <w:sz w:val="21"/>
        </w:rPr>
        <w:drawing>
          <wp:inline distT="0" distB="0" distL="114300" distR="114300">
            <wp:extent cx="1088390" cy="4697095"/>
            <wp:effectExtent l="0" t="0" r="3810" b="1905"/>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a:picLocks noChangeAspect="1" noChangeArrowheads="1"/>
                    </pic:cNvPicPr>
                  </pic:nvPicPr>
                  <pic:blipFill>
                    <a:blip r:embed="rId11"/>
                    <a:stretch>
                      <a:fillRect/>
                    </a:stretch>
                  </pic:blipFill>
                  <pic:spPr>
                    <a:xfrm>
                      <a:off x="0" y="0"/>
                      <a:ext cx="1088390" cy="4697095"/>
                    </a:xfrm>
                    <a:prstGeom prst="rect">
                      <a:avLst/>
                    </a:prstGeom>
                    <a:noFill/>
                    <a:ln w="9525">
                      <a:noFill/>
                    </a:ln>
                  </pic:spPr>
                </pic:pic>
              </a:graphicData>
            </a:graphic>
          </wp:inline>
        </w:drawing>
      </w:r>
    </w:p>
    <w:p w14:paraId="091654B7">
      <w:pPr>
        <w:spacing w:before="0" w:after="0" w:line="312" w:lineRule="auto"/>
        <w:ind w:firstLine="0"/>
        <w:jc w:val="center"/>
      </w:pPr>
      <w:r>
        <w:rPr>
          <w:rFonts w:hint="eastAsia" w:ascii="Times New Roman" w:hAnsi="Times New Roman" w:eastAsia="宋体"/>
          <w:b/>
          <w:sz w:val="18"/>
        </w:rPr>
        <w:t>图1-1</w:t>
      </w:r>
      <w:r>
        <w:rPr>
          <w:rFonts w:ascii="Times New Roman" w:hAnsi="Times New Roman" w:eastAsia="宋体"/>
          <w:b/>
          <w:sz w:val="18"/>
        </w:rPr>
        <w:t xml:space="preserve"> </w:t>
      </w:r>
      <w:r>
        <w:rPr>
          <w:rFonts w:hint="eastAsia" w:ascii="Times New Roman" w:hAnsi="Times New Roman" w:eastAsia="宋体"/>
          <w:b/>
          <w:sz w:val="18"/>
        </w:rPr>
        <w:t>技术路线图</w:t>
      </w:r>
    </w:p>
    <w:bookmarkEnd w:id="12"/>
    <w:bookmarkEnd w:id="13"/>
    <w:p w14:paraId="7637B5BD">
      <w:pPr>
        <w:pStyle w:val="2"/>
        <w:pageBreakBefore/>
        <w:spacing w:before="0" w:after="0" w:line="312" w:lineRule="auto"/>
        <w:ind w:firstLine="0"/>
        <w:jc w:val="center"/>
      </w:pPr>
      <w:bookmarkStart w:id="16" w:name="_TocAuto0006"/>
      <w:bookmarkStart w:id="17" w:name="第二章-理论分析与假设"/>
      <w:r>
        <w:rPr>
          <w:rFonts w:hint="eastAsia" w:ascii="Times New Roman" w:hAnsi="Times New Roman" w:eastAsia="黑体"/>
          <w:b/>
          <w:sz w:val="32"/>
        </w:rPr>
        <w:t>第二章</w:t>
      </w:r>
      <w:r>
        <w:rPr>
          <w:rFonts w:ascii="Times New Roman" w:hAnsi="Times New Roman" w:eastAsia="黑体"/>
          <w:b/>
          <w:sz w:val="32"/>
        </w:rPr>
        <w:t xml:space="preserve"> </w:t>
      </w:r>
      <w:r>
        <w:rPr>
          <w:rFonts w:hint="eastAsia" w:ascii="Times New Roman" w:hAnsi="Times New Roman" w:eastAsia="黑体"/>
          <w:b/>
          <w:sz w:val="32"/>
        </w:rPr>
        <w:t>理论分析与假设</w:t>
      </w:r>
      <w:bookmarkEnd w:id="16"/>
    </w:p>
    <w:p w14:paraId="31B2D1D0">
      <w:pPr>
        <w:pStyle w:val="3"/>
        <w:spacing w:before="0" w:after="0" w:line="312" w:lineRule="auto"/>
        <w:ind w:firstLine="0"/>
        <w:jc w:val="left"/>
      </w:pPr>
      <w:bookmarkStart w:id="18" w:name="_TocAuto0007"/>
      <w:bookmarkStart w:id="19" w:name="概念界定"/>
      <w:r>
        <w:rPr>
          <w:rFonts w:ascii="Times New Roman" w:hAnsi="Times New Roman" w:eastAsia="黑体"/>
          <w:b w:val="0"/>
          <w:sz w:val="28"/>
        </w:rPr>
        <w:t xml:space="preserve">2.1 </w:t>
      </w:r>
      <w:r>
        <w:rPr>
          <w:rFonts w:hint="eastAsia" w:ascii="Times New Roman" w:hAnsi="Times New Roman" w:eastAsia="黑体"/>
          <w:b w:val="0"/>
          <w:sz w:val="28"/>
        </w:rPr>
        <w:t>概念界定</w:t>
      </w:r>
      <w:bookmarkEnd w:id="18"/>
    </w:p>
    <w:p w14:paraId="451F328B">
      <w:pPr>
        <w:pStyle w:val="28"/>
        <w:spacing w:before="0" w:after="0" w:line="312" w:lineRule="auto"/>
        <w:ind w:firstLine="420"/>
        <w:jc w:val="left"/>
      </w:pPr>
      <w:bookmarkStart w:id="20" w:name="财政补贴"/>
      <w:r>
        <w:rPr>
          <w:rFonts w:ascii="Times New Roman" w:hAnsi="Times New Roman" w:eastAsia="宋体"/>
          <w:b w:val="0"/>
          <w:sz w:val="24"/>
        </w:rPr>
        <w:t xml:space="preserve">2.1.1 </w:t>
      </w:r>
      <w:r>
        <w:rPr>
          <w:rFonts w:hint="eastAsia" w:ascii="Times New Roman" w:hAnsi="Times New Roman" w:eastAsia="宋体"/>
          <w:b w:val="0"/>
          <w:sz w:val="24"/>
        </w:rPr>
        <w:t>财政补贴</w:t>
      </w:r>
    </w:p>
    <w:p w14:paraId="7B50E141">
      <w:pPr>
        <w:spacing w:before="0" w:after="0" w:line="312" w:lineRule="auto"/>
        <w:ind w:firstLine="420"/>
        <w:jc w:val="both"/>
      </w:pPr>
      <w:r>
        <w:rPr>
          <w:rFonts w:hint="eastAsia" w:ascii="Times New Roman" w:hAnsi="Times New Roman" w:eastAsia="宋体"/>
          <w:b w:val="0"/>
          <w:sz w:val="21"/>
        </w:rPr>
        <w:t>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与资产相关”的补助通过递延收益逐期摊销进入利润，“与收益相关”的补助在满足确认条件后一次性或分期计入当期损益。补贴的到账时间、规模和附带约束因而会直接改变企业的资源配置方式和财务报表表现。此外，我国财政补贴存在使用约束弱、事后监督不足特征，很容易成为管理层权力寻租渠道。</w:t>
      </w:r>
    </w:p>
    <w:p w14:paraId="236B485F">
      <w:pPr>
        <w:spacing w:before="0" w:after="0" w:line="312" w:lineRule="auto"/>
        <w:ind w:firstLine="420"/>
        <w:jc w:val="both"/>
      </w:pPr>
      <w:r>
        <w:rPr>
          <w:rFonts w:hint="eastAsia" w:ascii="Times New Roman" w:hAnsi="Times New Roman" w:eastAsia="宋体"/>
          <w:b w:val="0"/>
          <w:sz w:val="21"/>
        </w:rPr>
        <w:t>从经济性质看，财政补贴并非企业依靠市场竞争创造的经营收入，而是带有明确政策来源的外部资源输入。对上市公司而言，它会改变利润表表现，进而带动管理层安排资源的空间。在我国制度环境下，补贴使用约束相对有限、事后跟踪并不总是充分，这使其容易成为管理层寻租的渠道。本文据此将财政补贴置于“补贴—治理—薪酬”关系链条的起点。这种外部资源属性不等同于补贴具有准自然实验性质，全文始终将其作为需要谨慎识别的解释变量来处理。</w:t>
      </w:r>
    </w:p>
    <w:p w14:paraId="75D65572">
      <w:pPr>
        <w:spacing w:before="0" w:after="0" w:line="312" w:lineRule="auto"/>
        <w:ind w:firstLine="420"/>
        <w:jc w:val="both"/>
      </w:pPr>
      <w:r>
        <w:rPr>
          <w:rFonts w:hint="eastAsia" w:ascii="Times New Roman" w:hAnsi="Times New Roman" w:eastAsia="宋体"/>
          <w:b w:val="0"/>
          <w:sz w:val="21"/>
        </w:rPr>
        <w:t>在具体度量上，本文同时保留两类补贴口径。描述性统计和对照考察中使用企业年度政府补助金额经零值保留后的对数形式，即</w:t>
      </w:r>
      <m:oMath>
        <m:r>
          <m:rPr>
            <m:sty m:val="p"/>
          </m:rPr>
          <m:t>ln(</m:t>
        </m:r>
        <m:r>
          <m:rPr/>
          <m:t>1</m:t>
        </m:r>
        <m:r>
          <m:rPr>
            <m:sty m:val="p"/>
          </m:rPr>
          <m:t>+</m:t>
        </m:r>
        <m:r>
          <m:rPr>
            <m:nor/>
            <m:sty m:val="p"/>
          </m:rPr>
          <m:t>Subsidy</m:t>
        </m:r>
        <m:r>
          <m:rPr>
            <m:sty m:val="p"/>
          </m:rPr>
          <m:t>)</m:t>
        </m:r>
      </m:oMath>
      <w:r>
        <w:rPr>
          <w:rFonts w:hint="eastAsia" w:ascii="Times New Roman" w:hAnsi="Times New Roman" w:eastAsia="宋体"/>
          <w:b w:val="0"/>
          <w:sz w:val="21"/>
        </w:rPr>
        <w:t>，以平滑右偏分布并保留零补助公司年度观测；基准回归则进一步聚焦于已获得补贴的公司年度，使用仅对正补助取自然对数的强度口径。这样的安排有助于把“是否获得补贴”和“获得补贴后的强弱差异”区分开来。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检验创造了条件。补贴项目越细、规模越大，申报和使用过程中的信息不对称也往往越突出，主管部门很难长期跟踪每笔补贴的真实去向，而企业高管在项目论证和资源配置中通常掌握更多内部信息。</w:t>
      </w:r>
    </w:p>
    <w:bookmarkEnd w:id="15"/>
    <w:p w14:paraId="55FADDF2">
      <w:pPr>
        <w:pStyle w:val="28"/>
        <w:spacing w:before="0" w:after="0" w:line="312" w:lineRule="auto"/>
        <w:ind w:firstLine="420"/>
        <w:jc w:val="left"/>
      </w:pPr>
      <w:bookmarkStart w:id="21" w:name="高管超额薪酬"/>
      <w:r>
        <w:rPr>
          <w:rFonts w:ascii="Times New Roman" w:hAnsi="Times New Roman" w:eastAsia="宋体"/>
          <w:b w:val="0"/>
          <w:sz w:val="24"/>
        </w:rPr>
        <w:t xml:space="preserve">2.1.2 </w:t>
      </w:r>
      <w:r>
        <w:rPr>
          <w:rFonts w:hint="eastAsia" w:ascii="Times New Roman" w:hAnsi="Times New Roman" w:eastAsia="宋体"/>
          <w:b w:val="0"/>
          <w:sz w:val="24"/>
        </w:rPr>
        <w:t>高管超额薪酬</w:t>
      </w:r>
    </w:p>
    <w:p w14:paraId="1BB860A0">
      <w:pPr>
        <w:spacing w:before="0" w:after="0" w:line="312" w:lineRule="auto"/>
        <w:ind w:firstLine="420"/>
        <w:jc w:val="both"/>
      </w:pPr>
      <w:r>
        <w:rPr>
          <w:rFonts w:hint="eastAsia" w:ascii="Times New Roman" w:hAnsi="Times New Roman" w:eastAsia="宋体"/>
          <w:b w:val="0"/>
          <w:sz w:val="21"/>
        </w:rPr>
        <w:t>高管超额薪酬并非泛指“薪酬高”，而是指控制企业规模、盈利表现、资产结构、区域与行业等客观因素后仍高出正常基准的那部分报酬。这一概念的关键在于先回答一个基础疑问：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14:paraId="16A0472F">
      <w:pPr>
        <w:spacing w:before="0" w:after="0" w:line="312" w:lineRule="auto"/>
        <w:ind w:firstLine="420"/>
        <w:jc w:val="both"/>
      </w:pPr>
      <w:r>
        <w:rPr>
          <w:rFonts w:hint="eastAsia" w:ascii="Times New Roman" w:hAnsi="Times New Roman" w:eastAsia="宋体"/>
          <w:b w:val="0"/>
          <w:sz w:val="21"/>
        </w:rPr>
        <w:t>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的期望薪酬结构，先利用公司特征变量估计“正常薪酬基准”，再将模型残差作为超额薪酬。这一做法的优势是，企业规模、经营绩效等常规因素已在期望模型中被吸收，残差因而更接近本文真正关心的异常部分。数值上它对应实际薪酬相对拟合基准的偏离，实证操作中直接使用残差序列，不再额外做“实际值减预测值”的二次计算。由于该变量本身就是回归残差，样本均值理论上接近0，因此不再对其二次缩尾以保留原有统计含义。</w:t>
      </w:r>
    </w:p>
    <w:p w14:paraId="402862EF">
      <w:pPr>
        <w:spacing w:before="0" w:after="0" w:line="312" w:lineRule="auto"/>
        <w:ind w:firstLine="420"/>
        <w:jc w:val="both"/>
      </w:pPr>
      <w:r>
        <w:rPr>
          <w:rFonts w:hint="eastAsia" w:ascii="Times New Roman" w:hAnsi="Times New Roman" w:eastAsia="宋体"/>
          <w:b w:val="0"/>
          <w:sz w:val="21"/>
        </w:rPr>
        <w:t>与直接使用薪酬数额、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本文最终以期望薪酬残差作为超额薪酬的经验代理变量。</w:t>
      </w:r>
    </w:p>
    <w:bookmarkEnd w:id="17"/>
    <w:p w14:paraId="4DE37DDE">
      <w:pPr>
        <w:pStyle w:val="28"/>
        <w:spacing w:before="0" w:after="0" w:line="312" w:lineRule="auto"/>
        <w:ind w:firstLine="420"/>
        <w:jc w:val="left"/>
      </w:pPr>
      <w:bookmarkStart w:id="22" w:name="管理层权力"/>
      <w:r>
        <w:rPr>
          <w:rFonts w:ascii="Times New Roman" w:hAnsi="Times New Roman" w:eastAsia="宋体"/>
          <w:b w:val="0"/>
          <w:sz w:val="24"/>
        </w:rPr>
        <w:t xml:space="preserve">2.1.3 </w:t>
      </w:r>
      <w:r>
        <w:rPr>
          <w:rFonts w:hint="eastAsia" w:ascii="Times New Roman" w:hAnsi="Times New Roman" w:eastAsia="宋体"/>
          <w:b w:val="0"/>
          <w:sz w:val="24"/>
        </w:rPr>
        <w:t>管理层权力</w:t>
      </w:r>
    </w:p>
    <w:p w14:paraId="2B109D40">
      <w:pPr>
        <w:spacing w:before="0" w:after="0" w:line="312" w:lineRule="auto"/>
        <w:ind w:firstLine="420"/>
        <w:jc w:val="both"/>
      </w:pPr>
      <w:r>
        <w:rPr>
          <w:rFonts w:hint="eastAsia" w:ascii="Times New Roman" w:hAnsi="Times New Roman" w:eastAsia="宋体"/>
          <w:b w:val="0"/>
          <w:sz w:val="21"/>
        </w:rPr>
        <w:t>管理层权力（Managerial</w:t>
      </w:r>
      <w:r>
        <w:rPr>
          <w:rFonts w:ascii="Times New Roman" w:hAnsi="Times New Roman" w:eastAsia="宋体"/>
          <w:b w:val="0"/>
          <w:sz w:val="21"/>
        </w:rPr>
        <w:t xml:space="preserve"> </w:t>
      </w:r>
      <w:r>
        <w:rPr>
          <w:rFonts w:hint="eastAsia" w:ascii="Times New Roman" w:hAnsi="Times New Roman" w:eastAsia="宋体"/>
          <w:b w:val="0"/>
          <w:sz w:val="21"/>
        </w:rPr>
        <w:t>Power）指高管对企业关键决策施加实际改变的空间，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结构性权力</w:t>
      </w:r>
      <w:r>
        <w:rPr>
          <w:rFonts w:hint="eastAsia" w:ascii="Times New Roman" w:hAnsi="Times New Roman" w:eastAsia="宋体"/>
          <w:b w:val="0"/>
          <w:sz w:val="21"/>
        </w:rPr>
        <w:t>，例如两职合一、内部董事比例和董事会规模。二是由高管持股体现的</w:t>
      </w:r>
      <w:r>
        <w:rPr>
          <w:rFonts w:hint="eastAsia" w:ascii="Times New Roman" w:hAnsi="Times New Roman" w:eastAsia="宋体"/>
          <w:b w:val="0"/>
          <w:bCs/>
          <w:sz w:val="21"/>
        </w:rPr>
        <w:t>所有权权力</w:t>
      </w:r>
      <w:r>
        <w:rPr>
          <w:rFonts w:hint="eastAsia" w:ascii="Times New Roman" w:hAnsi="Times New Roman" w:eastAsia="宋体"/>
          <w:b w:val="0"/>
          <w:sz w:val="21"/>
        </w:rPr>
        <w:t>。三是由任期、声望和组织关系积累形成的</w:t>
      </w:r>
      <w:r>
        <w:rPr>
          <w:rFonts w:hint="eastAsia" w:ascii="Times New Roman" w:hAnsi="Times New Roman" w:eastAsia="宋体"/>
          <w:b w:val="0"/>
          <w:bCs/>
          <w:sz w:val="21"/>
        </w:rPr>
        <w:t>关系性权力</w:t>
      </w:r>
      <w:r>
        <w:rPr>
          <w:rFonts w:ascii="Times New Roman" w:hAnsi="Times New Roman" w:eastAsia="宋体"/>
          <w:b w:val="0"/>
          <w:sz w:val="21"/>
        </w:rPr>
        <w:t>。</w:t>
      </w:r>
    </w:p>
    <w:p w14:paraId="43FEEECD">
      <w:pPr>
        <w:spacing w:before="0" w:after="0" w:line="312" w:lineRule="auto"/>
        <w:ind w:firstLine="420"/>
        <w:jc w:val="both"/>
      </w:pPr>
      <w:r>
        <w:rPr>
          <w:rFonts w:hint="eastAsia" w:ascii="Times New Roman" w:hAnsi="Times New Roman" w:eastAsia="宋体"/>
          <w:b w:val="0"/>
          <w:sz w:val="21"/>
        </w:rPr>
        <w:t>在中国上市公司环境下，管理层权力的形成逻辑往往更复杂。国有企业高管的权力基础，常常兼带行政授权和市场地位两层属性；在民营企业中，大股东和实际控制人的意志又会深度塑造高管的实际空间。由此，同样归入“管理层权力”这一概念之下，不同所有制企业里的生成路径并不完全一致。结合数据可得性与实证可操作性，本文以Dual、Boardsize、Insider和Mgshder四个底层指标构造综合指数，在有限数据条件下尽量保留结构性权力和所有权权力两条主要来源。</w:t>
      </w:r>
    </w:p>
    <w:p w14:paraId="156BC848">
      <w:pPr>
        <w:spacing w:before="0" w:after="0" w:line="312" w:lineRule="auto"/>
        <w:ind w:firstLine="420"/>
        <w:jc w:val="both"/>
      </w:pPr>
      <w:r>
        <w:rPr>
          <w:rFonts w:hint="eastAsia" w:ascii="Times New Roman" w:hAnsi="Times New Roman" w:eastAsia="宋体"/>
          <w:b w:val="0"/>
          <w:sz w:val="21"/>
        </w:rPr>
        <w:t>还要看到，中国公司治理结构中党委、董事会和管理层之间的权力边界并不总是清晰，国有企业尤其如此。党政体系中的关系网络、与上级主管部门的信任程度等真正牵动高管地位的因素，在公开年报中几乎无法直接量化。把“管理层权力”放到中国上市公司语境下理解，其复杂性明显高于西方主流文献的标准设定。这里的处理方式保留了可操作性，部分非正式权力渠道仍可能被低估，后文区分国有与民营企业的异质性检验也有这层考虑。</w:t>
      </w:r>
    </w:p>
    <w:bookmarkEnd w:id="19"/>
    <w:bookmarkEnd w:id="20"/>
    <w:p w14:paraId="3710C28D">
      <w:pPr>
        <w:pStyle w:val="3"/>
        <w:spacing w:before="0" w:after="0" w:line="312" w:lineRule="auto"/>
        <w:ind w:firstLine="0"/>
        <w:jc w:val="left"/>
      </w:pPr>
      <w:bookmarkStart w:id="23" w:name="_TocAuto0008"/>
      <w:bookmarkStart w:id="24" w:name="理论基础"/>
      <w:r>
        <w:rPr>
          <w:rFonts w:ascii="Times New Roman" w:hAnsi="Times New Roman" w:eastAsia="黑体"/>
          <w:b w:val="0"/>
          <w:sz w:val="28"/>
        </w:rPr>
        <w:t xml:space="preserve">2.2 </w:t>
      </w:r>
      <w:r>
        <w:rPr>
          <w:rFonts w:hint="eastAsia" w:ascii="Times New Roman" w:hAnsi="Times New Roman" w:eastAsia="黑体"/>
          <w:b w:val="0"/>
          <w:sz w:val="28"/>
        </w:rPr>
        <w:t>理论基础</w:t>
      </w:r>
      <w:bookmarkEnd w:id="23"/>
    </w:p>
    <w:p w14:paraId="1945F10D">
      <w:pPr>
        <w:pStyle w:val="28"/>
        <w:spacing w:before="0" w:after="0" w:line="312" w:lineRule="auto"/>
        <w:ind w:firstLine="420"/>
        <w:jc w:val="left"/>
      </w:pPr>
      <w:bookmarkStart w:id="25" w:name="管理者权力理论"/>
      <w:r>
        <w:rPr>
          <w:rFonts w:ascii="Times New Roman" w:hAnsi="Times New Roman" w:eastAsia="宋体"/>
          <w:b w:val="0"/>
          <w:sz w:val="24"/>
        </w:rPr>
        <w:t xml:space="preserve">2.2.1 </w:t>
      </w:r>
      <w:r>
        <w:rPr>
          <w:rFonts w:hint="eastAsia" w:ascii="Times New Roman" w:hAnsi="Times New Roman" w:eastAsia="宋体"/>
          <w:b w:val="0"/>
          <w:sz w:val="24"/>
        </w:rPr>
        <w:t>管理者权力理论</w:t>
      </w:r>
    </w:p>
    <w:p w14:paraId="106E2014">
      <w:pPr>
        <w:spacing w:before="0" w:after="0" w:line="312" w:lineRule="auto"/>
        <w:ind w:firstLine="420"/>
        <w:jc w:val="both"/>
      </w:pPr>
      <w:r>
        <w:rPr>
          <w:rFonts w:hint="eastAsia" w:ascii="Times New Roman" w:hAnsi="Times New Roman" w:eastAsia="宋体"/>
          <w:b w:val="0"/>
          <w:sz w:val="21"/>
        </w:rPr>
        <w:t>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提出这一视角，核心原因在于“最优契约说”对董事会的理性和中立假定过于乐观。按最优契约逻辑，高管薪酬应反映其边际贡献；管理者权力理论则说明，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将高管权力划分为结构性权力、所有权权力、专家性权力和声望性权力，为后续经验工作提供了清晰的操作思路。本文以两职合一、董事会规模、内部董事比例和高管持股四个指标刻画管理层权力，延续了多角度检验的思路。</w:t>
      </w:r>
    </w:p>
    <w:p w14:paraId="55AB16B4">
      <w:pPr>
        <w:spacing w:before="0" w:after="0" w:line="312" w:lineRule="auto"/>
        <w:ind w:firstLine="420"/>
        <w:jc w:val="both"/>
      </w:pPr>
      <w:r>
        <w:rPr>
          <w:rFonts w:hint="eastAsia" w:ascii="Times New Roman" w:hAnsi="Times New Roman" w:eastAsia="宋体"/>
          <w:b w:val="0"/>
          <w:sz w:val="21"/>
        </w:rPr>
        <w:t>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将治理结构、较高薪酬和较差绩效放入同一经验结构，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权力，某些时候甚至默许其在薪酬安排中的主导地位。</w:t>
      </w:r>
    </w:p>
    <w:p w14:paraId="4DC142AC">
      <w:pPr>
        <w:spacing w:before="0" w:after="0" w:line="312" w:lineRule="auto"/>
        <w:ind w:firstLine="420"/>
        <w:jc w:val="both"/>
      </w:pPr>
      <w:r>
        <w:rPr>
          <w:rFonts w:hint="eastAsia" w:ascii="Times New Roman" w:hAnsi="Times New Roman" w:eastAsia="宋体"/>
          <w:b w:val="0"/>
          <w:sz w:val="21"/>
        </w:rPr>
        <w:t>这一理论的关键启发在于：财政补贴带来的不止是额外资金，它还会改变高管在企业内部的相对地位。补贴的申请、沟通、协调和使用离不开管理层深度参与，高管在资源配置中的位置因而更加突出。外部资源扩张与内部权力强化一并发生时，补贴便容易转化为薪酬谈判中的额外筹码。据此，本文不直接用薪酬规模讨论边界，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和步丹璐、王晓艳（2014）</w:t>
      </w:r>
      <w:r>
        <w:rPr>
          <w:rFonts w:ascii="Times New Roman" w:hAnsi="Times New Roman" w:eastAsia="宋体"/>
          <w:b w:val="0"/>
          <w:sz w:val="21"/>
          <w:vertAlign w:val="superscript"/>
        </w:rPr>
        <w:t>[16]</w:t>
      </w:r>
      <w:r>
        <w:rPr>
          <w:rFonts w:hint="eastAsia" w:ascii="Times New Roman" w:hAnsi="Times New Roman" w:eastAsia="宋体"/>
          <w:b w:val="0"/>
          <w:sz w:val="21"/>
        </w:rPr>
        <w:t>在治理较弱企业中观察到更强的正向关系，与这一判断一致。</w:t>
      </w:r>
    </w:p>
    <w:bookmarkEnd w:id="21"/>
    <w:p w14:paraId="5143FC7F">
      <w:pPr>
        <w:pStyle w:val="28"/>
        <w:spacing w:before="0" w:after="0" w:line="312" w:lineRule="auto"/>
        <w:ind w:firstLine="420"/>
        <w:jc w:val="left"/>
      </w:pPr>
      <w:bookmarkStart w:id="26" w:name="代理理论"/>
      <w:r>
        <w:rPr>
          <w:rFonts w:ascii="Times New Roman" w:hAnsi="Times New Roman" w:eastAsia="宋体"/>
          <w:b w:val="0"/>
          <w:sz w:val="24"/>
        </w:rPr>
        <w:t xml:space="preserve">2.2.2 </w:t>
      </w:r>
      <w:r>
        <w:rPr>
          <w:rFonts w:hint="eastAsia" w:ascii="Times New Roman" w:hAnsi="Times New Roman" w:eastAsia="宋体"/>
          <w:b w:val="0"/>
          <w:sz w:val="24"/>
        </w:rPr>
        <w:t>代理理论</w:t>
      </w:r>
    </w:p>
    <w:p w14:paraId="3A5BA770">
      <w:pPr>
        <w:spacing w:before="0" w:after="0" w:line="312" w:lineRule="auto"/>
        <w:ind w:firstLine="420"/>
        <w:jc w:val="both"/>
      </w:pPr>
      <w:r>
        <w:rPr>
          <w:rFonts w:hint="eastAsia" w:ascii="Times New Roman" w:hAnsi="Times New Roman" w:eastAsia="宋体"/>
          <w:b w:val="0"/>
          <w:sz w:val="21"/>
        </w:rPr>
        <w:t>代理理论（Agency</w:t>
      </w:r>
      <w:r>
        <w:rPr>
          <w:rFonts w:ascii="Times New Roman" w:hAnsi="Times New Roman" w:eastAsia="宋体"/>
          <w:b w:val="0"/>
          <w:sz w:val="21"/>
        </w:rPr>
        <w:t xml:space="preserve"> </w:t>
      </w:r>
      <w:r>
        <w:rPr>
          <w:rFonts w:hint="eastAsia" w:ascii="Times New Roman" w:hAnsi="Times New Roman" w:eastAsia="宋体"/>
          <w:b w:val="0"/>
          <w:sz w:val="21"/>
        </w:rPr>
        <w:t>Theory）提供了一条偏“资源流向”的解释线索。Jensen和Meckling（1976）</w:t>
      </w:r>
      <w:r>
        <w:rPr>
          <w:rFonts w:ascii="Times New Roman" w:hAnsi="Times New Roman" w:eastAsia="宋体"/>
          <w:b w:val="0"/>
          <w:sz w:val="21"/>
          <w:vertAlign w:val="superscript"/>
        </w:rPr>
        <w:t>[8]</w:t>
      </w:r>
      <w:r>
        <w:rPr>
          <w:rFonts w:hint="eastAsia" w:ascii="Times New Roman" w:hAnsi="Times New Roman" w:eastAsia="宋体"/>
          <w:b w:val="0"/>
          <w:sz w:val="21"/>
        </w:rPr>
        <w:t>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14:paraId="0DAD5AED">
      <w:pPr>
        <w:spacing w:before="0" w:after="0" w:line="312" w:lineRule="auto"/>
        <w:ind w:firstLine="420"/>
        <w:jc w:val="both"/>
      </w:pPr>
      <w:r>
        <w:rPr>
          <w:rFonts w:hint="eastAsia" w:ascii="Times New Roman" w:hAnsi="Times New Roman" w:eastAsia="宋体"/>
          <w:b w:val="0"/>
          <w:sz w:val="21"/>
        </w:rPr>
        <w:t>财政补贴进入企业后，代理议题容易被放大，因为补贴会冲淡“真实努力”和“外部资源”的边界。补贴常常会直接改善账面利润，如果薪酬契约没有把这部分政策性收益从绩效考核中剥离，高管就会在努力并未同步增加的情况下拿到更高报酬。已有文献在财务困境企业中观察到补贴增加与超额薪酬上升一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14:paraId="00E2D911">
      <w:pPr>
        <w:spacing w:before="0" w:after="0" w:line="312" w:lineRule="auto"/>
        <w:ind w:firstLine="420"/>
        <w:jc w:val="both"/>
      </w:pPr>
      <w:r>
        <w:rPr>
          <w:rFonts w:hint="eastAsia" w:ascii="Times New Roman" w:hAnsi="Times New Roman" w:eastAsia="宋体"/>
          <w:b w:val="0"/>
          <w:sz w:val="21"/>
        </w:rPr>
        <w:t>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关于名义限薪下隐性收益上升的证据，正好说明显性约束并不能自动消除代理空间。</w:t>
      </w:r>
    </w:p>
    <w:p w14:paraId="79FBDB3E">
      <w:pPr>
        <w:spacing w:before="0" w:after="0" w:line="312" w:lineRule="auto"/>
        <w:ind w:firstLine="420"/>
        <w:jc w:val="both"/>
      </w:pPr>
      <w:r>
        <w:rPr>
          <w:rFonts w:hint="eastAsia" w:ascii="Times New Roman" w:hAnsi="Times New Roman" w:eastAsia="宋体"/>
          <w:b w:val="0"/>
          <w:sz w:val="21"/>
        </w:rPr>
        <w:t>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关于内控质量越高、薪酬—绩效敏感性越强的证据，也支持了这种理解。方军雄（2009）</w:t>
      </w:r>
      <w:r>
        <w:rPr>
          <w:rFonts w:ascii="Times New Roman" w:hAnsi="Times New Roman" w:eastAsia="宋体"/>
          <w:b w:val="0"/>
          <w:sz w:val="21"/>
          <w:vertAlign w:val="superscript"/>
        </w:rPr>
        <w:t>[18]</w:t>
      </w:r>
      <w:r>
        <w:rPr>
          <w:rFonts w:hint="eastAsia" w:ascii="Times New Roman" w:hAnsi="Times New Roman" w:eastAsia="宋体"/>
          <w:b w:val="0"/>
          <w:sz w:val="21"/>
        </w:rPr>
        <w:t>进一步提示我国上市公司高管薪酬存在显著粘性，即业绩下降时薪酬调整幅度不如业绩上升时明显，这说明薪酬契约对绩效的约束本身就存在不对称性，财政补贴带来的账面收益改善更容易被纳入薪酬上调范围。本文采用期望薪酬残差（Overpay）而非薪酬数额，目的是先剥离“补贴带来正常绩效改善”这一层，再观察异常收益部分是否仍然存在。</w:t>
      </w:r>
    </w:p>
    <w:bookmarkEnd w:id="22"/>
    <w:p w14:paraId="2D2FCE4B">
      <w:pPr>
        <w:pStyle w:val="28"/>
        <w:spacing w:before="0" w:after="0" w:line="312" w:lineRule="auto"/>
        <w:ind w:firstLine="420"/>
        <w:jc w:val="left"/>
      </w:pPr>
      <w:bookmarkStart w:id="27" w:name="信号传递理论"/>
      <w:r>
        <w:rPr>
          <w:rFonts w:ascii="Times New Roman" w:hAnsi="Times New Roman" w:eastAsia="宋体"/>
          <w:b w:val="0"/>
          <w:sz w:val="24"/>
        </w:rPr>
        <w:t xml:space="preserve">2.2.3 </w:t>
      </w:r>
      <w:r>
        <w:rPr>
          <w:rFonts w:hint="eastAsia" w:ascii="Times New Roman" w:hAnsi="Times New Roman" w:eastAsia="宋体"/>
          <w:b w:val="0"/>
          <w:sz w:val="24"/>
        </w:rPr>
        <w:t>信号传递理论</w:t>
      </w:r>
    </w:p>
    <w:p w14:paraId="7C010A02">
      <w:pPr>
        <w:spacing w:before="0" w:after="0" w:line="312" w:lineRule="auto"/>
        <w:ind w:firstLine="420"/>
        <w:jc w:val="both"/>
      </w:pPr>
      <w:r>
        <w:rPr>
          <w:rFonts w:hint="eastAsia" w:ascii="Times New Roman" w:hAnsi="Times New Roman" w:eastAsia="宋体"/>
          <w:b w:val="0"/>
          <w:sz w:val="21"/>
        </w:rPr>
        <w:t>信号传递理论（Signaling</w:t>
      </w:r>
      <w:r>
        <w:rPr>
          <w:rFonts w:ascii="Times New Roman" w:hAnsi="Times New Roman" w:eastAsia="宋体"/>
          <w:b w:val="0"/>
          <w:sz w:val="21"/>
        </w:rPr>
        <w:t xml:space="preserve"> </w:t>
      </w:r>
      <w:r>
        <w:rPr>
          <w:rFonts w:hint="eastAsia" w:ascii="Times New Roman" w:hAnsi="Times New Roman" w:eastAsia="宋体"/>
          <w:b w:val="0"/>
          <w:sz w:val="21"/>
        </w:rPr>
        <w:t>Theory）补充了外部信息环境这一层。Spence（1973）</w:t>
      </w:r>
      <w:r>
        <w:rPr>
          <w:rFonts w:ascii="Times New Roman" w:hAnsi="Times New Roman" w:eastAsia="宋体"/>
          <w:b w:val="0"/>
          <w:sz w:val="21"/>
          <w:vertAlign w:val="superscript"/>
        </w:rPr>
        <w:t>[14]</w:t>
      </w:r>
      <w:r>
        <w:rPr>
          <w:rFonts w:hint="eastAsia" w:ascii="Times New Roman" w:hAnsi="Times New Roman" w:eastAsia="宋体"/>
          <w:b w:val="0"/>
          <w:sz w:val="21"/>
        </w:rPr>
        <w:t>讨论的核心疑问是：在信息不对称条件下，掌握更多信息的一方会主动释放可观察信号，以引导外部对其质量的判断。后来这一路线常见于企业财务和资本市场课题，信息披露质量、股利政策和资本结构都可以放到类似逻辑里理解。</w:t>
      </w:r>
    </w:p>
    <w:p w14:paraId="5345F8E2">
      <w:pPr>
        <w:spacing w:before="0" w:after="0" w:line="312" w:lineRule="auto"/>
        <w:ind w:firstLine="420"/>
        <w:jc w:val="both"/>
      </w:pPr>
      <w:r>
        <w:rPr>
          <w:rFonts w:hint="eastAsia" w:ascii="Times New Roman" w:hAnsi="Times New Roman" w:eastAsia="宋体"/>
          <w:b w:val="0"/>
          <w:sz w:val="21"/>
        </w:rPr>
        <w:t>放在补贴与薪酬的关系中，它至少能解释三件事。企业会主动向政府发送“我值得被支持”的信号，在文本披露中强化创新、环保和政策契合度表达，以提升补贴获取概率；已有文献提示，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14:paraId="5E3259E2">
      <w:pPr>
        <w:spacing w:before="0" w:after="0" w:line="312" w:lineRule="auto"/>
        <w:ind w:firstLine="420"/>
        <w:jc w:val="both"/>
      </w:pPr>
      <w:r>
        <w:rPr>
          <w:rFonts w:hint="eastAsia" w:ascii="Times New Roman" w:hAnsi="Times New Roman" w:eastAsia="宋体"/>
          <w:b w:val="0"/>
          <w:sz w:val="21"/>
        </w:rPr>
        <w:t>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力度往往与信息控制权相伴而生，而信息控制权又会回到薪酬谈判过程。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、王克敏等（2018）</w:t>
      </w:r>
      <w:r>
        <w:rPr>
          <w:rFonts w:ascii="Times New Roman" w:hAnsi="Times New Roman" w:eastAsia="宋体"/>
          <w:b w:val="0"/>
          <w:sz w:val="21"/>
          <w:vertAlign w:val="superscript"/>
        </w:rPr>
        <w:t>[28]</w:t>
      </w:r>
      <w:r>
        <w:rPr>
          <w:rFonts w:hint="eastAsia" w:ascii="Times New Roman" w:hAnsi="Times New Roman" w:eastAsia="宋体"/>
          <w:b w:val="0"/>
          <w:sz w:val="21"/>
        </w:rPr>
        <w:t>分别从补贴获取和薪酬掩护两个端口提供了经验支持，也使这条逻辑链更具可讨论性。</w:t>
      </w:r>
    </w:p>
    <w:bookmarkEnd w:id="24"/>
    <w:p w14:paraId="2E7EDE59">
      <w:pPr>
        <w:pStyle w:val="28"/>
        <w:spacing w:before="0" w:after="0" w:line="312" w:lineRule="auto"/>
        <w:ind w:firstLine="420"/>
        <w:jc w:val="left"/>
      </w:pPr>
      <w:bookmarkStart w:id="28" w:name="三种理论视角的比较与内在张力"/>
      <w:r>
        <w:rPr>
          <w:rFonts w:ascii="Times New Roman" w:hAnsi="Times New Roman" w:eastAsia="宋体"/>
          <w:b w:val="0"/>
          <w:sz w:val="24"/>
        </w:rPr>
        <w:t xml:space="preserve">2.2.4 </w:t>
      </w:r>
      <w:r>
        <w:rPr>
          <w:rFonts w:hint="eastAsia" w:ascii="Times New Roman" w:hAnsi="Times New Roman" w:eastAsia="宋体"/>
          <w:b w:val="0"/>
          <w:sz w:val="24"/>
        </w:rPr>
        <w:t>三种理论视角的比较与内在张力</w:t>
      </w:r>
    </w:p>
    <w:p w14:paraId="4C46F212">
      <w:pPr>
        <w:spacing w:before="0" w:after="0" w:line="312" w:lineRule="auto"/>
        <w:ind w:firstLine="420"/>
        <w:jc w:val="both"/>
      </w:pPr>
      <w:r>
        <w:rPr>
          <w:rFonts w:hint="eastAsia" w:ascii="Times New Roman" w:hAnsi="Times New Roman" w:eastAsia="宋体"/>
          <w:b w:val="0"/>
          <w:bCs/>
          <w:sz w:val="21"/>
        </w:rPr>
        <w:t>管理者权力理论、代理理论和信号传递理论的比较</w:t>
      </w:r>
    </w:p>
    <w:p w14:paraId="6FE75C35">
      <w:pPr>
        <w:spacing w:before="0" w:after="0" w:line="312" w:lineRule="auto"/>
        <w:ind w:firstLine="420"/>
        <w:jc w:val="both"/>
      </w:pPr>
      <w:r>
        <w:rPr>
          <w:rFonts w:hint="eastAsia" w:ascii="Times New Roman" w:hAnsi="Times New Roman" w:eastAsia="宋体"/>
          <w:b w:val="0"/>
          <w:sz w:val="21"/>
        </w:rPr>
        <w:t>管理者权力理论、代理理论和信号传递理论是理解补贴与薪酬关系的三个重要理论视角。管理者权力理论回答的是“补贴在什么条件下会被管理层截留”，代理理论回答的是“这种截留依托什么内部安排发生”，信号传递理论则补充了“外部信息环境为什么会放大或压缩这一过程”。</w:t>
      </w:r>
    </w:p>
    <w:p w14:paraId="401C4C55">
      <w:pPr>
        <w:spacing w:before="0" w:after="0" w:line="312" w:lineRule="auto"/>
        <w:ind w:firstLine="420"/>
        <w:jc w:val="both"/>
      </w:pPr>
      <w:r>
        <w:rPr>
          <w:rFonts w:hint="eastAsia" w:ascii="Times New Roman" w:hAnsi="Times New Roman" w:eastAsia="宋体"/>
          <w:b w:val="0"/>
          <w:bCs/>
          <w:sz w:val="21"/>
        </w:rPr>
        <w:t>理论视角的内在张力</w:t>
      </w:r>
    </w:p>
    <w:p w14:paraId="1691DD6B">
      <w:pPr>
        <w:spacing w:before="0" w:after="0" w:line="312" w:lineRule="auto"/>
        <w:ind w:firstLine="420"/>
        <w:jc w:val="both"/>
      </w:pPr>
      <w:r>
        <w:rPr>
          <w:rFonts w:hint="eastAsia" w:ascii="Times New Roman" w:hAnsi="Times New Roman" w:eastAsia="宋体"/>
          <w:b w:val="0"/>
          <w:sz w:val="21"/>
        </w:rPr>
        <w:t>虽然这三个理论视角可以相互补充，但它们也存在一些内在张力。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bookmarkEnd w:id="25"/>
    <w:p w14:paraId="042BD8C4">
      <w:pPr>
        <w:pStyle w:val="28"/>
        <w:spacing w:before="0" w:after="0" w:line="312" w:lineRule="auto"/>
        <w:ind w:firstLine="420"/>
        <w:jc w:val="left"/>
      </w:pPr>
      <w:bookmarkStart w:id="29" w:name="中国制度情境下的理论延展"/>
      <w:r>
        <w:rPr>
          <w:rFonts w:ascii="Times New Roman" w:hAnsi="Times New Roman" w:eastAsia="宋体"/>
          <w:b w:val="0"/>
          <w:sz w:val="24"/>
        </w:rPr>
        <w:t xml:space="preserve">2.2.5 </w:t>
      </w:r>
      <w:r>
        <w:rPr>
          <w:rFonts w:hint="eastAsia" w:ascii="Times New Roman" w:hAnsi="Times New Roman" w:eastAsia="宋体"/>
          <w:b w:val="0"/>
          <w:sz w:val="24"/>
        </w:rPr>
        <w:t>中国制度情境下的理论延展</w:t>
      </w:r>
    </w:p>
    <w:p w14:paraId="71732629">
      <w:pPr>
        <w:spacing w:before="0" w:after="0" w:line="312" w:lineRule="auto"/>
        <w:ind w:firstLine="420"/>
        <w:jc w:val="both"/>
      </w:pPr>
      <w:r>
        <w:rPr>
          <w:rFonts w:hint="eastAsia" w:ascii="Times New Roman" w:hAnsi="Times New Roman" w:eastAsia="宋体"/>
          <w:b w:val="0"/>
          <w:sz w:val="21"/>
        </w:rPr>
        <w:t>如果把中国制度环境纳入进来，上述三套理论就需要再做一层本土化理解。中国上市公司获得的财政补贴并非一般意义上的现金流入，它往往嵌在地方政府竞争、产业政策导向、国资监管层级差异和信息透明度不均衡这些条件里。补贴兼有资源输入和制度安排的双重属性，改变的是利润表数字，也会重塑高管与政府、董事会以及外部投资者之间的相对关系。</w:t>
      </w:r>
    </w:p>
    <w:p w14:paraId="3E1511BD">
      <w:pPr>
        <w:spacing w:before="0" w:after="0" w:line="312" w:lineRule="auto"/>
        <w:ind w:firstLine="420"/>
        <w:jc w:val="both"/>
      </w:pPr>
      <w:r>
        <w:rPr>
          <w:rFonts w:hint="eastAsia" w:ascii="Times New Roman" w:hAnsi="Times New Roman" w:eastAsia="宋体"/>
          <w:b w:val="0"/>
          <w:sz w:val="21"/>
        </w:rPr>
        <w:t>在这一情境下，至少有三点值得特别注意。补贴分配通常带有较强的政策导向和选择性，高管在申报、沟通和协调中的角色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地方财政余裕和招商策略共同牵动。</w:t>
      </w:r>
    </w:p>
    <w:p w14:paraId="3A89F219">
      <w:pPr>
        <w:spacing w:before="0" w:after="0" w:line="312" w:lineRule="auto"/>
        <w:ind w:firstLine="420"/>
        <w:jc w:val="both"/>
      </w:pPr>
      <w:r>
        <w:rPr>
          <w:rFonts w:hint="eastAsia" w:ascii="Times New Roman" w:hAnsi="Times New Roman" w:eastAsia="宋体"/>
          <w:b w:val="0"/>
          <w:sz w:val="21"/>
        </w:rPr>
        <w:t>基准工具变量采用“同城市同年度其他公司平均补助”，制度逻辑就来自这种地方财政政策的共同波动；后文补充的同行业留一法和精炼双工具变量，则进一步借助行业政策倾向和省市层面的留一法波动观察补贴强度识别是否稳定。但如后文第四章所述，这些工具变量在当前基准样本中一阶段整体偏弱，因此仅作为后台诊断而不承担正文主识别功能。</w:t>
      </w:r>
    </w:p>
    <w:p w14:paraId="2177607B">
      <w:pPr>
        <w:spacing w:before="0" w:after="0" w:line="312" w:lineRule="auto"/>
        <w:ind w:firstLine="420"/>
        <w:jc w:val="both"/>
      </w:pPr>
      <w:r>
        <w:rPr>
          <w:rFonts w:hint="eastAsia" w:ascii="Times New Roman" w:hAnsi="Times New Roman" w:eastAsia="宋体"/>
          <w:b w:val="0"/>
          <w:sz w:val="21"/>
        </w:rPr>
        <w:t>考虑到新的基准回归聚焦于已获补贴样本内部的强度差异，文中更强调两类与新口径直接相关的补充识别做法：一是用</w:t>
      </w:r>
      <w:r>
        <w:rPr>
          <w:rFonts w:ascii="Times New Roman" w:hAnsi="Times New Roman" w:eastAsia="宋体"/>
          <w:b w:val="0"/>
          <w:sz w:val="21"/>
        </w:rPr>
        <w:t xml:space="preserve"> Heckman </w:t>
      </w:r>
      <w:r>
        <w:rPr>
          <w:rFonts w:hint="eastAsia" w:ascii="Times New Roman" w:hAnsi="Times New Roman" w:eastAsia="宋体"/>
          <w:b w:val="0"/>
          <w:sz w:val="21"/>
        </w:rPr>
        <w:t>两步法处理“谁更容易进入正补助样本”的选择偏差。二是通过事件动态检验和行业×年份固定效应设定，观察补贴强度抬升前是否已存在明显的预趋势，并尽量压缩时变行业冲击。传统留一法工具变量仅作为后台诊断，若一阶段整体偏弱、二阶段方向不稳，则不作为正文识别证据。</w:t>
      </w:r>
    </w:p>
    <w:p w14:paraId="43BEA0AD">
      <w:pPr>
        <w:spacing w:before="0" w:after="0" w:line="312" w:lineRule="auto"/>
        <w:ind w:firstLine="420"/>
        <w:jc w:val="both"/>
      </w:pPr>
      <w:r>
        <w:rPr>
          <w:rFonts w:hint="eastAsia" w:ascii="Times New Roman" w:hAnsi="Times New Roman" w:eastAsia="宋体"/>
          <w:b w:val="0"/>
          <w:sz w:val="21"/>
        </w:rPr>
        <w:t>基于这一背景，“补贴带来资源扩张”与“补贴扩大管理层可支配空间”往往一并出现，补贴据此不宜简单看作财务变量，而应视为牵动资源配置、权力结构和外部信号的复合性冲击。2015年以来国有企业薪酬制度改革又进一步加深了这种差异。中央出台的限薪令直接限制了央企和地方国企主要负责人的薪酬上限，并要求薪酬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讨论的异质性维度。</w:t>
      </w:r>
    </w:p>
    <w:p w14:paraId="62A28530">
      <w:pPr>
        <w:spacing w:before="0" w:after="0" w:line="312" w:lineRule="auto"/>
        <w:ind w:firstLine="420"/>
        <w:jc w:val="both"/>
      </w:pPr>
      <w:r>
        <w:rPr>
          <w:rFonts w:hint="eastAsia" w:ascii="Times New Roman" w:hAnsi="Times New Roman" w:eastAsia="宋体"/>
          <w:b w:val="0"/>
          <w:sz w:val="21"/>
        </w:rPr>
        <w:t>这一制度背景也解释了为何全文一并采用固定效应、中介效应和机器学习补充验证。固定效应和滞后设定更适合区分“企业原本就不同”和“补贴变动之后发生了什么”；中介效应检验侧重观察权力渠道是否存在传导线索；机器学习补充验证则在基准回归样本上复核财政补贴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保持一致。第二章的理论推演，归根到底要回答两个层面的追问：补贴为何会与超额薪酬上升相伴随，以及为什么这一关系在不同企业中强度并不相同。</w:t>
      </w:r>
    </w:p>
    <w:bookmarkEnd w:id="26"/>
    <w:bookmarkEnd w:id="27"/>
    <w:p w14:paraId="31AA873D">
      <w:pPr>
        <w:pStyle w:val="3"/>
        <w:spacing w:before="0" w:after="0" w:line="312" w:lineRule="auto"/>
        <w:ind w:firstLine="0"/>
        <w:jc w:val="left"/>
      </w:pPr>
      <w:bookmarkStart w:id="30" w:name="_TocAuto0009"/>
      <w:bookmarkStart w:id="31" w:name="研究假设"/>
      <w:r>
        <w:rPr>
          <w:rFonts w:ascii="Times New Roman" w:hAnsi="Times New Roman" w:eastAsia="黑体"/>
          <w:b w:val="0"/>
          <w:sz w:val="28"/>
        </w:rPr>
        <w:t xml:space="preserve">2.3 </w:t>
      </w:r>
      <w:r>
        <w:rPr>
          <w:rFonts w:hint="eastAsia" w:ascii="Times New Roman" w:hAnsi="Times New Roman" w:eastAsia="黑体"/>
          <w:b w:val="0"/>
          <w:sz w:val="28"/>
        </w:rPr>
        <w:t>研究假设</w:t>
      </w:r>
      <w:bookmarkEnd w:id="30"/>
    </w:p>
    <w:p w14:paraId="07413C0D">
      <w:pPr>
        <w:spacing w:before="0" w:after="0" w:line="312" w:lineRule="auto"/>
        <w:ind w:firstLine="420"/>
        <w:jc w:val="both"/>
      </w:pPr>
      <w:r>
        <w:rPr>
          <w:rFonts w:hint="eastAsia" w:ascii="Times New Roman" w:hAnsi="Times New Roman" w:eastAsia="宋体"/>
          <w:b w:val="0"/>
          <w:sz w:val="21"/>
        </w:rPr>
        <w:t>以上讨论可以收束为一个分层安排：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安排等渠道间接改写薪酬谈判的格局。后文控制变量的安排、中介检验的设计以及异质性维度的选择，基本都来自这一套推演。</w:t>
      </w:r>
    </w:p>
    <w:p w14:paraId="4F3C0D67">
      <w:pPr>
        <w:spacing w:before="0" w:after="0" w:line="312" w:lineRule="auto"/>
        <w:ind w:firstLine="420"/>
        <w:jc w:val="both"/>
      </w:pPr>
      <w:r>
        <w:rPr>
          <w:rFonts w:hint="eastAsia" w:ascii="Times New Roman" w:hAnsi="Times New Roman" w:eastAsia="宋体"/>
          <w:b w:val="0"/>
          <w:sz w:val="21"/>
        </w:rPr>
        <w:t>基于上述理论梳理，提出以下两个核心理论假设：</w:t>
      </w:r>
    </w:p>
    <w:p w14:paraId="41678117">
      <w:pPr>
        <w:spacing w:before="0" w:after="0" w:line="312" w:lineRule="auto"/>
        <w:ind w:firstLine="420"/>
        <w:jc w:val="both"/>
      </w:pPr>
      <w:r>
        <w:rPr>
          <w:rFonts w:hint="eastAsia" w:ascii="Times New Roman" w:hAnsi="Times New Roman" w:eastAsia="宋体"/>
          <w:b w:val="0"/>
          <w:bCs/>
          <w:sz w:val="21"/>
        </w:rPr>
        <w:t>假设H1（主效应假设）</w:t>
      </w:r>
      <w:r>
        <w:rPr>
          <w:rFonts w:hint="eastAsia" w:ascii="Times New Roman" w:hAnsi="Times New Roman" w:eastAsia="宋体"/>
          <w:b w:val="0"/>
          <w:sz w:val="21"/>
        </w:rPr>
        <w:t>：在已获得财政补贴的企业内部，补贴强度与高管超额薪酬预期存在正向联系。在信息不对称和薪酬约束不足的条件下，财政补贴扩大了企业可支配资源规模；如果薪酬治理机制无法对管理层的资源提取行为形成有效约束，这类外部资源便易于与更高的高管超额薪酬相伴随。H1主要建立在代理理论的资源侵占逻辑之上：补贴进入企业账面之后，若激励契约没有把这部分“非经营性收益”从绩效薪酬基数中剔除，高管有条件在未作出相应经营努力的情况下同步受益；同时，资源扩张也会放松董事会在薪酬谈判中的支付约束。基于此，H1预期在已获补贴企业内部，补贴强度与高管超额薪酬之间存在正向联系，并在较严格的控制设定下仍可被观察。</w:t>
      </w:r>
    </w:p>
    <w:p w14:paraId="0917EE2F">
      <w:pPr>
        <w:spacing w:before="0" w:after="0" w:line="312" w:lineRule="auto"/>
        <w:ind w:firstLine="420"/>
        <w:jc w:val="both"/>
      </w:pPr>
      <w:r>
        <w:rPr>
          <w:rFonts w:hint="eastAsia" w:ascii="Times New Roman" w:hAnsi="Times New Roman" w:eastAsia="宋体"/>
          <w:b w:val="0"/>
          <w:bCs/>
          <w:sz w:val="21"/>
        </w:rPr>
        <w:t>假设H2（约束路径假设）</w:t>
      </w:r>
      <w:r>
        <w:rPr>
          <w:rFonts w:hint="eastAsia" w:ascii="Times New Roman" w:hAnsi="Times New Roman" w:eastAsia="宋体"/>
          <w:b w:val="0"/>
          <w:sz w:val="21"/>
        </w:rPr>
        <w:t>：本文检验管理层权力是否可能构成财政补贴与高管超额薪酬之间的中介路径。财政补贴的获取和使用往往强化高管在资源配置中的核心地位，并进一步提升其在薪酬谈判中的议价条件；若控制管理层权力后，补贴对超额薪酬的直接效应收窄，且管理层权力的系数显著为正，才可将其视为存在间接传导的经验线索。H2主要来自管理者权力理论：补贴获取过程中高管的深度介入，往往强化其在组织内部的议程设置权；补贴使用中的自由裁量越大，补贴资源被转化为薪酬议价筹码的空间也越大。管理层权力的测度本身仍带有经验性，相关路径始终需要审慎解释。第四章的中介检验即围绕这一待检验链条展开。</w:t>
      </w:r>
    </w:p>
    <w:bookmarkEnd w:id="28"/>
    <w:bookmarkEnd w:id="29"/>
    <w:p w14:paraId="3C0B16A7">
      <w:pPr>
        <w:pStyle w:val="2"/>
        <w:pageBreakBefore/>
        <w:spacing w:before="0" w:after="0" w:line="312" w:lineRule="auto"/>
        <w:ind w:firstLine="0"/>
        <w:jc w:val="center"/>
      </w:pPr>
      <w:bookmarkStart w:id="32" w:name="_TocAuto0010"/>
      <w:bookmarkStart w:id="33" w:name="第三章-研究设计"/>
      <w:r>
        <w:rPr>
          <w:rFonts w:hint="eastAsia" w:ascii="Times New Roman" w:hAnsi="Times New Roman" w:eastAsia="黑体"/>
          <w:b/>
          <w:sz w:val="32"/>
        </w:rPr>
        <w:t>第三章</w:t>
      </w:r>
      <w:r>
        <w:rPr>
          <w:rFonts w:ascii="Times New Roman" w:hAnsi="Times New Roman" w:eastAsia="黑体"/>
          <w:b/>
          <w:sz w:val="32"/>
        </w:rPr>
        <w:t xml:space="preserve"> </w:t>
      </w:r>
      <w:r>
        <w:rPr>
          <w:rFonts w:hint="eastAsia" w:ascii="Times New Roman" w:hAnsi="Times New Roman" w:eastAsia="黑体"/>
          <w:b/>
          <w:sz w:val="32"/>
        </w:rPr>
        <w:t>研究设计</w:t>
      </w:r>
      <w:bookmarkEnd w:id="32"/>
    </w:p>
    <w:p w14:paraId="13ED86EB">
      <w:pPr>
        <w:pStyle w:val="3"/>
        <w:spacing w:before="0" w:after="0" w:line="312" w:lineRule="auto"/>
        <w:ind w:firstLine="0"/>
        <w:jc w:val="left"/>
      </w:pPr>
      <w:bookmarkStart w:id="34" w:name="_TocAuto0011"/>
      <w:bookmarkStart w:id="35" w:name="研究问题界定与分析框架"/>
      <w:r>
        <w:rPr>
          <w:rFonts w:ascii="Times New Roman" w:hAnsi="Times New Roman" w:eastAsia="黑体"/>
          <w:b w:val="0"/>
          <w:sz w:val="28"/>
        </w:rPr>
        <w:t xml:space="preserve">3.1 </w:t>
      </w:r>
      <w:r>
        <w:rPr>
          <w:rFonts w:hint="eastAsia" w:ascii="Times New Roman" w:hAnsi="Times New Roman" w:eastAsia="黑体"/>
          <w:b w:val="0"/>
          <w:sz w:val="28"/>
        </w:rPr>
        <w:t>研究问题界定与分析框架</w:t>
      </w:r>
      <w:bookmarkEnd w:id="34"/>
    </w:p>
    <w:p w14:paraId="5E91436D">
      <w:pPr>
        <w:spacing w:before="0" w:after="0" w:line="312" w:lineRule="auto"/>
        <w:ind w:firstLine="420"/>
        <w:jc w:val="both"/>
      </w:pPr>
      <w:r>
        <w:rPr>
          <w:rFonts w:hint="eastAsia" w:ascii="Times New Roman" w:hAnsi="Times New Roman" w:eastAsia="宋体"/>
          <w:b w:val="0"/>
          <w:sz w:val="21"/>
        </w:rPr>
        <w:t>本章实证设计围绕一个明确的核心命题展开：</w:t>
      </w:r>
      <w:r>
        <w:rPr>
          <w:rFonts w:hint="eastAsia" w:ascii="Times New Roman" w:hAnsi="Times New Roman" w:eastAsia="宋体"/>
          <w:b w:val="0"/>
          <w:bCs/>
          <w:sz w:val="21"/>
        </w:rPr>
        <w:t>在已经获得财政补贴的上市公司内部，补贴强度的差异是否与高管超额薪酬存在显著的正向关联？</w:t>
      </w:r>
      <w:r>
        <w:rPr>
          <w:rFonts w:ascii="Times New Roman" w:hAnsi="Times New Roman" w:eastAsia="宋体"/>
          <w:b w:val="0"/>
          <w:sz w:val="21"/>
        </w:rPr>
        <w:t xml:space="preserve"> </w:t>
      </w:r>
      <w:r>
        <w:rPr>
          <w:rFonts w:hint="eastAsia" w:ascii="Times New Roman" w:hAnsi="Times New Roman" w:eastAsia="宋体"/>
          <w:b w:val="0"/>
          <w:sz w:val="21"/>
        </w:rPr>
        <w:t>这一考察边界有意将”是否获得补贴”的获得边际与”获得补贴后拿得多还是少”的强度边际区分开来。既有文献多在全样本上估计补贴的平均效应，将零补助企业与正补助企业混合比较，难以厘清结论究竟来自”有无补贴”还是”补贴多少”。本文将基准回归限定在上一年已获得正补助的公司年度，使估计对象聚焦于已获补贴企业之间的补贴强度差异，而非全部上市公司平均意义上的补贴效应。围绕这一核心命题，还需进一步检验两个延伸边界：管理层权力是否可能构成补贴强度向超额薪酬传导的中介路径（H2）？上述关联在不同产权性质和行业管制强度下是否呈现显著差异？</w:t>
      </w:r>
    </w:p>
    <w:p w14:paraId="5B00B4C1">
      <w:pPr>
        <w:spacing w:before="0" w:after="0" w:line="312" w:lineRule="auto"/>
        <w:ind w:firstLine="420"/>
        <w:jc w:val="both"/>
      </w:pPr>
      <w:r>
        <w:rPr>
          <w:rFonts w:hint="eastAsia" w:ascii="Times New Roman" w:hAnsi="Times New Roman" w:eastAsia="宋体"/>
          <w:b w:val="0"/>
          <w:sz w:val="21"/>
        </w:rPr>
        <w:t>整体经验结构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14:paraId="29D50066">
      <w:pPr>
        <w:spacing w:before="0" w:after="0" w:line="312" w:lineRule="auto"/>
        <w:ind w:firstLine="420"/>
        <w:jc w:val="both"/>
      </w:pPr>
      <w:r>
        <w:rPr>
          <w:rFonts w:hint="eastAsia" w:ascii="Times New Roman" w:hAnsi="Times New Roman" w:eastAsia="宋体"/>
          <w:b w:val="0"/>
          <w:sz w:val="21"/>
        </w:rPr>
        <w:t>企业获得财政补贴后，最直接的变化是可支配资源增加，账面利润也会随之改善，这会改变薪酬安排所面临的资源约束；而且，补贴从申请到使用通常都需要高管深度介入，这又会提升其在组织内部的议程设置权和资源支配权。</w:t>
      </w:r>
    </w:p>
    <w:p w14:paraId="6FB440D1">
      <w:pPr>
        <w:spacing w:before="0" w:after="0" w:line="312" w:lineRule="auto"/>
        <w:ind w:firstLine="420"/>
        <w:jc w:val="both"/>
      </w:pPr>
      <w:r>
        <w:rPr>
          <w:rFonts w:hint="eastAsia" w:ascii="Times New Roman" w:hAnsi="Times New Roman" w:eastAsia="宋体"/>
          <w:b w:val="0"/>
          <w:sz w:val="21"/>
        </w:rPr>
        <w:t>基于这一逻辑，后文的实证部分按四步展开：先用基准回归检验主关联，再用稳健性检验考察关系是否对样本和设定变化敏感；随后开展选择偏差校正、中介效应拆解和异质性考察，尽量把识别边界、传导路径与制度情境差异说明清楚；最后再借助机器学习补充验证，在与基准回归一致的变量设定下复核财政补贴的重要性、方向一致性和局部趋势。这样的安排旨在让不同做法分别回答不同命题，而不是简单叠加工具以堆砌结论。</w:t>
      </w:r>
    </w:p>
    <w:bookmarkEnd w:id="31"/>
    <w:p w14:paraId="5BB2695B">
      <w:pPr>
        <w:pStyle w:val="3"/>
        <w:spacing w:before="0" w:after="0" w:line="312" w:lineRule="auto"/>
        <w:ind w:firstLine="0"/>
        <w:jc w:val="left"/>
      </w:pPr>
      <w:bookmarkStart w:id="36" w:name="_TocAuto0012"/>
      <w:bookmarkStart w:id="37" w:name="样本选择与数据来源"/>
      <w:r>
        <w:rPr>
          <w:rFonts w:ascii="Times New Roman" w:hAnsi="Times New Roman" w:eastAsia="黑体"/>
          <w:b w:val="0"/>
          <w:sz w:val="28"/>
        </w:rPr>
        <w:t xml:space="preserve">3.2 </w:t>
      </w:r>
      <w:r>
        <w:rPr>
          <w:rFonts w:hint="eastAsia" w:ascii="Times New Roman" w:hAnsi="Times New Roman" w:eastAsia="黑体"/>
          <w:b w:val="0"/>
          <w:sz w:val="28"/>
        </w:rPr>
        <w:t>样本选择与数据来源</w:t>
      </w:r>
      <w:bookmarkEnd w:id="36"/>
    </w:p>
    <w:p w14:paraId="2DDFEB21">
      <w:pPr>
        <w:spacing w:before="0" w:after="0" w:line="312" w:lineRule="auto"/>
        <w:ind w:firstLine="420"/>
        <w:jc w:val="both"/>
      </w:pPr>
      <w:r>
        <w:rPr>
          <w:rFonts w:hint="eastAsia" w:ascii="Times New Roman" w:hAnsi="Times New Roman" w:eastAsia="宋体"/>
          <w:b w:val="0"/>
          <w:sz w:val="21"/>
        </w:rPr>
        <w:t>本文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疑问。</w:t>
      </w:r>
    </w:p>
    <w:p w14:paraId="2450ADD7">
      <w:pPr>
        <w:spacing w:before="0" w:after="0" w:line="312" w:lineRule="auto"/>
        <w:ind w:firstLine="420"/>
        <w:jc w:val="both"/>
      </w:pPr>
      <w:r>
        <w:rPr>
          <w:rFonts w:hint="eastAsia" w:ascii="Times New Roman" w:hAnsi="Times New Roman" w:eastAsia="宋体"/>
          <w:b w:val="0"/>
          <w:sz w:val="21"/>
        </w:rPr>
        <w:t>金融行业被首先剔除，因为其资产负债结构和监管氛围与一般实业企业差异过大，直接并入会让薪酬与补贴的比较基准失真。样本期内被</w:t>
      </w:r>
      <w:r>
        <w:rPr>
          <w:rFonts w:ascii="Times New Roman" w:hAnsi="Times New Roman" w:eastAsia="宋体"/>
          <w:b w:val="0"/>
          <w:sz w:val="21"/>
        </w:rPr>
        <w:t xml:space="preserve"> ST、*ST、S*ST、SST、PT </w:t>
      </w:r>
      <w:r>
        <w:rPr>
          <w:rFonts w:hint="eastAsia" w:ascii="Times New Roman" w:hAnsi="Times New Roman" w:eastAsia="宋体"/>
          <w:b w:val="0"/>
          <w:sz w:val="21"/>
        </w:rPr>
        <w:t>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状态维表，实际操作按合并后简称字段中的标签进行识别和剔除，目的是排除财务异常、退市风险和极端经营状态的样本，尽量保证不同公司之间薪酬与补贴比较基准的可比性。</w:t>
      </w:r>
    </w:p>
    <w:p w14:paraId="5C415764">
      <w:pPr>
        <w:spacing w:before="0" w:after="0" w:line="312" w:lineRule="auto"/>
        <w:ind w:firstLine="420"/>
        <w:jc w:val="both"/>
      </w:pPr>
      <w:r>
        <w:rPr>
          <w:rFonts w:hint="eastAsia" w:ascii="Times New Roman" w:hAnsi="Times New Roman" w:eastAsia="宋体"/>
          <w:b w:val="0"/>
          <w:sz w:val="21"/>
        </w:rPr>
        <w:t>对于政府补助数据，若公司年度未披露补助项目，则该年度补助金额记为0，以避免零补贴观测在构造描述性统计和第一阶段变量时被机械删除；少量负值观测在构造</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时按0处理。正文中的基准回归不再把“未获得补贴”和“已获得补贴但金额不同”的公司年度混在一起，而是仅保留上一年实际获得正补助的公司年度，并以滞后一期正补助对数刻画补贴强度。这样处理后，第二阶段回答的是“已获补贴企业内部，补贴拿得更多是否伴随更高的超额薪酬”，而不是“全部企业平均意义上是否存在补贴效应”。地区变量</w:t>
      </w:r>
      <w:r>
        <w:rPr>
          <w:rFonts w:ascii="Times New Roman" w:hAnsi="Times New Roman" w:eastAsia="宋体"/>
          <w:b w:val="0"/>
          <w:sz w:val="21"/>
        </w:rPr>
        <w:t xml:space="preserve"> Zone </w:t>
      </w:r>
      <w:r>
        <w:rPr>
          <w:rFonts w:hint="eastAsia" w:ascii="Times New Roman" w:hAnsi="Times New Roman" w:eastAsia="宋体"/>
          <w:b w:val="0"/>
          <w:sz w:val="21"/>
        </w:rPr>
        <w:t>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14:paraId="04DF5202">
      <w:pPr>
        <w:spacing w:before="0" w:after="0" w:line="312" w:lineRule="auto"/>
        <w:ind w:firstLine="420"/>
        <w:jc w:val="both"/>
      </w:pPr>
      <w:r>
        <w:rPr>
          <w:rFonts w:hint="eastAsia" w:ascii="Times New Roman" w:hAnsi="Times New Roman" w:eastAsia="宋体"/>
          <w:b w:val="0"/>
          <w:sz w:val="21"/>
        </w:rPr>
        <w:t>经过这些步骤，原始公司—年度观测为70,559条；剔除金融行业后为69,142条；再剔除特殊处理样本后为63,011条；满足关键变量完整要求的样本为52,980条；满足基准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的样本为50,171条；在基准回归中进一步要求“上一年补助金额大于0”且滞后一期补贴强度可得后，模型2样本为43,417条；机器学习补充验证与基准回归保持同一变量口径，因此其可用样本同样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与滞后一期正补助均完整后，统一样本为41,186条。</w:t>
      </w:r>
    </w:p>
    <w:p w14:paraId="0BEA3D25">
      <w:pPr>
        <w:spacing w:before="0" w:after="0" w:line="312" w:lineRule="auto"/>
        <w:ind w:firstLine="420"/>
        <w:jc w:val="both"/>
      </w:pPr>
      <w:r>
        <w:rPr>
          <w:rFonts w:hint="eastAsia" w:ascii="Times New Roman" w:hAnsi="Times New Roman" w:eastAsia="宋体"/>
          <w:b w:val="0"/>
          <w:sz w:val="21"/>
        </w:rPr>
        <w:t>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14:paraId="30313DA7">
      <w:pPr>
        <w:spacing w:before="0" w:after="0" w:line="312" w:lineRule="auto"/>
        <w:ind w:firstLine="420"/>
        <w:jc w:val="both"/>
      </w:pPr>
      <w:r>
        <w:rPr>
          <w:rFonts w:hint="eastAsia" w:ascii="Times New Roman" w:hAnsi="Times New Roman" w:eastAsia="宋体"/>
          <w:b w:val="0"/>
          <w:sz w:val="21"/>
        </w:rPr>
        <w:t>为了避免不同实证模块的样本口径被混为一谈，这里专门说明样本量的变化。第一步，基准薪酬模型使用52,805条观测构造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Overpay；第二步，基准回归模型2在加入“上一年获得正补助”的样本限制后，样本降至43,417条；第三步，机器学习补充验证直接沿用基准回归样本，只保留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和</w:t>
      </w:r>
      <w:r>
        <w:rPr>
          <w:rFonts w:ascii="Times New Roman" w:hAnsi="Times New Roman" w:eastAsia="宋体"/>
          <w:b w:val="0"/>
          <w:sz w:val="21"/>
        </w:rPr>
        <w:t xml:space="preserve"> Top1 </w:t>
      </w:r>
      <w:r>
        <w:rPr>
          <w:rFonts w:hint="eastAsia" w:ascii="Times New Roman" w:hAnsi="Times New Roman" w:eastAsia="宋体"/>
          <w:b w:val="0"/>
          <w:sz w:val="21"/>
        </w:rPr>
        <w:t>四个输入变量，因此其样本量保持在43,417条；第四步，中介检验需要管理层权力综合指标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Power（PCA）完整，因此统一样本进一步降至41,186条。这样的处理可以把“基准回归样本”“机器学习样本”和“中介样本”清楚区分开来，避免在答辩时把不同样本边界混为一谈。</w:t>
      </w:r>
    </w:p>
    <w:bookmarkEnd w:id="33"/>
    <w:p w14:paraId="781FBCB0">
      <w:pPr>
        <w:pStyle w:val="3"/>
        <w:spacing w:before="0" w:after="0" w:line="312" w:lineRule="auto"/>
        <w:ind w:firstLine="0"/>
        <w:jc w:val="left"/>
      </w:pPr>
      <w:bookmarkStart w:id="38" w:name="_TocAuto0013"/>
      <w:bookmarkStart w:id="39" w:name="变量设定与说明"/>
      <w:r>
        <w:rPr>
          <w:rFonts w:ascii="Times New Roman" w:hAnsi="Times New Roman" w:eastAsia="黑体"/>
          <w:b w:val="0"/>
          <w:sz w:val="28"/>
        </w:rPr>
        <w:t xml:space="preserve">3.3 </w:t>
      </w:r>
      <w:r>
        <w:rPr>
          <w:rFonts w:hint="eastAsia" w:ascii="Times New Roman" w:hAnsi="Times New Roman" w:eastAsia="黑体"/>
          <w:b w:val="0"/>
          <w:sz w:val="28"/>
        </w:rPr>
        <w:t>变量设定与说明</w:t>
      </w:r>
      <w:bookmarkEnd w:id="38"/>
    </w:p>
    <w:p w14:paraId="0077E531">
      <w:pPr>
        <w:pStyle w:val="28"/>
        <w:spacing w:before="0" w:after="0" w:line="312" w:lineRule="auto"/>
        <w:ind w:firstLine="420"/>
        <w:jc w:val="left"/>
      </w:pPr>
      <w:bookmarkStart w:id="40" w:name="被解释变量高管超额薪酬overpay"/>
      <w:r>
        <w:rPr>
          <w:rFonts w:ascii="Times New Roman" w:hAnsi="Times New Roman" w:eastAsia="宋体"/>
          <w:b w:val="0"/>
          <w:sz w:val="24"/>
        </w:rPr>
        <w:t xml:space="preserve">3.3.1 </w:t>
      </w:r>
      <w:r>
        <w:rPr>
          <w:rFonts w:hint="eastAsia" w:ascii="Times New Roman" w:hAnsi="Times New Roman" w:eastAsia="宋体"/>
          <w:b w:val="0"/>
          <w:sz w:val="24"/>
        </w:rPr>
        <w:t>被解释变量：高管超额薪酬（Overpay）</w:t>
      </w:r>
    </w:p>
    <w:p w14:paraId="7FD1A911">
      <w:pPr>
        <w:spacing w:before="0" w:after="0" w:line="312" w:lineRule="auto"/>
        <w:ind w:firstLine="420"/>
        <w:jc w:val="both"/>
      </w:pPr>
      <w:r>
        <w:rPr>
          <w:rFonts w:hint="eastAsia" w:ascii="Times New Roman" w:hAnsi="Times New Roman" w:eastAsia="宋体"/>
          <w:b w:val="0"/>
          <w:sz w:val="21"/>
        </w:rPr>
        <w:t>高管超额薪酬以基准薪酬模型的回归残差直接度量。具体以高管前三名薪酬总额的对数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lnSale、盈利表现</w:t>
      </w:r>
      <w:r>
        <w:rPr>
          <w:rFonts w:ascii="Times New Roman" w:hAnsi="Times New Roman" w:eastAsia="宋体"/>
          <w:b w:val="0"/>
          <w:sz w:val="21"/>
        </w:rPr>
        <w:t xml:space="preserve"> </w:t>
      </w:r>
      <w:r>
        <w:rPr>
          <w:rFonts w:hint="eastAsia" w:ascii="Times New Roman" w:hAnsi="Times New Roman" w:eastAsia="宋体"/>
          <w:b w:val="0"/>
          <w:sz w:val="21"/>
        </w:rPr>
        <w:t>Roa、无形资产占比</w:t>
      </w:r>
      <w:r>
        <w:rPr>
          <w:rFonts w:ascii="Times New Roman" w:hAnsi="Times New Roman" w:eastAsia="宋体"/>
          <w:b w:val="0"/>
          <w:sz w:val="21"/>
        </w:rPr>
        <w:t xml:space="preserve"> IA </w:t>
      </w:r>
      <w:r>
        <w:rPr>
          <w:rFonts w:hint="eastAsia" w:ascii="Times New Roman" w:hAnsi="Times New Roman" w:eastAsia="宋体"/>
          <w:b w:val="0"/>
          <w:sz w:val="21"/>
        </w:rPr>
        <w:t>和地区虚拟变量</w:t>
      </w:r>
      <w:r>
        <w:rPr>
          <w:rFonts w:ascii="Times New Roman" w:hAnsi="Times New Roman" w:eastAsia="宋体"/>
          <w:b w:val="0"/>
          <w:sz w:val="21"/>
        </w:rPr>
        <w:t xml:space="preserve"> Zone </w:t>
      </w:r>
      <w:r>
        <w:rPr>
          <w:rFonts w:hint="eastAsia" w:ascii="Times New Roman" w:hAnsi="Times New Roman" w:eastAsia="宋体"/>
          <w:b w:val="0"/>
          <w:sz w:val="21"/>
        </w:rPr>
        <w:t>作为核心解释变量，并控制行业和年份固定效应。对应模型在第三章模型设定部分正式给出。</w:t>
      </w:r>
    </w:p>
    <w:p w14:paraId="1DA6542C">
      <w:pPr>
        <w:spacing w:before="0" w:after="0" w:line="312" w:lineRule="auto"/>
        <w:ind w:firstLine="420"/>
        <w:jc w:val="both"/>
      </w:pPr>
      <w:r>
        <w:rPr>
          <w:rFonts w:hint="eastAsia" w:ascii="Times New Roman" w:hAnsi="Times New Roman" w:eastAsia="宋体"/>
          <w:b w:val="0"/>
          <w:sz w:val="21"/>
        </w:rPr>
        <w:t>基准薪酬模型的残差项</w:t>
      </w:r>
      <w:r>
        <w:rPr>
          <w:rFonts w:ascii="Times New Roman" w:hAnsi="Times New Roman" w:eastAsia="宋体"/>
          <w:b w:val="0"/>
          <w:sz w:val="21"/>
        </w:rPr>
        <w:t xml:space="preserve"> </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直接定义为</w:t>
      </w:r>
      <w:r>
        <w:rPr>
          <w:rFonts w:ascii="Times New Roman" w:hAnsi="Times New Roman" w:eastAsia="宋体"/>
          <w:b w:val="0"/>
          <w:sz w:val="21"/>
        </w:rPr>
        <w:t xml:space="preserve"> </w:t>
      </w:r>
      <m:oMath>
        <m:sSub>
          <m:sSubPr/>
          <m:e>
            <m:r>
              <m:rPr>
                <m:nor/>
                <m:sty m:val="p"/>
              </m:rPr>
              <w:rPr>
                <w:b w:val="0"/>
                <w:i w:val="0"/>
              </w:rPr>
              <m:t>Overpay</m:t>
            </m:r>
          </m:e>
          <m:sub>
            <m:r>
              <m:rPr/>
              <m:t>it</m:t>
            </m:r>
          </m:sub>
        </m:sSub>
      </m:oMath>
      <w:r>
        <w:rPr>
          <w:rFonts w:hint="eastAsia" w:ascii="Times New Roman" w:hAnsi="Times New Roman" w:eastAsia="宋体"/>
          <w:b w:val="0"/>
          <w:sz w:val="21"/>
        </w:rPr>
        <w:t>。使用高管前三名薪酬总额而非单个CEO薪酬，主要是为了降低个别年份单一职位数据缺失或异常的带动。此外，中国上市公司重大决策往往由高管团队共同完成，团队层面的薪酬安排更能反映企业的整体激励取向。</w:t>
      </w:r>
      <m:oMath>
        <m:sSub>
          <m:sSubPr/>
          <m:e>
            <m:r>
              <m:rPr>
                <m:nor/>
                <m:sty m:val="p"/>
              </m:rPr>
              <w:rPr>
                <w:b w:val="0"/>
                <w:i w:val="0"/>
              </w:rPr>
              <m:t>Overpay</m:t>
            </m:r>
          </m:e>
          <m:sub>
            <m:r>
              <m:rPr/>
              <m:t>it</m:t>
            </m:r>
          </m:sub>
        </m:sSub>
        <m:r>
          <m:rPr>
            <m:sty m:val="p"/>
          </m:rPr>
          <m:t>&gt;</m:t>
        </m:r>
        <m:r>
          <m:rPr/>
          <m:t>0</m:t>
        </m:r>
      </m:oMath>
      <w:r>
        <w:rPr>
          <w:rFonts w:ascii="Times New Roman" w:hAnsi="Times New Roman" w:eastAsia="宋体"/>
          <w:b w:val="0"/>
          <w:sz w:val="21"/>
        </w:rPr>
        <w:t xml:space="preserve"> </w:t>
      </w:r>
      <w:r>
        <w:rPr>
          <w:rFonts w:hint="eastAsia" w:ascii="Times New Roman" w:hAnsi="Times New Roman" w:eastAsia="宋体"/>
          <w:b w:val="0"/>
          <w:sz w:val="21"/>
        </w:rPr>
        <w:t>表示该企业高管获得了高于基准的薪酬，</w:t>
      </w:r>
      <m:oMath>
        <m:sSub>
          <m:sSubPr/>
          <m:e>
            <m:r>
              <m:rPr>
                <m:nor/>
                <m:sty m:val="p"/>
              </m:rPr>
              <w:rPr>
                <w:b w:val="0"/>
                <w:i w:val="0"/>
              </w:rPr>
              <m:t>Overpay</m:t>
            </m:r>
          </m:e>
          <m:sub>
            <m:r>
              <m:rPr/>
              <m:t>it</m:t>
            </m:r>
          </m:sub>
        </m:sSub>
        <m:r>
          <m:rPr>
            <m:sty m:val="p"/>
          </m:rPr>
          <m:t>&lt;</m:t>
        </m:r>
        <m:r>
          <m:rPr/>
          <m:t>0</m:t>
        </m:r>
      </m:oMath>
      <w:r>
        <w:rPr>
          <w:rFonts w:ascii="Times New Roman" w:hAnsi="Times New Roman" w:eastAsia="宋体"/>
          <w:b w:val="0"/>
          <w:sz w:val="21"/>
        </w:rPr>
        <w:t xml:space="preserve"> </w:t>
      </w:r>
      <w:r>
        <w:rPr>
          <w:rFonts w:hint="eastAsia" w:ascii="Times New Roman" w:hAnsi="Times New Roman" w:eastAsia="宋体"/>
          <w:b w:val="0"/>
          <w:sz w:val="21"/>
        </w:rPr>
        <w:t>则表示其薪酬低于基准，这一情况在部分受薪酬管制约束的国有企业中并不少见。</w:t>
      </w:r>
    </w:p>
    <w:bookmarkEnd w:id="35"/>
    <w:p w14:paraId="49737101">
      <w:pPr>
        <w:pStyle w:val="28"/>
        <w:spacing w:before="0" w:after="0" w:line="312" w:lineRule="auto"/>
        <w:ind w:firstLine="420"/>
        <w:jc w:val="left"/>
      </w:pPr>
      <w:bookmarkStart w:id="41" w:name="核心解释变量财政补贴强度lnsubsidy"/>
      <w:r>
        <w:rPr>
          <w:rFonts w:ascii="Times New Roman" w:hAnsi="Times New Roman" w:eastAsia="宋体"/>
          <w:b w:val="0"/>
          <w:sz w:val="24"/>
        </w:rPr>
        <w:t xml:space="preserve">3.3.2 </w:t>
      </w:r>
      <w:r>
        <w:rPr>
          <w:rFonts w:hint="eastAsia" w:ascii="Times New Roman" w:hAnsi="Times New Roman" w:eastAsia="宋体"/>
          <w:b w:val="0"/>
          <w:sz w:val="24"/>
        </w:rPr>
        <w:t>核心解释变量：财政补贴强度（lnSubsidy）</w:t>
      </w:r>
    </w:p>
    <w:p w14:paraId="478B70B1">
      <w:pPr>
        <w:spacing w:before="0" w:after="0" w:line="312" w:lineRule="auto"/>
        <w:ind w:firstLine="420"/>
        <w:jc w:val="both"/>
      </w:pPr>
      <w:r>
        <w:rPr>
          <w:rFonts w:hint="eastAsia" w:ascii="Times New Roman" w:hAnsi="Times New Roman" w:eastAsia="宋体"/>
          <w:b w:val="0"/>
          <w:sz w:val="21"/>
        </w:rPr>
        <w:t>为区分“是否获得补贴”和“获得补贴后的强弱差异”，本文同时保留两类补贴度量。第一类是描述性统计和对照检验中使用的全样本口径：</w:t>
      </w:r>
    </w:p>
    <w:p w14:paraId="7FE56ADD">
      <w:pPr>
        <w:tabs>
          <w:tab w:val="right" w:pos="8617"/>
        </w:tabs>
        <w:spacing w:before="0" w:after="0" w:line="312" w:lineRule="auto"/>
        <w:ind w:firstLine="0"/>
        <w:jc w:val="center"/>
      </w:pPr>
      <m:oMath>
        <m:r>
          <m:rPr>
            <m:sty m:val="p"/>
          </m:rPr>
          <m:t>ln</m:t>
        </m:r>
        <m:sSub>
          <m:sSubPr/>
          <m:e>
            <m:r>
              <m:rPr>
                <m:nor/>
                <m:sty m:val="p"/>
              </m:rPr>
              <w:rPr>
                <w:b w:val="0"/>
                <w:i w:val="0"/>
              </w:rPr>
              <m:t>Subsidy</m:t>
            </m:r>
          </m:e>
          <m:sub>
            <m:r>
              <m:rPr/>
              <m:t>it</m:t>
            </m:r>
          </m:sub>
        </m:sSub>
        <m:r>
          <m:rPr>
            <m:sty m:val="p"/>
          </m:rPr>
          <m:t>=ln</m:t>
        </m:r>
        <m:r>
          <m:rPr/>
          <m:t>​</m:t>
        </m:r>
        <m:d>
          <m:dPr>
            <m:sepChr m:val=""/>
          </m:dPr>
          <m:e>
            <m:r>
              <m:rPr/>
              <m:t>1</m:t>
            </m:r>
            <m:r>
              <m:rPr>
                <m:sty m:val="p"/>
              </m:rPr>
              <m:t>+max(</m:t>
            </m:r>
            <m:sSub>
              <m:sSubPr/>
              <m:e>
                <m:r>
                  <m:rPr>
                    <m:nor/>
                    <m:sty m:val="p"/>
                  </m:rPr>
                  <w:rPr>
                    <w:b w:val="0"/>
                    <w:i w:val="0"/>
                  </w:rPr>
                  <m:t>GovernmentSubsidy</m:t>
                </m:r>
              </m:e>
              <m:sub>
                <m:r>
                  <m:rPr/>
                  <m:t>it</m:t>
                </m:r>
              </m:sub>
            </m:sSub>
            <m:r>
              <m:rPr>
                <m:sty m:val="p"/>
              </m:rPr>
              <m:t>,</m:t>
            </m:r>
            <m:r>
              <m:rPr/>
              <m:t>0</m:t>
            </m:r>
            <m:r>
              <m:rPr>
                <m:sty m:val="p"/>
              </m:rPr>
              <m:t>)</m:t>
            </m:r>
          </m:e>
        </m:d>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w:t>
      </w:r>
      <w:r>
        <w:rPr>
          <w:rFonts w:ascii="宋体" w:hAnsi="宋体" w:eastAsia="宋体"/>
          <w:sz w:val="21"/>
        </w:rPr>
        <w:t>)</w:t>
      </w:r>
    </w:p>
    <w:p w14:paraId="2C8B15D4">
      <w:pPr>
        <w:spacing w:before="0" w:after="0" w:line="312" w:lineRule="auto"/>
        <w:ind w:firstLine="420"/>
        <w:jc w:val="both"/>
      </w:pPr>
      <w:r>
        <w:rPr>
          <w:rFonts w:hint="eastAsia" w:ascii="Times New Roman" w:hAnsi="Times New Roman" w:eastAsia="宋体"/>
          <w:b w:val="0"/>
          <w:sz w:val="21"/>
        </w:rPr>
        <w:t>第二类是基准回归使用的强度口径，仅在补助金额大于0时取自然对数：</w:t>
      </w:r>
    </w:p>
    <w:p w14:paraId="2B61F27C">
      <w:pPr>
        <w:tabs>
          <w:tab w:val="right" w:pos="8617"/>
        </w:tabs>
        <w:spacing w:before="0" w:after="0" w:line="312" w:lineRule="auto"/>
        <w:ind w:firstLine="0"/>
        <w:jc w:val="center"/>
      </w:pPr>
      <m:oMath>
        <m:r>
          <m:rPr>
            <m:sty m:val="p"/>
          </m:rPr>
          <m:t>ln</m:t>
        </m:r>
        <m:sSubSup>
          <m:sSubSupPr/>
          <m:e>
            <m:r>
              <m:rPr>
                <m:nor/>
                <m:sty m:val="p"/>
              </m:rPr>
              <w:rPr>
                <w:b w:val="0"/>
                <w:i w:val="0"/>
              </w:rPr>
              <m:t>Subsidy</m:t>
            </m:r>
          </m:e>
          <m:sub>
            <m:r>
              <m:rPr/>
              <m:t>it</m:t>
            </m:r>
          </m:sub>
          <m:sup>
            <m:r>
              <m:rPr>
                <m:sty m:val="p"/>
              </m:rPr>
              <m:t>+</m:t>
            </m:r>
          </m:sup>
        </m:sSubSup>
        <m:r>
          <m:rPr>
            <m:sty m:val="p"/>
          </m:rPr>
          <m:t>=ln(</m:t>
        </m:r>
        <m:sSub>
          <m:sSubPr/>
          <m:e>
            <m:r>
              <m:rPr>
                <m:nor/>
                <m:sty m:val="p"/>
              </m:rPr>
              <w:rPr>
                <w:b w:val="0"/>
                <w:i w:val="0"/>
              </w:rPr>
              <m:t>GovernmentSubsidy</m:t>
            </m:r>
          </m:e>
          <m:sub>
            <m:r>
              <m:rPr/>
              <m:t>it</m:t>
            </m:r>
          </m:sub>
        </m:sSub>
        <m:r>
          <m:rPr>
            <m:sty m:val="p"/>
          </m:rPr>
          <m:t>),</m:t>
        </m:r>
        <m:r>
          <m:rPr/>
          <m:t>  </m:t>
        </m:r>
        <m:sSub>
          <m:sSubPr/>
          <m:e>
            <m:r>
              <m:rPr>
                <m:nor/>
                <m:sty m:val="p"/>
              </m:rPr>
              <w:rPr>
                <w:b w:val="0"/>
                <w:i w:val="0"/>
              </w:rPr>
              <m:t>GovernmentSubsidy</m:t>
            </m:r>
          </m:e>
          <m:sub>
            <m:r>
              <m:rPr/>
              <m:t>it</m:t>
            </m:r>
          </m:sub>
        </m:sSub>
        <m:r>
          <m:rPr>
            <m:sty m:val="p"/>
          </m:rPr>
          <m:t>&gt;</m:t>
        </m:r>
        <m:r>
          <m:rPr/>
          <m:t>0</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2</w:t>
      </w:r>
      <w:r>
        <w:rPr>
          <w:rFonts w:ascii="宋体" w:hAnsi="宋体" w:eastAsia="宋体"/>
          <w:sz w:val="21"/>
        </w:rPr>
        <w:t>)</w:t>
      </w:r>
    </w:p>
    <w:p w14:paraId="06848C21">
      <w:pPr>
        <w:spacing w:before="0" w:after="0" w:line="312" w:lineRule="auto"/>
        <w:ind w:firstLine="420"/>
        <w:jc w:val="both"/>
      </w:pPr>
      <w:r>
        <w:rPr>
          <w:rFonts w:hint="eastAsia" w:ascii="Times New Roman" w:hAnsi="Times New Roman" w:eastAsia="宋体"/>
          <w:b w:val="0"/>
          <w:sz w:val="21"/>
        </w:rPr>
        <w:t>其中，第二阶段基准回归实际使用的是滞后一期变量</w:t>
      </w:r>
      <w:r>
        <w:rPr>
          <w:rFonts w:ascii="Times New Roman" w:hAnsi="Times New Roman" w:eastAsia="宋体"/>
          <w:b w:val="0"/>
          <w:sz w:val="21"/>
        </w:rPr>
        <w:t xml:space="preserve"> </w:t>
      </w:r>
      <m:oMath>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oMath>
      <w:r>
        <w:rPr>
          <w:rFonts w:hint="eastAsia" w:ascii="Times New Roman" w:hAnsi="Times New Roman" w:eastAsia="宋体"/>
          <w:b w:val="0"/>
          <w:sz w:val="21"/>
        </w:rPr>
        <w:t>。这样处理的考虑有两点：</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适合保留零补助公司年度，用于描述整体样本与对照口径；若核心疑问聚焦于“已经拿到补贴之后，拿得更多是否伴随更高的超额薪酬”，则更自然的做法是把基准回归限制在上一年已获得补贴的公司年度，并直接比较补贴强弱差异。也即，全文主线更关注补贴的强度边际，而不是全体公司平均层面上的混合效应。</w:t>
      </w:r>
    </w:p>
    <w:bookmarkEnd w:id="37"/>
    <w:p w14:paraId="358EFFFB">
      <w:pPr>
        <w:pStyle w:val="28"/>
        <w:spacing w:before="0" w:after="0" w:line="312" w:lineRule="auto"/>
        <w:ind w:firstLine="420"/>
        <w:jc w:val="left"/>
      </w:pPr>
      <w:bookmarkStart w:id="42" w:name="控制变量"/>
      <w:r>
        <w:rPr>
          <w:rFonts w:ascii="Times New Roman" w:hAnsi="Times New Roman" w:eastAsia="宋体"/>
          <w:b w:val="0"/>
          <w:sz w:val="24"/>
        </w:rPr>
        <w:t xml:space="preserve">3.3.3 </w:t>
      </w:r>
      <w:r>
        <w:rPr>
          <w:rFonts w:hint="eastAsia" w:ascii="Times New Roman" w:hAnsi="Times New Roman" w:eastAsia="宋体"/>
          <w:b w:val="0"/>
          <w:sz w:val="24"/>
        </w:rPr>
        <w:t>控制变量</w:t>
      </w:r>
    </w:p>
    <w:p w14:paraId="73F7EB22">
      <w:pPr>
        <w:spacing w:before="0" w:after="0" w:line="312" w:lineRule="auto"/>
        <w:ind w:firstLine="420"/>
        <w:jc w:val="both"/>
      </w:pPr>
      <w:r>
        <w:rPr>
          <w:rFonts w:hint="eastAsia" w:ascii="Times New Roman" w:hAnsi="Times New Roman" w:eastAsia="宋体"/>
          <w:b w:val="0"/>
          <w:sz w:val="21"/>
        </w:rPr>
        <w:t>控制变量分成两个阶段来设定，原因在于两阶段模型各自承担的任务并不一样。第一阶段的目标，是尽量准确地估计“合理薪酬”或“基准薪酬”，因此控制项要尽量覆盖那些决定正常薪酬数额的公司特征，包括</w:t>
      </w:r>
      <w:r>
        <w:rPr>
          <w:rFonts w:hint="eastAsia" w:ascii="Times New Roman" w:hAnsi="Times New Roman" w:eastAsia="宋体"/>
          <w:b w:val="0"/>
          <w:bCs/>
          <w:sz w:val="21"/>
        </w:rPr>
        <w:t>企业规模</w:t>
      </w:r>
      <w:r>
        <w:rPr>
          <w:rFonts w:hint="eastAsia" w:ascii="Times New Roman" w:hAnsi="Times New Roman" w:eastAsia="宋体"/>
          <w:b w:val="0"/>
          <w:sz w:val="21"/>
        </w:rPr>
        <w:t>（</w:t>
      </w:r>
      <m:oMath>
        <m:r>
          <m:rPr>
            <m:sty m:val="p"/>
          </m:rPr>
          <m:t>ln</m:t>
        </m:r>
        <m:r>
          <m:rPr>
            <m:nor/>
            <m:sty m:val="p"/>
          </m:rPr>
          <m:t>Sale</m:t>
        </m:r>
      </m:oMath>
      <w:r>
        <w:rPr>
          <w:rFonts w:hint="eastAsia" w:ascii="Times New Roman" w:hAnsi="Times New Roman" w:eastAsia="宋体"/>
          <w:b w:val="0"/>
          <w:sz w:val="21"/>
        </w:rPr>
        <w:t>）、</w:t>
      </w:r>
      <w:r>
        <w:rPr>
          <w:rFonts w:hint="eastAsia" w:ascii="Times New Roman" w:hAnsi="Times New Roman" w:eastAsia="宋体"/>
          <w:b w:val="0"/>
          <w:bCs/>
          <w:sz w:val="21"/>
        </w:rPr>
        <w:t>盈利表现</w:t>
      </w:r>
      <w:r>
        <w:rPr>
          <w:rFonts w:hint="eastAsia" w:ascii="Times New Roman" w:hAnsi="Times New Roman" w:eastAsia="宋体"/>
          <w:b w:val="0"/>
          <w:sz w:val="21"/>
        </w:rPr>
        <w:t>（Roa）、</w:t>
      </w:r>
      <w:r>
        <w:rPr>
          <w:rFonts w:hint="eastAsia" w:ascii="Times New Roman" w:hAnsi="Times New Roman" w:eastAsia="宋体"/>
          <w:b w:val="0"/>
          <w:bCs/>
          <w:sz w:val="21"/>
        </w:rPr>
        <w:t>无形资产占比</w:t>
      </w:r>
      <w:r>
        <w:rPr>
          <w:rFonts w:hint="eastAsia" w:ascii="Times New Roman" w:hAnsi="Times New Roman" w:eastAsia="宋体"/>
          <w:b w:val="0"/>
          <w:sz w:val="21"/>
        </w:rPr>
        <w:t>（IA）和</w:t>
      </w:r>
      <w:r>
        <w:rPr>
          <w:rFonts w:hint="eastAsia" w:ascii="Times New Roman" w:hAnsi="Times New Roman" w:eastAsia="宋体"/>
          <w:b w:val="0"/>
          <w:bCs/>
          <w:sz w:val="21"/>
        </w:rPr>
        <w:t>地区虚拟变量</w:t>
      </w:r>
      <w:r>
        <w:rPr>
          <w:rFonts w:hint="eastAsia" w:ascii="Times New Roman" w:hAnsi="Times New Roman" w:eastAsia="宋体"/>
          <w:b w:val="0"/>
          <w:sz w:val="21"/>
        </w:rPr>
        <w:t>（Zone），并进一步控制行业和年份效应，把规模、业绩、资产结构以及地区薪酬基准这些常规差异尽量吸收进基准薪酬模型。</w:t>
      </w:r>
    </w:p>
    <w:p w14:paraId="258BCD6E">
      <w:pPr>
        <w:spacing w:before="0" w:after="0" w:line="312" w:lineRule="auto"/>
        <w:ind w:firstLine="420"/>
        <w:jc w:val="both"/>
      </w:pPr>
      <w:r>
        <w:rPr>
          <w:rFonts w:hint="eastAsia" w:ascii="Times New Roman" w:hAnsi="Times New Roman" w:eastAsia="宋体"/>
          <w:b w:val="0"/>
          <w:sz w:val="21"/>
        </w:rPr>
        <w:t>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盈利表现</w:t>
      </w:r>
      <w:r>
        <w:rPr>
          <w:rFonts w:hint="eastAsia" w:ascii="Times New Roman" w:hAnsi="Times New Roman" w:eastAsia="宋体"/>
          <w:b w:val="0"/>
          <w:sz w:val="21"/>
        </w:rPr>
        <w:t>（Roa）、</w:t>
      </w:r>
      <w:r>
        <w:rPr>
          <w:rFonts w:hint="eastAsia" w:ascii="Times New Roman" w:hAnsi="Times New Roman" w:eastAsia="宋体"/>
          <w:b w:val="0"/>
          <w:bCs/>
          <w:sz w:val="21"/>
        </w:rPr>
        <w:t>财务杠杆</w:t>
      </w:r>
      <w:r>
        <w:rPr>
          <w:rFonts w:hint="eastAsia" w:ascii="Times New Roman" w:hAnsi="Times New Roman" w:eastAsia="宋体"/>
          <w:b w:val="0"/>
          <w:sz w:val="21"/>
        </w:rPr>
        <w:t>（Lever）和</w:t>
      </w:r>
      <w:r>
        <w:rPr>
          <w:rFonts w:hint="eastAsia" w:ascii="Times New Roman" w:hAnsi="Times New Roman" w:eastAsia="宋体"/>
          <w:b w:val="0"/>
          <w:bCs/>
          <w:sz w:val="21"/>
        </w:rPr>
        <w:t>第一大股东持股比例</w:t>
      </w:r>
      <w:r>
        <w:rPr>
          <w:rFonts w:hint="eastAsia" w:ascii="Times New Roman" w:hAnsi="Times New Roman" w:eastAsia="宋体"/>
          <w:b w:val="0"/>
          <w:sz w:val="21"/>
        </w:rPr>
        <w:t>（Top1），同时统一纳入公司和年份固定效应。这样安排的逻辑比较直接：财务杠杆对应债务约束，大股东持股比例代表外部监督条件，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依据注册地址优先、办公地址补充的规则识别企业所属东中西部地区，但由于它在公司层面基本稳定，在第二阶段会被公司固定效应吸收，因此不再单独进入方程。所以，两阶段控制变量的差异并不意味着模型设定前后不一致，而是分别服务于“尽量拟合合理薪酬基准”和“在固定效应设定下观察补贴强度与超额薪酬的条件相关”这两个不同经验任务。主要变量定义汇总见表3-1。</w:t>
      </w:r>
    </w:p>
    <w:p w14:paraId="269AC8AF">
      <w:pPr>
        <w:spacing w:before="0" w:after="0" w:line="312" w:lineRule="auto"/>
        <w:ind w:firstLine="0"/>
        <w:jc w:val="center"/>
      </w:pPr>
      <w:r>
        <w:rPr>
          <w:rFonts w:hint="eastAsia" w:ascii="Times New Roman" w:hAnsi="Times New Roman" w:eastAsia="宋体"/>
          <w:b/>
          <w:sz w:val="18"/>
        </w:rPr>
        <w:t>表3-1</w:t>
      </w:r>
      <w:r>
        <w:rPr>
          <w:rFonts w:ascii="Times New Roman" w:hAnsi="Times New Roman" w:eastAsia="宋体"/>
          <w:b/>
          <w:sz w:val="18"/>
        </w:rPr>
        <w:t xml:space="preserve"> </w:t>
      </w:r>
      <w:r>
        <w:rPr>
          <w:rFonts w:hint="eastAsia" w:ascii="Times New Roman" w:hAnsi="Times New Roman" w:eastAsia="宋体"/>
          <w:b/>
          <w:sz w:val="18"/>
        </w:rPr>
        <w:t>主要变量定义</w:t>
      </w:r>
    </w:p>
    <w:p w14:paraId="7F5D33FA">
      <w:pPr>
        <w:spacing w:before="0" w:after="0" w:line="240" w:lineRule="auto"/>
        <w:ind w:firstLine="0"/>
      </w:pPr>
      <w:r>
        <w:rPr>
          <w:rFonts w:ascii="Times New Roman" w:hAnsi="Times New Roman" w:eastAsia="宋体"/>
          <w:sz w:val="21"/>
        </w:rPr>
        <w:drawing>
          <wp:inline distT="0" distB="0" distL="114300" distR="114300">
            <wp:extent cx="5579745" cy="239268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2"/>
                    <a:stretch>
                      <a:fillRect/>
                    </a:stretch>
                  </pic:blipFill>
                  <pic:spPr>
                    <a:xfrm>
                      <a:off x="0" y="0"/>
                      <a:ext cx="5579999" cy="2393199"/>
                    </a:xfrm>
                    <a:prstGeom prst="rect">
                      <a:avLst/>
                    </a:prstGeom>
                    <a:noFill/>
                    <a:ln w="9525">
                      <a:noFill/>
                    </a:ln>
                  </pic:spPr>
                </pic:pic>
              </a:graphicData>
            </a:graphic>
          </wp:inline>
        </w:drawing>
      </w:r>
    </w:p>
    <w:bookmarkEnd w:id="39"/>
    <w:p w14:paraId="0C406E39">
      <w:pPr>
        <w:pStyle w:val="28"/>
        <w:spacing w:before="0" w:after="0" w:line="312" w:lineRule="auto"/>
        <w:ind w:firstLine="420"/>
        <w:jc w:val="left"/>
      </w:pPr>
      <w:bookmarkStart w:id="43" w:name="路径变量管理层权力power"/>
      <w:r>
        <w:rPr>
          <w:rFonts w:ascii="Times New Roman" w:hAnsi="Times New Roman" w:eastAsia="宋体"/>
          <w:b w:val="0"/>
          <w:sz w:val="24"/>
        </w:rPr>
        <w:t xml:space="preserve">3.3.4 </w:t>
      </w:r>
      <w:r>
        <w:rPr>
          <w:rFonts w:hint="eastAsia" w:ascii="Times New Roman" w:hAnsi="Times New Roman" w:eastAsia="宋体"/>
          <w:b w:val="0"/>
          <w:sz w:val="24"/>
        </w:rPr>
        <w:t>路径变量：管理层权力（Power）</w:t>
      </w:r>
    </w:p>
    <w:p w14:paraId="76E5D7C2">
      <w:pPr>
        <w:spacing w:before="0" w:after="0" w:line="312" w:lineRule="auto"/>
        <w:ind w:firstLine="420"/>
        <w:jc w:val="both"/>
      </w:pPr>
      <w:r>
        <w:rPr>
          <w:rFonts w:hint="eastAsia" w:ascii="Times New Roman" w:hAnsi="Times New Roman" w:eastAsia="宋体"/>
          <w:b w:val="0"/>
          <w:sz w:val="21"/>
        </w:rPr>
        <w:t>管理层权力变量</w:t>
      </w:r>
      <w:r>
        <w:rPr>
          <w:rFonts w:ascii="Times New Roman" w:hAnsi="Times New Roman" w:eastAsia="宋体"/>
          <w:b w:val="0"/>
          <w:sz w:val="21"/>
        </w:rPr>
        <w:t xml:space="preserve"> Power </w:t>
      </w:r>
      <w:r>
        <w:rPr>
          <w:rFonts w:hint="eastAsia" w:ascii="Times New Roman" w:hAnsi="Times New Roman" w:eastAsia="宋体"/>
          <w:b w:val="0"/>
          <w:sz w:val="21"/>
        </w:rPr>
        <w:t>主要作为中介变量使用。正文将其定义为基于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和</w:t>
      </w:r>
      <w:r>
        <w:rPr>
          <w:rFonts w:ascii="Times New Roman" w:hAnsi="Times New Roman" w:eastAsia="宋体"/>
          <w:b w:val="0"/>
          <w:sz w:val="21"/>
        </w:rPr>
        <w:t xml:space="preserve"> Mgshder </w:t>
      </w:r>
      <w:r>
        <w:rPr>
          <w:rFonts w:hint="eastAsia" w:ascii="Times New Roman" w:hAnsi="Times New Roman" w:eastAsia="宋体"/>
          <w:b w:val="0"/>
          <w:sz w:val="21"/>
        </w:rPr>
        <w:t>四项治理指标构造的</w:t>
      </w:r>
      <w:r>
        <w:rPr>
          <w:rFonts w:ascii="Times New Roman" w:hAnsi="Times New Roman" w:eastAsia="宋体"/>
          <w:b w:val="0"/>
          <w:sz w:val="21"/>
        </w:rPr>
        <w:t xml:space="preserve"> PCA </w:t>
      </w:r>
      <w:r>
        <w:rPr>
          <w:rFonts w:hint="eastAsia" w:ascii="Times New Roman" w:hAnsi="Times New Roman" w:eastAsia="宋体"/>
          <w:b w:val="0"/>
          <w:sz w:val="21"/>
        </w:rPr>
        <w:t>综合得分，用于刻画高管在正式职位、董事会结构与所有权层面的综合控制力。有关</w:t>
      </w:r>
      <w:r>
        <w:rPr>
          <w:rFonts w:ascii="Times New Roman" w:hAnsi="Times New Roman" w:eastAsia="宋体"/>
          <w:b w:val="0"/>
          <w:sz w:val="21"/>
        </w:rPr>
        <w:t xml:space="preserve"> Power </w:t>
      </w:r>
      <w:r>
        <w:rPr>
          <w:rFonts w:hint="eastAsia" w:ascii="Times New Roman" w:hAnsi="Times New Roman" w:eastAsia="宋体"/>
          <w:b w:val="0"/>
          <w:sz w:val="21"/>
        </w:rPr>
        <w:t>的具体构成过程以及</w:t>
      </w:r>
      <w:r>
        <w:rPr>
          <w:rFonts w:ascii="Times New Roman" w:hAnsi="Times New Roman" w:eastAsia="宋体"/>
          <w:b w:val="0"/>
          <w:sz w:val="21"/>
        </w:rPr>
        <w:t xml:space="preserve"> PCA </w:t>
      </w:r>
      <w:r>
        <w:rPr>
          <w:rFonts w:hint="eastAsia" w:ascii="Times New Roman" w:hAnsi="Times New Roman" w:eastAsia="宋体"/>
          <w:b w:val="0"/>
          <w:sz w:val="21"/>
        </w:rPr>
        <w:t>诊断信息，统一放在第四章中介效应讨论部分展开。</w:t>
      </w:r>
    </w:p>
    <w:p w14:paraId="4BF7CB0C">
      <w:pPr>
        <w:spacing w:before="0" w:after="0" w:line="312" w:lineRule="auto"/>
        <w:ind w:firstLine="420"/>
        <w:jc w:val="both"/>
      </w:pPr>
      <w:r>
        <w:rPr>
          <w:rFonts w:hint="eastAsia" w:ascii="Times New Roman" w:hAnsi="Times New Roman" w:eastAsia="宋体"/>
          <w:b w:val="0"/>
          <w:sz w:val="21"/>
        </w:rPr>
        <w:t>这里不把</w:t>
      </w:r>
      <w:r>
        <w:rPr>
          <w:rFonts w:ascii="Times New Roman" w:hAnsi="Times New Roman" w:eastAsia="宋体"/>
          <w:b w:val="0"/>
          <w:sz w:val="21"/>
        </w:rPr>
        <w:t xml:space="preserve"> Power </w:t>
      </w:r>
      <w:r>
        <w:rPr>
          <w:rFonts w:hint="eastAsia" w:ascii="Times New Roman" w:hAnsi="Times New Roman" w:eastAsia="宋体"/>
          <w:b w:val="0"/>
          <w:sz w:val="21"/>
        </w:rPr>
        <w:t>直接纳入基准回归，是为了先保持主模型的变量口径简洁，再在传导路径部分单独检验权力渠道。这样的安排也便于区分“补贴强度本身的条件相关”和“管理层权力可能参与的间接传导”。</w:t>
      </w:r>
    </w:p>
    <w:bookmarkEnd w:id="40"/>
    <w:bookmarkEnd w:id="41"/>
    <w:p w14:paraId="517DD7DA">
      <w:pPr>
        <w:pStyle w:val="3"/>
        <w:spacing w:before="0" w:after="0" w:line="312" w:lineRule="auto"/>
        <w:ind w:firstLine="0"/>
        <w:jc w:val="left"/>
      </w:pPr>
      <w:bookmarkStart w:id="44" w:name="_TocAuto0014"/>
      <w:bookmarkStart w:id="45" w:name="模型设定"/>
      <w:r>
        <w:rPr>
          <w:rFonts w:ascii="Times New Roman" w:hAnsi="Times New Roman" w:eastAsia="黑体"/>
          <w:b w:val="0"/>
          <w:sz w:val="28"/>
        </w:rPr>
        <w:t xml:space="preserve">3.4 </w:t>
      </w:r>
      <w:r>
        <w:rPr>
          <w:rFonts w:hint="eastAsia" w:ascii="Times New Roman" w:hAnsi="Times New Roman" w:eastAsia="黑体"/>
          <w:b w:val="0"/>
          <w:sz w:val="28"/>
        </w:rPr>
        <w:t>模型设定</w:t>
      </w:r>
      <w:bookmarkEnd w:id="44"/>
    </w:p>
    <w:p w14:paraId="3ABD62F8">
      <w:pPr>
        <w:spacing w:before="0" w:after="0" w:line="312" w:lineRule="auto"/>
        <w:ind w:firstLine="420"/>
        <w:jc w:val="both"/>
      </w:pPr>
      <w:r>
        <w:rPr>
          <w:rFonts w:hint="eastAsia" w:ascii="Times New Roman" w:hAnsi="Times New Roman" w:eastAsia="宋体"/>
          <w:b w:val="0"/>
          <w:sz w:val="21"/>
        </w:rPr>
        <w:t>模型设定分为两个阶段。第一阶段先估计企业在既有规模、业绩和地区条件下的基准薪酬数值，以便把”正常薪酬”与”异常偏离”区分开来。第二阶段再以超额薪酬为被解释变量，考察补贴强度与异常薪酬之间的条件相关。两阶段所用控制变量不同，核心原因在于两阶段的任务并不一样。第一阶段的目标是尽量准确地估计”合理薪酬”或”基准薪酬”，因此控制项要尽量覆盖那些决定正常薪酬规模的公司特征。第二阶段的关注点转向财政补贴与”超额薪酬”之间的联系，因此控制项收缩为更直接关系到薪酬契约合理性、监督强度和寻租空间的变量。</w:t>
      </w:r>
    </w:p>
    <w:p w14:paraId="68933ED6">
      <w:pPr>
        <w:pStyle w:val="28"/>
        <w:spacing w:before="0" w:after="0" w:line="312" w:lineRule="auto"/>
        <w:ind w:firstLine="420"/>
        <w:jc w:val="left"/>
      </w:pPr>
      <w:bookmarkStart w:id="46" w:name="基准薪酬模型"/>
      <w:r>
        <w:rPr>
          <w:rFonts w:ascii="Times New Roman" w:hAnsi="Times New Roman" w:eastAsia="宋体"/>
          <w:b w:val="0"/>
          <w:sz w:val="24"/>
        </w:rPr>
        <w:t xml:space="preserve">3.4.1 </w:t>
      </w:r>
      <w:r>
        <w:rPr>
          <w:rFonts w:hint="eastAsia" w:ascii="Times New Roman" w:hAnsi="Times New Roman" w:eastAsia="宋体"/>
          <w:b w:val="0"/>
          <w:sz w:val="24"/>
        </w:rPr>
        <w:t>基准薪酬模型</w:t>
      </w:r>
    </w:p>
    <w:p w14:paraId="16940B8F">
      <w:pPr>
        <w:spacing w:before="0" w:after="0" w:line="312" w:lineRule="auto"/>
        <w:ind w:firstLine="420"/>
        <w:jc w:val="both"/>
      </w:pPr>
      <w:r>
        <w:rPr>
          <w:rFonts w:hint="eastAsia" w:ascii="Times New Roman" w:hAnsi="Times New Roman" w:eastAsia="宋体"/>
          <w:b w:val="0"/>
          <w:sz w:val="21"/>
        </w:rPr>
        <w:t>基准薪酬模型直接沿用Core等（1999）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的基本思路：</w:t>
      </w:r>
    </w:p>
    <w:p w14:paraId="5A24B5C6">
      <w:pPr>
        <w:tabs>
          <w:tab w:val="right" w:pos="8617"/>
        </w:tabs>
        <w:spacing w:before="0" w:after="0" w:line="312" w:lineRule="auto"/>
        <w:ind w:firstLine="0"/>
        <w:jc w:val="center"/>
      </w:pPr>
      <m:oMath>
        <m:r>
          <m:rPr>
            <m:sty m:val="p"/>
          </m:rPr>
          <m:t>ln</m:t>
        </m:r>
        <m:sSub>
          <m:sSubPr/>
          <m:e>
            <m:r>
              <m:rPr>
                <m:nor/>
                <m:sty m:val="p"/>
              </m:rPr>
              <w:rPr>
                <w:b w:val="0"/>
                <w:i w:val="0"/>
              </w:rPr>
              <m:t>Salary</m:t>
            </m:r>
          </m:e>
          <m:sub>
            <m:r>
              <m:rPr/>
              <m:t>it</m:t>
            </m:r>
          </m:sub>
        </m:sSub>
        <m:r>
          <m:rPr>
            <m:sty m:val="p"/>
          </m:rPr>
          <m:t>=</m:t>
        </m:r>
        <m:sSub>
          <m:sSubPr/>
          <m:e>
            <m:r>
              <m:rPr/>
              <m:t>α</m:t>
            </m:r>
          </m:e>
          <m:sub>
            <m:r>
              <m:rPr/>
              <m:t>0</m:t>
            </m:r>
          </m:sub>
        </m:sSub>
        <m:r>
          <m:rPr>
            <m:sty m:val="p"/>
          </m:rPr>
          <m:t>+</m:t>
        </m:r>
        <m:sSub>
          <m:sSubPr/>
          <m:e>
            <m:r>
              <m:rPr/>
              <m:t>β</m:t>
            </m:r>
          </m:e>
          <m:sub>
            <m:r>
              <m:rPr/>
              <m:t>1</m:t>
            </m:r>
          </m:sub>
        </m:sSub>
        <m:r>
          <m:rPr>
            <m:sty m:val="p"/>
          </m:rPr>
          <m:t>ln</m:t>
        </m:r>
        <m:sSub>
          <m:sSubPr/>
          <m:e>
            <m:r>
              <m:rPr>
                <m:nor/>
                <m:sty m:val="p"/>
              </m:rPr>
              <w:rPr>
                <w:b w:val="0"/>
                <w:i w:val="0"/>
              </w:rPr>
              <m:t>Sale</m:t>
            </m:r>
          </m:e>
          <m:sub>
            <m:r>
              <m:rPr/>
              <m:t>it</m:t>
            </m:r>
          </m:sub>
        </m:sSub>
        <m:r>
          <m:rPr>
            <m:sty m:val="p"/>
          </m:rPr>
          <m:t>+</m:t>
        </m:r>
        <m:sSub>
          <m:sSubPr/>
          <m:e>
            <m:r>
              <m:rPr/>
              <m:t>β</m:t>
            </m:r>
          </m:e>
          <m:sub>
            <m:r>
              <m:rPr/>
              <m:t>2</m:t>
            </m:r>
          </m:sub>
        </m:sSub>
        <m:sSub>
          <m:sSubPr/>
          <m:e>
            <m:r>
              <m:rPr>
                <m:nor/>
                <m:sty m:val="p"/>
              </m:rPr>
              <w:rPr>
                <w:b w:val="0"/>
                <w:i w:val="0"/>
              </w:rPr>
              <m:t>Roa</m:t>
            </m:r>
          </m:e>
          <m:sub>
            <m:r>
              <m:rPr/>
              <m:t>it</m:t>
            </m:r>
          </m:sub>
        </m:sSub>
        <m:r>
          <m:rPr>
            <m:sty m:val="p"/>
          </m:rPr>
          <m:t>+</m:t>
        </m:r>
        <m:sSub>
          <m:sSubPr/>
          <m:e>
            <m:r>
              <m:rPr/>
              <m:t>β</m:t>
            </m:r>
          </m:e>
          <m:sub>
            <m:r>
              <m:rPr/>
              <m:t>3</m:t>
            </m:r>
          </m:sub>
        </m:sSub>
        <m:sSub>
          <m:sSubPr/>
          <m:e>
            <m:r>
              <m:rPr>
                <m:nor/>
                <m:sty m:val="p"/>
              </m:rPr>
              <w:rPr>
                <w:b w:val="0"/>
                <w:i w:val="0"/>
              </w:rPr>
              <m:t>IA</m:t>
            </m:r>
          </m:e>
          <m:sub>
            <m:r>
              <m:rPr/>
              <m:t>it</m:t>
            </m:r>
          </m:sub>
        </m:sSub>
        <m:r>
          <m:rPr>
            <m:sty m:val="p"/>
          </m:rPr>
          <m:t>+</m:t>
        </m:r>
        <m:sSub>
          <m:sSubPr/>
          <m:e>
            <m:r>
              <m:rPr/>
              <m:t>β</m:t>
            </m:r>
          </m:e>
          <m:sub>
            <m:r>
              <m:rPr/>
              <m:t>4</m:t>
            </m:r>
          </m:sub>
        </m:sSub>
        <m:sSub>
          <m:sSubPr/>
          <m:e>
            <m:r>
              <m:rPr>
                <m:nor/>
                <m:sty m:val="p"/>
              </m:rPr>
              <w:rPr>
                <w:b w:val="0"/>
                <w:i w:val="0"/>
              </w:rPr>
              <m:t>Zone</m:t>
            </m:r>
          </m:e>
          <m:sub>
            <m:r>
              <m:rPr/>
              <m:t>it</m:t>
            </m:r>
          </m:sub>
        </m:sSub>
        <m:r>
          <m:rPr>
            <m:sty m:val="p"/>
          </m:rPr>
          <m:t>+</m:t>
        </m:r>
        <m:nary>
          <m:naryPr>
            <m:chr m:val="∑"/>
            <m:limLoc m:val="undOvr"/>
          </m:naryPr>
          <m:sub>
            <m:r>
              <m:rPr/>
              <m:t>j</m:t>
            </m:r>
            <m:r>
              <m:rPr>
                <m:sty m:val="p"/>
              </m:rPr>
              <m:t>=</m:t>
            </m:r>
            <m:r>
              <m:rPr/>
              <m:t>1</m:t>
            </m:r>
          </m:sub>
          <m:sup>
            <m:r>
              <m:rPr/>
              <m:t>J</m:t>
            </m:r>
          </m:sup>
          <m:e>
            <m:sSub>
              <m:sSubPr/>
              <m:e>
                <m:r>
                  <m:rPr/>
                  <m:t>δ</m:t>
                </m:r>
              </m:e>
              <m:sub>
                <m:r>
                  <m:rPr/>
                  <m:t>j</m:t>
                </m:r>
              </m:sub>
            </m:sSub>
          </m:e>
        </m:nary>
        <m:sSub>
          <m:sSubPr/>
          <m:e>
            <m:r>
              <m:rPr>
                <m:nor/>
                <m:sty m:val="p"/>
              </m:rPr>
              <w:rPr>
                <w:b w:val="0"/>
                <w:i w:val="0"/>
              </w:rPr>
              <m:t>Industry</m:t>
            </m:r>
          </m:e>
          <m:sub>
            <m:r>
              <m:rPr/>
              <m:t>j</m:t>
            </m:r>
          </m:sub>
        </m:sSub>
        <m:r>
          <m:rPr>
            <m:sty m:val="p"/>
          </m:rPr>
          <m:t>+</m:t>
        </m:r>
        <m:nary>
          <m:naryPr>
            <m:chr m:val="∑"/>
            <m:limLoc m:val="undOvr"/>
          </m:naryPr>
          <m:sub>
            <m:r>
              <m:rPr/>
              <m:t>t</m:t>
            </m:r>
            <m:r>
              <m:rPr>
                <m:sty m:val="p"/>
              </m:rPr>
              <m:t>=</m:t>
            </m:r>
            <m:r>
              <m:rPr/>
              <m:t>1</m:t>
            </m:r>
          </m:sub>
          <m:sup>
            <m:r>
              <m:rPr/>
              <m:t>T</m:t>
            </m:r>
          </m:sup>
          <m:e>
            <m:sSub>
              <m:sSubPr/>
              <m:e>
                <m:r>
                  <m:rPr/>
                  <m:t>γ</m:t>
                </m:r>
              </m:e>
              <m:sub>
                <m:r>
                  <m:rPr/>
                  <m:t>t</m:t>
                </m:r>
              </m:sub>
            </m:sSub>
          </m:e>
        </m:nary>
        <m:sSub>
          <m:sSubPr/>
          <m:e>
            <m:r>
              <m:rPr>
                <m:nor/>
                <m:sty m:val="p"/>
              </m:rPr>
              <w:rPr>
                <w:b w:val="0"/>
                <w:i w:val="0"/>
              </w:rPr>
              <m:t>Year</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3</w:t>
      </w:r>
      <w:r>
        <w:rPr>
          <w:rFonts w:ascii="宋体" w:hAnsi="宋体" w:eastAsia="宋体"/>
          <w:sz w:val="21"/>
        </w:rPr>
        <w:t>)</w:t>
      </w:r>
    </w:p>
    <w:p w14:paraId="444BBB8B">
      <w:pPr>
        <w:spacing w:before="0" w:after="0" w:line="312" w:lineRule="auto"/>
        <w:ind w:firstLine="420"/>
        <w:jc w:val="both"/>
      </w:pPr>
      <w:r>
        <w:rPr>
          <w:rFonts w:hint="eastAsia" w:ascii="Times New Roman" w:hAnsi="Times New Roman" w:eastAsia="宋体"/>
          <w:b w:val="0"/>
          <w:sz w:val="21"/>
        </w:rPr>
        <w:t>其中，</w:t>
      </w:r>
      <m:oMath>
        <m:r>
          <m:rPr>
            <m:sty m:val="p"/>
          </m:rPr>
          <m:t>ln</m:t>
        </m:r>
        <m:sSub>
          <m:sSubPr/>
          <m:e>
            <m:r>
              <m:rPr>
                <m:nor/>
                <m:sty m:val="p"/>
              </m:rPr>
              <w:rPr>
                <w:b w:val="0"/>
                <w:i w:val="0"/>
              </w:rPr>
              <m:t>Salary</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表示第</w:t>
      </w:r>
      <w:r>
        <w:rPr>
          <w:rFonts w:ascii="Times New Roman" w:hAnsi="Times New Roman" w:eastAsia="宋体"/>
          <w:b w:val="0"/>
          <w:sz w:val="21"/>
        </w:rPr>
        <w:t xml:space="preserve"> </w:t>
      </w:r>
      <m:oMath>
        <m:r>
          <m:rPr/>
          <m:t>i</m:t>
        </m:r>
      </m:oMath>
      <w:r>
        <w:rPr>
          <w:rFonts w:ascii="Times New Roman" w:hAnsi="Times New Roman" w:eastAsia="宋体"/>
          <w:b w:val="0"/>
          <w:sz w:val="21"/>
        </w:rPr>
        <w:t xml:space="preserve"> </w:t>
      </w:r>
      <w:r>
        <w:rPr>
          <w:rFonts w:hint="eastAsia" w:ascii="Times New Roman" w:hAnsi="Times New Roman" w:eastAsia="宋体"/>
          <w:b w:val="0"/>
          <w:sz w:val="21"/>
        </w:rPr>
        <w:t>家公司第</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年高管前三名薪酬总额的对数值，</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为随机扰动项。残差序列</w:t>
      </w:r>
      <w:r>
        <w:rPr>
          <w:rFonts w:ascii="Times New Roman" w:hAnsi="Times New Roman" w:eastAsia="宋体"/>
          <w:b w:val="0"/>
          <w:sz w:val="21"/>
        </w:rPr>
        <w:t xml:space="preserve"> </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直接作为超额薪酬的代理变量，即</w:t>
      </w:r>
      <w:r>
        <w:rPr>
          <w:rFonts w:ascii="Times New Roman" w:hAnsi="Times New Roman" w:eastAsia="宋体"/>
          <w:b w:val="0"/>
          <w:sz w:val="21"/>
        </w:rPr>
        <w:t xml:space="preserve"> </w:t>
      </w:r>
      <m:oMath>
        <m:sSub>
          <m:sSubPr/>
          <m:e>
            <m:r>
              <m:rPr>
                <m:nor/>
                <m:sty m:val="p"/>
              </m:rPr>
              <w:rPr>
                <w:b w:val="0"/>
                <w:i w:val="0"/>
              </w:rPr>
              <m:t>Overpay</m:t>
            </m:r>
          </m:e>
          <m:sub>
            <m:r>
              <m:rPr/>
              <m:t>it</m:t>
            </m:r>
          </m:sub>
        </m:sSub>
        <m:r>
          <m:rPr>
            <m:sty m:val="p"/>
          </m:rPr>
          <m:t>≡</m:t>
        </m:r>
        <m:sSub>
          <m:sSubPr/>
          <m:e>
            <m:r>
              <m:rPr/>
              <m:t>ε</m:t>
            </m:r>
          </m:e>
          <m:sub>
            <m:r>
              <m:rPr/>
              <m:t>it</m:t>
            </m:r>
          </m:sub>
        </m:sSub>
      </m:oMath>
      <w:r>
        <w:rPr>
          <w:rFonts w:hint="eastAsia" w:ascii="Times New Roman" w:hAnsi="Times New Roman" w:eastAsia="宋体"/>
          <w:b w:val="0"/>
          <w:sz w:val="21"/>
        </w:rPr>
        <w:t>，正值表示实际薪酬高于基准状态，负值则相反。</w:t>
      </w:r>
    </w:p>
    <w:p w14:paraId="437B703F">
      <w:pPr>
        <w:spacing w:before="0" w:after="0" w:line="312" w:lineRule="auto"/>
        <w:ind w:firstLine="420"/>
        <w:jc w:val="both"/>
      </w:pPr>
      <w:r>
        <w:rPr>
          <w:rFonts w:hint="eastAsia" w:ascii="Times New Roman" w:hAnsi="Times New Roman" w:eastAsia="宋体"/>
          <w:b w:val="0"/>
          <w:sz w:val="21"/>
        </w:rPr>
        <w:t>该模型的任务仅是生成超额薪酬变量，不直接回答财政补贴命题。因此，式（3）更强调对正常薪酬决定因素的覆盖，后续模型才在这一残差口径上讨论补贴强度差异。</w:t>
      </w:r>
    </w:p>
    <w:bookmarkEnd w:id="42"/>
    <w:p w14:paraId="49A70D0F">
      <w:pPr>
        <w:pStyle w:val="28"/>
        <w:spacing w:before="0" w:after="0" w:line="312" w:lineRule="auto"/>
        <w:ind w:firstLine="420"/>
        <w:jc w:val="left"/>
      </w:pPr>
      <w:bookmarkStart w:id="47" w:name="基准回归模型"/>
      <w:r>
        <w:rPr>
          <w:rFonts w:ascii="Times New Roman" w:hAnsi="Times New Roman" w:eastAsia="宋体"/>
          <w:b w:val="0"/>
          <w:sz w:val="24"/>
        </w:rPr>
        <w:t xml:space="preserve">3.4.2 </w:t>
      </w:r>
      <w:r>
        <w:rPr>
          <w:rFonts w:hint="eastAsia" w:ascii="Times New Roman" w:hAnsi="Times New Roman" w:eastAsia="宋体"/>
          <w:b w:val="0"/>
          <w:sz w:val="24"/>
        </w:rPr>
        <w:t>基准回归模型</w:t>
      </w:r>
    </w:p>
    <w:p w14:paraId="1992D0FB">
      <w:pPr>
        <w:spacing w:before="0" w:after="0" w:line="312" w:lineRule="auto"/>
        <w:ind w:firstLine="420"/>
        <w:jc w:val="both"/>
      </w:pPr>
      <w:r>
        <w:rPr>
          <w:rFonts w:hint="eastAsia" w:ascii="Times New Roman" w:hAnsi="Times New Roman" w:eastAsia="宋体"/>
          <w:b w:val="0"/>
          <w:sz w:val="21"/>
        </w:rPr>
        <w:t>基准回归阶段以超额薪酬（Overpay）为被解释变量，将滞后一期财政补贴强度（</w:t>
      </w:r>
      <m:oMath>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oMath>
      <w:r>
        <w:rPr>
          <w:rFonts w:hint="eastAsia" w:ascii="Times New Roman" w:hAnsi="Times New Roman" w:eastAsia="宋体"/>
          <w:b w:val="0"/>
          <w:sz w:val="21"/>
        </w:rPr>
        <w:t>）作为核心解释变量，并加入企业层面控制变量、公司固定效应和年份固定效应：</w:t>
      </w:r>
    </w:p>
    <w:p w14:paraId="6049F21B">
      <w:pPr>
        <w:tabs>
          <w:tab w:val="right" w:pos="8617"/>
        </w:tabs>
        <w:spacing w:before="0" w:after="0" w:line="312" w:lineRule="auto"/>
        <w:ind w:firstLine="0"/>
        <w:jc w:val="center"/>
      </w:pPr>
      <m:oMath>
        <m:sSub>
          <m:sSubPr/>
          <m:e>
            <m:r>
              <m:rPr>
                <m:nor/>
                <m:sty m:val="p"/>
              </m:rPr>
              <w:rPr>
                <w:b w:val="0"/>
                <w:i w:val="0"/>
              </w:rPr>
              <m:t>Overpay</m:t>
            </m:r>
          </m:e>
          <m:sub>
            <m:r>
              <m:rPr/>
              <m:t>it</m:t>
            </m:r>
          </m:sub>
        </m:sSub>
        <m:r>
          <m:rPr>
            <m:sty m:val="p"/>
          </m:rPr>
          <m:t>=</m:t>
        </m:r>
        <m:r>
          <m:rPr/>
          <m:t>α</m:t>
        </m:r>
        <m:r>
          <m:rPr>
            <m:sty m:val="p"/>
          </m:rPr>
          <m:t>+</m:t>
        </m:r>
        <m:sSub>
          <m:sSubPr/>
          <m:e>
            <m:r>
              <m:rPr/>
              <m:t>β</m:t>
            </m:r>
          </m:e>
          <m:sub>
            <m:r>
              <m:rPr/>
              <m:t>1</m:t>
            </m:r>
          </m:sub>
        </m:sSub>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r>
          <m:rPr>
            <m:sty m:val="p"/>
          </m:rPr>
          <m:t>+</m:t>
        </m:r>
        <m:sSub>
          <m:sSubPr/>
          <m:e>
            <m:r>
              <m:rPr/>
              <m:t>β</m:t>
            </m:r>
          </m:e>
          <m:sub>
            <m:r>
              <m:rPr/>
              <m:t>2</m:t>
            </m:r>
          </m:sub>
        </m:sSub>
        <m:sSub>
          <m:sSubPr/>
          <m:e>
            <m:r>
              <m:rPr>
                <m:nor/>
                <m:sty m:val="p"/>
              </m:rPr>
              <w:rPr>
                <w:b w:val="0"/>
                <w:i w:val="0"/>
              </w:rPr>
              <m:t>Roa</m:t>
            </m:r>
          </m:e>
          <m:sub>
            <m:r>
              <m:rPr/>
              <m:t>it</m:t>
            </m:r>
          </m:sub>
        </m:sSub>
        <m:r>
          <m:rPr>
            <m:sty m:val="p"/>
          </m:rPr>
          <m:t>+</m:t>
        </m:r>
        <m:sSub>
          <m:sSubPr/>
          <m:e>
            <m:r>
              <m:rPr/>
              <m:t>β</m:t>
            </m:r>
          </m:e>
          <m:sub>
            <m:r>
              <m:rPr/>
              <m:t>3</m:t>
            </m:r>
          </m:sub>
        </m:sSub>
        <m:sSub>
          <m:sSubPr/>
          <m:e>
            <m:r>
              <m:rPr>
                <m:nor/>
                <m:sty m:val="p"/>
              </m:rPr>
              <w:rPr>
                <w:b w:val="0"/>
                <w:i w:val="0"/>
              </w:rPr>
              <m:t>Lever</m:t>
            </m:r>
          </m:e>
          <m:sub>
            <m:r>
              <m:rPr/>
              <m:t>it</m:t>
            </m:r>
          </m:sub>
        </m:sSub>
        <m:r>
          <m:rPr>
            <m:sty m:val="p"/>
          </m:rPr>
          <m:t>+</m:t>
        </m:r>
        <m:sSub>
          <m:sSubPr/>
          <m:e>
            <m:r>
              <m:rPr/>
              <m:t>β</m:t>
            </m:r>
          </m:e>
          <m:sub>
            <m:r>
              <m:rPr/>
              <m:t>4</m:t>
            </m:r>
          </m:sub>
        </m:sSub>
        <m:sSub>
          <m:sSubPr/>
          <m:e>
            <m:r>
              <m:rPr>
                <m:nor/>
                <m:sty m:val="p"/>
              </m:rPr>
              <w:rPr>
                <w:b w:val="0"/>
                <w:i w:val="0"/>
              </w:rPr>
              <m:t>Top1</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4</w:t>
      </w:r>
      <w:r>
        <w:rPr>
          <w:rFonts w:ascii="宋体" w:hAnsi="宋体" w:eastAsia="宋体"/>
          <w:sz w:val="21"/>
        </w:rPr>
        <w:t>)</w:t>
      </w:r>
    </w:p>
    <w:p w14:paraId="5E03E8AE">
      <w:pPr>
        <w:spacing w:before="0" w:after="0" w:line="312" w:lineRule="auto"/>
        <w:ind w:firstLine="420"/>
        <w:jc w:val="both"/>
      </w:pPr>
      <w:r>
        <w:rPr>
          <w:rFonts w:hint="eastAsia" w:ascii="Times New Roman" w:hAnsi="Times New Roman" w:eastAsia="宋体"/>
          <w:b w:val="0"/>
          <w:sz w:val="21"/>
        </w:rPr>
        <w:t>这里的</w:t>
      </w:r>
      <w:r>
        <w:rPr>
          <w:rFonts w:ascii="Times New Roman" w:hAnsi="Times New Roman" w:eastAsia="宋体"/>
          <w:b w:val="0"/>
          <w:sz w:val="21"/>
        </w:rPr>
        <w:t xml:space="preserve"> </w:t>
      </w:r>
      <m:oMath>
        <m:sSub>
          <m:sSubPr/>
          <m:e>
            <m:r>
              <m:rPr/>
              <m:t>μ</m:t>
            </m:r>
          </m:e>
          <m:sub>
            <m:r>
              <m:rPr/>
              <m:t>i</m:t>
            </m:r>
          </m:sub>
        </m:sSub>
      </m:oMath>
      <w:r>
        <w:rPr>
          <w:rFonts w:ascii="Times New Roman" w:hAnsi="Times New Roman" w:eastAsia="宋体"/>
          <w:b w:val="0"/>
          <w:sz w:val="21"/>
        </w:rPr>
        <w:t xml:space="preserve"> </w:t>
      </w:r>
      <w:r>
        <w:rPr>
          <w:rFonts w:hint="eastAsia" w:ascii="Times New Roman" w:hAnsi="Times New Roman" w:eastAsia="宋体"/>
          <w:b w:val="0"/>
          <w:sz w:val="21"/>
        </w:rPr>
        <w:t>表示公司固定效应，</w:t>
      </w:r>
      <m:oMath>
        <m:sSub>
          <m:sSubPr/>
          <m:e>
            <m:r>
              <m:rPr/>
              <m:t>λ</m:t>
            </m:r>
          </m:e>
          <m:sub>
            <m:r>
              <m:rPr/>
              <m:t>t</m:t>
            </m:r>
          </m:sub>
        </m:sSub>
      </m:oMath>
      <w:r>
        <w:rPr>
          <w:rFonts w:ascii="Times New Roman" w:hAnsi="Times New Roman" w:eastAsia="宋体"/>
          <w:b w:val="0"/>
          <w:sz w:val="21"/>
        </w:rPr>
        <w:t xml:space="preserve"> </w:t>
      </w:r>
      <w:r>
        <w:rPr>
          <w:rFonts w:hint="eastAsia" w:ascii="Times New Roman" w:hAnsi="Times New Roman" w:eastAsia="宋体"/>
          <w:b w:val="0"/>
          <w:sz w:val="21"/>
        </w:rPr>
        <w:t>表示年份固定效应。应当留意，式（4）并不是在全部公司年度上估计，而是只在“上一年补助金额大于0”的公司年度上估计，所以最关注的是</w:t>
      </w:r>
      <w:r>
        <w:rPr>
          <w:rFonts w:ascii="Times New Roman" w:hAnsi="Times New Roman" w:eastAsia="宋体"/>
          <w:b w:val="0"/>
          <w:sz w:val="21"/>
        </w:rPr>
        <w:t xml:space="preserve"> </w:t>
      </w:r>
      <m:oMath>
        <m:sSub>
          <m:sSubPr/>
          <m:e>
            <m:r>
              <m:rPr/>
              <m:t>β</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的方向、大小及其统计显著性：如果</w:t>
      </w:r>
      <w:r>
        <w:rPr>
          <w:rFonts w:ascii="Times New Roman" w:hAnsi="Times New Roman" w:eastAsia="宋体"/>
          <w:b w:val="0"/>
          <w:sz w:val="21"/>
        </w:rPr>
        <w:t xml:space="preserve"> </w:t>
      </w:r>
      <m:oMath>
        <m:sSub>
          <m:sSubPr/>
          <m:e>
            <m:acc>
              <m:accPr/>
              <m:e>
                <m:r>
                  <m:rPr/>
                  <m:t>β</m:t>
                </m:r>
              </m:e>
            </m:acc>
          </m:e>
          <m:sub>
            <m:r>
              <m:rPr/>
              <m:t>1</m:t>
            </m:r>
          </m:sub>
        </m:sSub>
        <m:r>
          <m:rPr>
            <m:sty m:val="p"/>
          </m:rPr>
          <m:t>&gt;</m:t>
        </m:r>
        <m:r>
          <m:rPr/>
          <m:t>0</m:t>
        </m:r>
      </m:oMath>
      <w:r>
        <w:rPr>
          <w:rFonts w:ascii="Times New Roman" w:hAnsi="Times New Roman" w:eastAsia="宋体"/>
          <w:b w:val="0"/>
          <w:sz w:val="21"/>
        </w:rPr>
        <w:t xml:space="preserve"> </w:t>
      </w:r>
      <w:r>
        <w:rPr>
          <w:rFonts w:hint="eastAsia" w:ascii="Times New Roman" w:hAnsi="Times New Roman" w:eastAsia="宋体"/>
          <w:b w:val="0"/>
          <w:sz w:val="21"/>
        </w:rPr>
        <w:t>且统计显著，就说明在控制公司层面稳定差异和年度共同冲击之后，已获补贴企业内部的补贴强度差异仍与更高的超额薪酬相伴随。核心解释变量使用滞后一期补助，是为了尽量把时间顺序固定为“补贴在前、薪酬在后”，以减轻同期反向因果带来的干扰。与第一阶段相比，这里的控制变量更聚焦于盈利表现、债务约束和外部监督三个会直接牵动薪酬契约合理性与寻租空间的维度。此外，式（3）采用行业与年份固定效应以利用跨企业的横截面差异构造薪酬基准，式（4）则采用公司与年份固定效应以利用同一企业内的时间变化来识别补贴强度与超额薪酬的关联；Overpay</w:t>
      </w:r>
      <w:r>
        <w:rPr>
          <w:rFonts w:ascii="Times New Roman" w:hAnsi="Times New Roman" w:eastAsia="宋体"/>
          <w:b w:val="0"/>
          <w:sz w:val="21"/>
        </w:rPr>
        <w:t xml:space="preserve"> </w:t>
      </w:r>
      <w:r>
        <w:rPr>
          <w:rFonts w:hint="eastAsia" w:ascii="Times New Roman" w:hAnsi="Times New Roman" w:eastAsia="宋体"/>
          <w:b w:val="0"/>
          <w:sz w:val="21"/>
        </w:rPr>
        <w:t>残差中仍包含的公司层面稳定异质性会被式（4）中的公司固定效应进一步吸收，两阶段固定效应设定各司其职，不构成口径冲突。</w:t>
      </w:r>
    </w:p>
    <w:bookmarkEnd w:id="43"/>
    <w:p w14:paraId="251949F9">
      <w:pPr>
        <w:pStyle w:val="28"/>
        <w:spacing w:before="0" w:after="0" w:line="312" w:lineRule="auto"/>
        <w:ind w:firstLine="420"/>
        <w:jc w:val="left"/>
      </w:pPr>
      <w:bookmarkStart w:id="48" w:name="选择偏差校正与识别边界检验"/>
      <w:r>
        <w:rPr>
          <w:rFonts w:ascii="Times New Roman" w:hAnsi="Times New Roman" w:eastAsia="宋体"/>
          <w:b w:val="0"/>
          <w:sz w:val="24"/>
        </w:rPr>
        <w:t xml:space="preserve">3.4.3 </w:t>
      </w:r>
      <w:r>
        <w:rPr>
          <w:rFonts w:hint="eastAsia" w:ascii="Times New Roman" w:hAnsi="Times New Roman" w:eastAsia="宋体"/>
          <w:b w:val="0"/>
          <w:sz w:val="24"/>
        </w:rPr>
        <w:t>选择偏差校正与识别边界检验</w:t>
      </w:r>
    </w:p>
    <w:p w14:paraId="2DD38111">
      <w:pPr>
        <w:spacing w:before="0" w:after="0" w:line="312" w:lineRule="auto"/>
        <w:ind w:firstLine="420"/>
        <w:jc w:val="both"/>
      </w:pPr>
      <w:r>
        <w:rPr>
          <w:rFonts w:hint="eastAsia" w:ascii="Times New Roman" w:hAnsi="Times New Roman" w:eastAsia="宋体"/>
          <w:b w:val="0"/>
          <w:sz w:val="21"/>
        </w:rPr>
        <w:t>考虑到基准回归聚焦于“已获补贴企业内部的强度差异”，这一设定面临两类更直接的识别挑战。第一类是样本选择：只有进入正补助样本的公司年度才会出现在基准回归里，因此更容易拿到补贴的企业也往往更容易支付较高薪酬。第二类是时变遗漏变量：即使都已进入正补助样本，不同企业的补贴强度变化仍会与行业景气、政府扶持倾向或高管资源协调空间同步波动。</w:t>
      </w:r>
    </w:p>
    <w:p w14:paraId="715D036F">
      <w:pPr>
        <w:spacing w:before="0" w:after="0" w:line="312" w:lineRule="auto"/>
        <w:ind w:firstLine="420"/>
        <w:jc w:val="both"/>
      </w:pPr>
      <w:r>
        <w:rPr>
          <w:rFonts w:hint="eastAsia" w:ascii="Times New Roman" w:hAnsi="Times New Roman" w:eastAsia="宋体"/>
          <w:b w:val="0"/>
          <w:sz w:val="21"/>
        </w:rPr>
        <w:t>与传统工具变量相比，Heckman</w:t>
      </w:r>
      <w:r>
        <w:rPr>
          <w:rFonts w:ascii="Times New Roman" w:hAnsi="Times New Roman" w:eastAsia="宋体"/>
          <w:b w:val="0"/>
          <w:sz w:val="21"/>
        </w:rPr>
        <w:t xml:space="preserve"> </w:t>
      </w:r>
      <w:r>
        <w:rPr>
          <w:rFonts w:hint="eastAsia" w:ascii="Times New Roman" w:hAnsi="Times New Roman" w:eastAsia="宋体"/>
          <w:b w:val="0"/>
          <w:sz w:val="21"/>
        </w:rPr>
        <w:t>两步法更直接对应本文新的基准样本设计。第一步以</w:t>
      </w:r>
      <w:r>
        <w:rPr>
          <w:rFonts w:ascii="Times New Roman" w:hAnsi="Times New Roman" w:eastAsia="宋体"/>
          <w:b w:val="0"/>
          <w:sz w:val="21"/>
        </w:rPr>
        <w:t xml:space="preserve"> lnSubsidy_pos_l1 </w:t>
      </w:r>
      <w:r>
        <w:rPr>
          <w:rFonts w:hint="eastAsia" w:ascii="Times New Roman" w:hAnsi="Times New Roman" w:eastAsia="宋体"/>
          <w:b w:val="0"/>
          <w:sz w:val="21"/>
        </w:rPr>
        <w:t>是否可观测构造选择方程，检验哪些公司年度更容易进入“已获补贴样本”；第二步将逆米尔斯比率纳入公司和年份固定效应回归，以判断基准回归中的正向系数是否主要由样本选择偏差驱动。</w:t>
      </w:r>
    </w:p>
    <w:p w14:paraId="7E0C1959">
      <w:pPr>
        <w:spacing w:before="0" w:after="0" w:line="312" w:lineRule="auto"/>
        <w:ind w:firstLine="420"/>
        <w:jc w:val="both"/>
      </w:pPr>
      <w:r>
        <w:rPr>
          <w:rFonts w:hint="eastAsia" w:ascii="Times New Roman" w:hAnsi="Times New Roman" w:eastAsia="宋体"/>
          <w:b w:val="0"/>
          <w:sz w:val="21"/>
        </w:rPr>
        <w:t>传统留一法工具变量仍作为诊断项统一重跑，包括“同城同年其他企业平均补助”“同行业同年其他企业平均补助”以及“同行业同年排除本省平均补助</w:t>
      </w:r>
      <w:r>
        <w:rPr>
          <w:rFonts w:ascii="Times New Roman" w:hAnsi="Times New Roman" w:eastAsia="宋体"/>
          <w:b w:val="0"/>
          <w:sz w:val="21"/>
        </w:rPr>
        <w:t xml:space="preserve"> + </w:t>
      </w:r>
      <w:r>
        <w:rPr>
          <w:rFonts w:hint="eastAsia" w:ascii="Times New Roman" w:hAnsi="Times New Roman" w:eastAsia="宋体"/>
          <w:b w:val="0"/>
          <w:sz w:val="21"/>
        </w:rPr>
        <w:t>同省同行业同年排除本市平均补助”等</w:t>
      </w:r>
      <w:r>
        <w:rPr>
          <w:rFonts w:ascii="Times New Roman" w:hAnsi="Times New Roman" w:eastAsia="宋体"/>
          <w:b w:val="0"/>
          <w:sz w:val="21"/>
        </w:rPr>
        <w:t xml:space="preserve"> FE-2SLS </w:t>
      </w:r>
      <w:r>
        <w:rPr>
          <w:rFonts w:hint="eastAsia" w:ascii="Times New Roman" w:hAnsi="Times New Roman" w:eastAsia="宋体"/>
          <w:b w:val="0"/>
          <w:sz w:val="21"/>
        </w:rPr>
        <w:t>规格。但这部分不再承担正文主识别功能：若一阶段整体偏弱、二阶段方向明显不稳，仅据此判断当前结论对外生识别仍较敏感，而不将其写入正文主表。因此，正文更重视与新基准样本直接对应的选择偏差校正、事件动态检验和更严格固定效应设定。</w:t>
      </w:r>
    </w:p>
    <w:p w14:paraId="6513C91A">
      <w:pPr>
        <w:spacing w:before="0" w:after="0" w:line="312" w:lineRule="auto"/>
        <w:ind w:firstLine="420"/>
        <w:jc w:val="both"/>
      </w:pPr>
      <w:r>
        <w:rPr>
          <w:rFonts w:hint="eastAsia" w:ascii="Times New Roman" w:hAnsi="Times New Roman" w:eastAsia="宋体"/>
          <w:b w:val="0"/>
          <w:sz w:val="21"/>
        </w:rPr>
        <w:t>此外，还补充实施两类辅助诊断。第一类是事件动态检验：以“上一年补助金额首次进入正补助样本上四分位区间”作为高补贴事件，考察事件发生前后超额薪酬的动态变化，并重点检验事件前是否已存在可辨识的预趋势。第二类是更严格的“公司固定效应</w:t>
      </w:r>
      <w:r>
        <w:rPr>
          <w:rFonts w:ascii="Times New Roman" w:hAnsi="Times New Roman" w:eastAsia="宋体"/>
          <w:b w:val="0"/>
          <w:sz w:val="21"/>
        </w:rPr>
        <w:t xml:space="preserve"> + </w:t>
      </w:r>
      <w:r>
        <w:rPr>
          <w:rFonts w:hint="eastAsia" w:ascii="Times New Roman" w:hAnsi="Times New Roman" w:eastAsia="宋体"/>
          <w:b w:val="0"/>
          <w:sz w:val="21"/>
        </w:rPr>
        <w:t>行业×年份固定效应”基准回归设定，用于检验主估计是否只是来自行业年度景气波动。上述检验都用于刻画识别边界和动态伴随关系，不被解释为严格含义上的因果估计。</w:t>
      </w:r>
    </w:p>
    <w:bookmarkEnd w:id="45"/>
    <w:p w14:paraId="1DCC9C4A">
      <w:pPr>
        <w:pStyle w:val="28"/>
        <w:spacing w:before="0" w:after="0" w:line="312" w:lineRule="auto"/>
        <w:ind w:firstLine="420"/>
        <w:jc w:val="left"/>
      </w:pPr>
      <w:bookmarkStart w:id="49" w:name="基于管理层权力的中介检验"/>
      <w:r>
        <w:rPr>
          <w:rFonts w:ascii="Times New Roman" w:hAnsi="Times New Roman" w:eastAsia="宋体"/>
          <w:b w:val="0"/>
          <w:sz w:val="24"/>
        </w:rPr>
        <w:t xml:space="preserve">3.4.4 </w:t>
      </w:r>
      <w:r>
        <w:rPr>
          <w:rFonts w:hint="eastAsia" w:ascii="Times New Roman" w:hAnsi="Times New Roman" w:eastAsia="宋体"/>
          <w:b w:val="0"/>
          <w:sz w:val="24"/>
        </w:rPr>
        <w:t>基于管理层权力的中介检验</w:t>
      </w:r>
    </w:p>
    <w:p w14:paraId="41CF25A6">
      <w:pPr>
        <w:spacing w:before="0" w:after="0" w:line="312" w:lineRule="auto"/>
        <w:ind w:firstLine="420"/>
        <w:jc w:val="both"/>
      </w:pPr>
      <w:r>
        <w:rPr>
          <w:rFonts w:hint="eastAsia" w:ascii="Times New Roman" w:hAnsi="Times New Roman" w:eastAsia="宋体"/>
          <w:b w:val="0"/>
          <w:sz w:val="21"/>
        </w:rPr>
        <w:t>在完成基准回归与选择偏差校正之后，再按照Baron和Kenny（1986）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的经典中介梳理思路，检验财政补贴是否会经由管理层权力这一渠道影响超额薪酬。由于新的基准回归总效应已经显著，但中介效应仍需结合路径显著性、Bootstrap</w:t>
      </w:r>
      <w:r>
        <w:rPr>
          <w:rFonts w:ascii="Times New Roman" w:hAnsi="Times New Roman" w:eastAsia="宋体"/>
          <w:b w:val="0"/>
          <w:sz w:val="21"/>
        </w:rPr>
        <w:t xml:space="preserve"> </w:t>
      </w:r>
      <w:r>
        <w:rPr>
          <w:rFonts w:hint="eastAsia" w:ascii="Times New Roman" w:hAnsi="Times New Roman" w:eastAsia="宋体"/>
          <w:b w:val="0"/>
          <w:sz w:val="21"/>
        </w:rPr>
        <w:t>区间和测度局限综合判断，后文更强调“路径线索”和审慎解释，而不将其解释为严格的经典中介识别。正文采用</w:t>
      </w:r>
      <w:r>
        <w:rPr>
          <w:rFonts w:ascii="Times New Roman" w:hAnsi="Times New Roman" w:eastAsia="宋体"/>
          <w:b w:val="0"/>
          <w:sz w:val="21"/>
        </w:rPr>
        <w:t xml:space="preserve"> PCA </w:t>
      </w:r>
      <w:r>
        <w:rPr>
          <w:rFonts w:hint="eastAsia" w:ascii="Times New Roman" w:hAnsi="Times New Roman" w:eastAsia="宋体"/>
          <w:b w:val="0"/>
          <w:sz w:val="21"/>
        </w:rPr>
        <w:t>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Power。为与正文呈现顺序保持一致，中介检验模型依次编号为模型3至模型5，对应的三步回归如下：</w:t>
      </w:r>
    </w:p>
    <w:p w14:paraId="09B3FF9C">
      <w:pPr>
        <w:spacing w:before="0" w:after="0" w:line="312" w:lineRule="auto"/>
        <w:ind w:firstLine="420"/>
        <w:jc w:val="both"/>
      </w:pPr>
      <w:r>
        <w:rPr>
          <w:rFonts w:hint="eastAsia" w:ascii="Times New Roman" w:hAnsi="Times New Roman" w:eastAsia="宋体"/>
          <w:b w:val="0"/>
          <w:bCs/>
          <w:sz w:val="21"/>
        </w:rPr>
        <w:t>第一步</w:t>
      </w:r>
      <w:r>
        <w:rPr>
          <w:rFonts w:hint="eastAsia" w:ascii="Times New Roman" w:hAnsi="Times New Roman" w:eastAsia="宋体"/>
          <w:b w:val="0"/>
          <w:sz w:val="21"/>
        </w:rPr>
        <w:t>（估计总效应</w:t>
      </w:r>
      <w:r>
        <w:rPr>
          <w:rFonts w:ascii="Times New Roman" w:hAnsi="Times New Roman" w:eastAsia="宋体"/>
          <w:b w:val="0"/>
          <w:sz w:val="21"/>
        </w:rPr>
        <w:t xml:space="preserve"> </w:t>
      </w:r>
      <m:oMath>
        <m:r>
          <m:rPr/>
          <m:t>c</m:t>
        </m:r>
      </m:oMath>
      <w:r>
        <w:rPr>
          <w:rFonts w:hint="eastAsia" w:ascii="Times New Roman" w:hAnsi="Times New Roman" w:eastAsia="宋体"/>
          <w:b w:val="0"/>
          <w:sz w:val="21"/>
        </w:rPr>
        <w:t>，对应模型3）：</w:t>
      </w:r>
    </w:p>
    <w:p w14:paraId="740853F5">
      <w:pPr>
        <w:tabs>
          <w:tab w:val="right" w:pos="8617"/>
        </w:tabs>
        <w:spacing w:before="0" w:after="0" w:line="312" w:lineRule="auto"/>
        <w:ind w:firstLine="0"/>
        <w:jc w:val="center"/>
      </w:pPr>
      <m:oMath>
        <m:sSub>
          <m:sSubPr/>
          <m:e>
            <m:r>
              <m:rPr>
                <m:nor/>
                <m:sty m:val="p"/>
              </m:rPr>
              <w:rPr>
                <w:b w:val="0"/>
                <w:i w:val="0"/>
              </w:rPr>
              <m:t>Overpay</m:t>
            </m:r>
          </m:e>
          <m:sub>
            <m:r>
              <m:rPr/>
              <m:t>it</m:t>
            </m:r>
          </m:sub>
        </m:sSub>
        <m:r>
          <m:rPr>
            <m:sty m:val="p"/>
          </m:rPr>
          <m:t>=</m:t>
        </m:r>
        <m:r>
          <m:rPr/>
          <m:t>α</m:t>
        </m:r>
        <m:r>
          <m:rPr>
            <m:sty m:val="p"/>
          </m:rPr>
          <m:t>+</m:t>
        </m:r>
        <m:r>
          <m:rPr/>
          <m:t>c</m:t>
        </m:r>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5</w:t>
      </w:r>
      <w:r>
        <w:rPr>
          <w:rFonts w:ascii="宋体" w:hAnsi="宋体" w:eastAsia="宋体"/>
          <w:sz w:val="21"/>
        </w:rPr>
        <w:t>)</w:t>
      </w:r>
    </w:p>
    <w:p w14:paraId="1B35338A">
      <w:pPr>
        <w:spacing w:before="0" w:after="0" w:line="312" w:lineRule="auto"/>
        <w:ind w:firstLine="420"/>
        <w:jc w:val="both"/>
      </w:pPr>
      <w:r>
        <w:rPr>
          <w:rFonts w:hint="eastAsia" w:ascii="Times New Roman" w:hAnsi="Times New Roman" w:eastAsia="宋体"/>
          <w:b w:val="0"/>
          <w:bCs/>
          <w:sz w:val="21"/>
        </w:rPr>
        <w:t>第二步</w:t>
      </w:r>
      <w:r>
        <w:rPr>
          <w:rFonts w:hint="eastAsia" w:ascii="Times New Roman" w:hAnsi="Times New Roman" w:eastAsia="宋体"/>
          <w:b w:val="0"/>
          <w:sz w:val="21"/>
        </w:rPr>
        <w:t>（估计路径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，补贴与权力的联系，对应模型4）：</w:t>
      </w:r>
    </w:p>
    <w:p w14:paraId="5551E546">
      <w:pPr>
        <w:tabs>
          <w:tab w:val="right" w:pos="8617"/>
        </w:tabs>
        <w:spacing w:before="0" w:after="0" w:line="312" w:lineRule="auto"/>
        <w:ind w:firstLine="0"/>
        <w:jc w:val="center"/>
      </w:pPr>
      <m:oMath>
        <m:sSub>
          <m:sSubPr/>
          <m:e>
            <m:r>
              <m:rPr>
                <m:nor/>
                <m:sty m:val="p"/>
              </m:rPr>
              <w:rPr>
                <w:b w:val="0"/>
                <w:i w:val="0"/>
              </w:rPr>
              <m:t>Power</m:t>
            </m:r>
          </m:e>
          <m:sub>
            <m:r>
              <m:rPr/>
              <m:t>it</m:t>
            </m:r>
          </m:sub>
        </m:sSub>
        <m:r>
          <m:rPr>
            <m:sty m:val="p"/>
          </m:rPr>
          <m:t>=</m:t>
        </m:r>
        <m:r>
          <m:rPr/>
          <m:t>α</m:t>
        </m:r>
        <m:r>
          <m:rPr>
            <m:sty m:val="p"/>
          </m:rPr>
          <m:t>+</m:t>
        </m:r>
        <m:r>
          <m:rPr/>
          <m:t>a</m:t>
        </m:r>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6</w:t>
      </w:r>
      <w:r>
        <w:rPr>
          <w:rFonts w:ascii="宋体" w:hAnsi="宋体" w:eastAsia="宋体"/>
          <w:sz w:val="21"/>
        </w:rPr>
        <w:t>)</w:t>
      </w:r>
    </w:p>
    <w:p w14:paraId="3D7B67C9">
      <w:pPr>
        <w:spacing w:before="0" w:after="0" w:line="312" w:lineRule="auto"/>
        <w:ind w:firstLine="420"/>
        <w:jc w:val="both"/>
      </w:pPr>
      <w:r>
        <w:rPr>
          <w:rFonts w:hint="eastAsia" w:ascii="Times New Roman" w:hAnsi="Times New Roman" w:eastAsia="宋体"/>
          <w:b w:val="0"/>
          <w:bCs/>
          <w:sz w:val="21"/>
        </w:rPr>
        <w:t>第三步</w:t>
      </w:r>
      <w:r>
        <w:rPr>
          <w:rFonts w:hint="eastAsia" w:ascii="Times New Roman" w:hAnsi="Times New Roman" w:eastAsia="宋体"/>
          <w:b w:val="0"/>
          <w:sz w:val="21"/>
        </w:rPr>
        <w:t>（同时纳入补贴和权力，估计控制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后的补贴系数</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与路径</w:t>
      </w:r>
      <w:r>
        <w:rPr>
          <w:rFonts w:ascii="Times New Roman" w:hAnsi="Times New Roman" w:eastAsia="宋体"/>
          <w:b w:val="0"/>
          <w:sz w:val="21"/>
        </w:rPr>
        <w:t xml:space="preserve"> </w:t>
      </w:r>
      <m:oMath>
        <m:r>
          <m:rPr/>
          <m:t>b</m:t>
        </m:r>
      </m:oMath>
      <w:r>
        <w:rPr>
          <w:rFonts w:hint="eastAsia" w:ascii="Times New Roman" w:hAnsi="Times New Roman" w:eastAsia="宋体"/>
          <w:b w:val="0"/>
          <w:sz w:val="21"/>
        </w:rPr>
        <w:t>，对应模型5）：</w:t>
      </w:r>
    </w:p>
    <w:p w14:paraId="05991F20">
      <w:pPr>
        <w:tabs>
          <w:tab w:val="right" w:pos="8617"/>
        </w:tabs>
        <w:spacing w:before="0" w:after="0" w:line="312" w:lineRule="auto"/>
        <w:ind w:firstLine="0"/>
        <w:jc w:val="center"/>
      </w:pPr>
      <m:oMath>
        <m:sSub>
          <m:sSubPr/>
          <m:e>
            <m:r>
              <m:rPr>
                <m:nor/>
                <m:sty m:val="p"/>
              </m:rPr>
              <w:rPr>
                <w:b w:val="0"/>
                <w:i w:val="0"/>
              </w:rPr>
              <m:t>Overpay</m:t>
            </m:r>
          </m:e>
          <m:sub>
            <m:r>
              <m:rPr/>
              <m:t>it</m:t>
            </m:r>
          </m:sub>
        </m:sSub>
        <m:r>
          <m:rPr>
            <m:sty m:val="p"/>
          </m:rPr>
          <m:t>=</m:t>
        </m:r>
        <m:r>
          <m:rPr/>
          <m:t>α</m:t>
        </m:r>
        <m:r>
          <m:rPr>
            <m:sty m:val="p"/>
          </m:rPr>
          <m:t>+</m:t>
        </m:r>
        <m:sSup>
          <m:sSupPr/>
          <m:e>
            <m:r>
              <m:rPr/>
              <m:t>c</m:t>
            </m:r>
          </m:e>
          <m:sup>
            <m:r>
              <m:rPr>
                <m:sty m:val="p"/>
              </m:rPr>
              <m:t>′</m:t>
            </m:r>
          </m:sup>
        </m:sSup>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r>
          <m:rPr>
            <m:sty m:val="p"/>
          </m:rPr>
          <m:t>+</m:t>
        </m:r>
        <m:r>
          <m:rPr/>
          <m:t>b</m:t>
        </m:r>
        <m:r>
          <m:rPr>
            <m:sty m:val="p"/>
          </m:rPr>
          <m:t>⋅</m:t>
        </m:r>
        <m:sSub>
          <m:sSubPr/>
          <m:e>
            <m:r>
              <m:rPr>
                <m:nor/>
                <m:sty m:val="p"/>
              </m:rPr>
              <w:rPr>
                <w:b w:val="0"/>
                <w:i w:val="0"/>
              </w:rPr>
              <m:t>Power</m:t>
            </m:r>
          </m:e>
          <m:sub>
            <m:r>
              <m:rPr/>
              <m:t>it</m:t>
            </m:r>
          </m:sub>
        </m:sSub>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7</w:t>
      </w:r>
      <w:r>
        <w:rPr>
          <w:rFonts w:ascii="宋体" w:hAnsi="宋体" w:eastAsia="宋体"/>
          <w:sz w:val="21"/>
        </w:rPr>
        <w:t>)</w:t>
      </w:r>
    </w:p>
    <w:p w14:paraId="4930E76E">
      <w:pPr>
        <w:spacing w:before="0" w:after="0" w:line="312" w:lineRule="auto"/>
        <w:ind w:firstLine="420"/>
        <w:jc w:val="both"/>
      </w:pPr>
      <w:r>
        <w:rPr>
          <w:rFonts w:hint="eastAsia" w:ascii="Times New Roman" w:hAnsi="Times New Roman" w:eastAsia="宋体"/>
          <w:b w:val="0"/>
          <w:sz w:val="21"/>
        </w:rPr>
        <w:t>其中，模型3对应统一样本上的总效应检验，模型4对应路径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，模型5另外给出路径</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与控制</w:t>
      </w:r>
      <w:r>
        <w:rPr>
          <w:rFonts w:ascii="Times New Roman" w:hAnsi="Times New Roman" w:eastAsia="宋体"/>
          <w:b w:val="0"/>
          <w:sz w:val="21"/>
        </w:rPr>
        <w:t xml:space="preserve"> Power </w:t>
      </w:r>
      <w:r>
        <w:rPr>
          <w:rFonts w:hint="eastAsia" w:ascii="Times New Roman" w:hAnsi="Times New Roman" w:eastAsia="宋体"/>
          <w:b w:val="0"/>
          <w:sz w:val="21"/>
        </w:rPr>
        <w:t>后的直接效应</w:t>
      </w:r>
      <w:r>
        <w:rPr>
          <w:rFonts w:ascii="Times New Roman" w:hAnsi="Times New Roman" w:eastAsia="宋体"/>
          <w:b w:val="0"/>
          <w:sz w:val="21"/>
        </w:rPr>
        <w:t xml:space="preserve"> </w:t>
      </w:r>
      <m:oMath>
        <m:sSup>
          <m:sSupPr/>
          <m:e>
            <m:r>
              <m:rPr/>
              <m:t>c</m:t>
            </m:r>
          </m:e>
          <m:sup>
            <m:r>
              <m:rPr>
                <m:sty m:val="p"/>
              </m:rPr>
              <m:t>′</m:t>
            </m:r>
          </m:sup>
        </m:sSup>
      </m:oMath>
      <w:r>
        <w:rPr>
          <w:rFonts w:hint="eastAsia" w:ascii="Times New Roman" w:hAnsi="Times New Roman" w:eastAsia="宋体"/>
          <w:b w:val="0"/>
          <w:sz w:val="21"/>
        </w:rPr>
        <w:t>；</w:t>
      </w:r>
      <m:oMath>
        <m:sSub>
          <m:sSubPr/>
          <m:e>
            <m:r>
              <m:rPr>
                <m:sty m:val="bi"/>
              </m:rPr>
              <m:t>X</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为控制变量向量。间接效应记为</w:t>
      </w:r>
      <w:r>
        <w:rPr>
          <w:rFonts w:ascii="Times New Roman" w:hAnsi="Times New Roman" w:eastAsia="宋体"/>
          <w:b w:val="0"/>
          <w:sz w:val="21"/>
        </w:rPr>
        <w:t xml:space="preserve"> </w:t>
      </w:r>
      <m:oMath>
        <m:r>
          <m:rPr/>
          <m:t>a</m:t>
        </m:r>
        <m:r>
          <m:rPr>
            <m:sty m:val="p"/>
          </m:rPr>
          <m:t>×</m:t>
        </m:r>
        <m:r>
          <m:rPr/>
          <m:t>b</m:t>
        </m:r>
      </m:oMath>
      <w:r>
        <w:rPr>
          <w:rFonts w:hint="eastAsia" w:ascii="Times New Roman" w:hAnsi="Times New Roman" w:eastAsia="宋体"/>
          <w:b w:val="0"/>
          <w:sz w:val="21"/>
        </w:rPr>
        <w:t>，Sobel</w:t>
      </w:r>
      <w:r>
        <w:rPr>
          <w:rFonts w:ascii="Times New Roman" w:hAnsi="Times New Roman" w:eastAsia="宋体"/>
          <w:b w:val="0"/>
          <w:sz w:val="21"/>
        </w:rPr>
        <w:t xml:space="preserve"> </w:t>
      </w:r>
      <w:r>
        <w:rPr>
          <w:rFonts w:hint="eastAsia" w:ascii="Times New Roman" w:hAnsi="Times New Roman" w:eastAsia="宋体"/>
          <w:b w:val="0"/>
          <w:sz w:val="21"/>
        </w:rPr>
        <w:t>检验统计量为：</w:t>
      </w:r>
    </w:p>
    <w:p w14:paraId="649835EA">
      <w:pPr>
        <w:tabs>
          <w:tab w:val="right" w:pos="8617"/>
        </w:tabs>
        <w:spacing w:before="0" w:after="0" w:line="312" w:lineRule="auto"/>
        <w:ind w:firstLine="0"/>
        <w:jc w:val="center"/>
      </w:pPr>
      <m:oMath>
        <m:sSub>
          <m:sSubPr/>
          <m:e>
            <m:r>
              <m:rPr/>
              <m:t>z</m:t>
            </m:r>
          </m:e>
          <m:sub>
            <m:r>
              <m:rPr>
                <m:nor/>
                <m:sty m:val="p"/>
              </m:rPr>
              <w:rPr>
                <w:b w:val="0"/>
                <w:i w:val="0"/>
              </w:rPr>
              <m:t>Sobel</m:t>
            </m:r>
          </m:sub>
        </m:sSub>
        <m:r>
          <m:rPr>
            <m:sty m:val="p"/>
          </m:rPr>
          <m:t>=</m:t>
        </m:r>
        <m:f>
          <m:fPr/>
          <m:num>
            <m:r>
              <m:rPr/>
              <m:t>a</m:t>
            </m:r>
            <m:r>
              <m:rPr>
                <m:sty m:val="p"/>
              </m:rPr>
              <m:t>×</m:t>
            </m:r>
            <m:r>
              <m:rPr/>
              <m:t>b</m:t>
            </m:r>
          </m:num>
          <m:den>
            <m:rad>
              <m:radPr>
                <m:degHide m:val="1"/>
              </m:radPr>
              <m:deg/>
              <m:e>
                <m:sSup>
                  <m:sSupPr/>
                  <m:e>
                    <m:r>
                      <m:rPr/>
                      <m:t>b</m:t>
                    </m:r>
                  </m:e>
                  <m:sup>
                    <m:r>
                      <m:rPr/>
                      <m:t>2</m:t>
                    </m:r>
                  </m:sup>
                </m:sSup>
                <m:sSubSup>
                  <m:sSubSupPr/>
                  <m:e>
                    <m:r>
                      <m:rPr/>
                      <m:t>s</m:t>
                    </m:r>
                  </m:e>
                  <m:sub>
                    <m:r>
                      <m:rPr/>
                      <m:t>a</m:t>
                    </m:r>
                  </m:sub>
                  <m:sup>
                    <m:r>
                      <m:rPr/>
                      <m:t>2</m:t>
                    </m:r>
                  </m:sup>
                </m:sSubSup>
                <m:r>
                  <m:rPr>
                    <m:sty m:val="p"/>
                  </m:rPr>
                  <m:t>+</m:t>
                </m:r>
                <m:sSup>
                  <m:sSupPr/>
                  <m:e>
                    <m:r>
                      <m:rPr/>
                      <m:t>a</m:t>
                    </m:r>
                  </m:e>
                  <m:sup>
                    <m:r>
                      <m:rPr/>
                      <m:t>2</m:t>
                    </m:r>
                  </m:sup>
                </m:sSup>
                <m:sSubSup>
                  <m:sSubSupPr/>
                  <m:e>
                    <m:r>
                      <m:rPr/>
                      <m:t>s</m:t>
                    </m:r>
                  </m:e>
                  <m:sub>
                    <m:r>
                      <m:rPr/>
                      <m:t>b</m:t>
                    </m:r>
                  </m:sub>
                  <m:sup>
                    <m:r>
                      <m:rPr/>
                      <m:t>2</m:t>
                    </m:r>
                  </m:sup>
                </m:sSubSup>
              </m:e>
            </m:rad>
          </m:den>
        </m:f>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8</w:t>
      </w:r>
      <w:r>
        <w:rPr>
          <w:rFonts w:ascii="宋体" w:hAnsi="宋体" w:eastAsia="宋体"/>
          <w:sz w:val="21"/>
        </w:rPr>
        <w:t>)</w:t>
      </w:r>
    </w:p>
    <w:p w14:paraId="76410C07">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s</m:t>
            </m:r>
          </m:e>
          <m:sub>
            <m:r>
              <m:rPr/>
              <m:t>a</m:t>
            </m:r>
          </m:sub>
        </m:sSub>
      </m:oMath>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w:t>
      </w:r>
      <m:oMath>
        <m:sSub>
          <m:sSubPr/>
          <m:e>
            <m:r>
              <m:rPr/>
              <m:t>s</m:t>
            </m:r>
          </m:e>
          <m:sub>
            <m:r>
              <m:rPr/>
              <m:t>b</m:t>
            </m:r>
          </m:sub>
        </m:sSub>
      </m:oMath>
      <w:r>
        <w:rPr>
          <w:rFonts w:ascii="Times New Roman" w:hAnsi="Times New Roman" w:eastAsia="宋体"/>
          <w:b w:val="0"/>
          <w:sz w:val="21"/>
        </w:rPr>
        <w:t xml:space="preserve"> </w:t>
      </w:r>
      <w:r>
        <w:rPr>
          <w:rFonts w:hint="eastAsia" w:ascii="Times New Roman" w:hAnsi="Times New Roman" w:eastAsia="宋体"/>
          <w:b w:val="0"/>
          <w:sz w:val="21"/>
        </w:rPr>
        <w:t>分别是路径系数</w:t>
      </w:r>
      <w:r>
        <w:rPr>
          <w:rFonts w:ascii="Times New Roman" w:hAnsi="Times New Roman" w:eastAsia="宋体"/>
          <w:b w:val="0"/>
          <w:sz w:val="21"/>
        </w:rPr>
        <w:t xml:space="preserve"> </w:t>
      </w:r>
      <m:oMath>
        <m:r>
          <m:rPr/>
          <m:t>a</m:t>
        </m:r>
      </m:oMath>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的标准误。鉴于</w:t>
      </w:r>
      <w:r>
        <w:rPr>
          <w:rFonts w:ascii="Times New Roman" w:hAnsi="Times New Roman" w:eastAsia="宋体"/>
          <w:b w:val="0"/>
          <w:sz w:val="21"/>
        </w:rPr>
        <w:t xml:space="preserve"> Power </w:t>
      </w:r>
      <w:r>
        <w:rPr>
          <w:rFonts w:hint="eastAsia" w:ascii="Times New Roman" w:hAnsi="Times New Roman" w:eastAsia="宋体"/>
          <w:b w:val="0"/>
          <w:sz w:val="21"/>
        </w:rPr>
        <w:t>仅为经验性综合测度，正文判断更看重路径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、路径</w:t>
      </w:r>
      <w:r>
        <w:rPr>
          <w:rFonts w:ascii="Times New Roman" w:hAnsi="Times New Roman" w:eastAsia="宋体"/>
          <w:b w:val="0"/>
          <w:sz w:val="21"/>
        </w:rPr>
        <w:t xml:space="preserve"> </w:t>
      </w:r>
      <m:oMath>
        <m:r>
          <m:rPr/>
          <m:t>b</m:t>
        </m:r>
      </m:oMath>
      <w:r>
        <w:rPr>
          <w:rFonts w:hint="eastAsia" w:ascii="Times New Roman" w:hAnsi="Times New Roman" w:eastAsia="宋体"/>
          <w:b w:val="0"/>
          <w:sz w:val="21"/>
        </w:rPr>
        <w:t>、直接效应</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以及</w:t>
      </w:r>
      <w:r>
        <w:rPr>
          <w:rFonts w:ascii="Times New Roman" w:hAnsi="Times New Roman" w:eastAsia="宋体"/>
          <w:b w:val="0"/>
          <w:sz w:val="21"/>
        </w:rPr>
        <w:t xml:space="preserve"> Bootstrap </w:t>
      </w:r>
      <w:r>
        <w:rPr>
          <w:rFonts w:hint="eastAsia" w:ascii="Times New Roman" w:hAnsi="Times New Roman" w:eastAsia="宋体"/>
          <w:b w:val="0"/>
          <w:sz w:val="21"/>
        </w:rPr>
        <w:t>输出的组合证据，而不单凭单一路径系数作结论性判断。</w:t>
      </w:r>
    </w:p>
    <w:bookmarkEnd w:id="46"/>
    <w:bookmarkEnd w:id="47"/>
    <w:p w14:paraId="5E04FC4E">
      <w:pPr>
        <w:pStyle w:val="3"/>
        <w:spacing w:before="0" w:after="0" w:line="312" w:lineRule="auto"/>
        <w:ind w:firstLine="0"/>
        <w:jc w:val="left"/>
      </w:pPr>
      <w:bookmarkStart w:id="50" w:name="_TocAuto0015"/>
      <w:bookmarkStart w:id="51" w:name="机器学习方法"/>
      <w:r>
        <w:rPr>
          <w:rFonts w:ascii="Times New Roman" w:hAnsi="Times New Roman" w:eastAsia="黑体"/>
          <w:b w:val="0"/>
          <w:sz w:val="28"/>
        </w:rPr>
        <w:t xml:space="preserve">3.5 </w:t>
      </w:r>
      <w:r>
        <w:rPr>
          <w:rFonts w:hint="eastAsia" w:ascii="Times New Roman" w:hAnsi="Times New Roman" w:eastAsia="黑体"/>
          <w:b w:val="0"/>
          <w:sz w:val="28"/>
        </w:rPr>
        <w:t>机器学习方法</w:t>
      </w:r>
      <w:bookmarkEnd w:id="50"/>
    </w:p>
    <w:p w14:paraId="7C863561">
      <w:pPr>
        <w:pStyle w:val="28"/>
        <w:spacing w:before="0" w:after="0" w:line="312" w:lineRule="auto"/>
        <w:ind w:firstLine="420"/>
        <w:jc w:val="left"/>
      </w:pPr>
      <w:bookmarkStart w:id="52" w:name="样本划分预处理与验证安排"/>
      <w:r>
        <w:rPr>
          <w:rFonts w:ascii="Times New Roman" w:hAnsi="Times New Roman" w:eastAsia="宋体"/>
          <w:b w:val="0"/>
          <w:sz w:val="24"/>
        </w:rPr>
        <w:t xml:space="preserve">3.5.1 </w:t>
      </w:r>
      <w:r>
        <w:rPr>
          <w:rFonts w:hint="eastAsia" w:ascii="Times New Roman" w:hAnsi="Times New Roman" w:eastAsia="宋体"/>
          <w:b w:val="0"/>
          <w:sz w:val="24"/>
        </w:rPr>
        <w:t>样本划分、预处理与验证安排</w:t>
      </w:r>
    </w:p>
    <w:p w14:paraId="629DBAFB">
      <w:pPr>
        <w:spacing w:before="0" w:after="0" w:line="312" w:lineRule="auto"/>
        <w:ind w:firstLine="420"/>
        <w:jc w:val="both"/>
      </w:pPr>
      <w:r>
        <w:rPr>
          <w:rFonts w:hint="eastAsia" w:ascii="Times New Roman" w:hAnsi="Times New Roman" w:eastAsia="宋体"/>
          <w:b w:val="0"/>
          <w:sz w:val="21"/>
        </w:rPr>
        <w:t>机器学习部分围绕第四章的基准回归开展补充验证。为保持与第二阶段基准回归模型（模型2，式4）完全一致，本节仅纳入滞后一期正补助对数（lnSubsidy_pos_l1）、业绩（Roa）、财务杠杆（Lever）和第一大股东持股比例（Top1）四个变量，不再纳入管理层权力综合指标，也不额外加入地区变量、企业属性或其他扩展特征。需要说明的是，第一阶段基准薪酬模型（模型1，式3）使用的是</w:t>
      </w:r>
      <w:r>
        <w:rPr>
          <w:rFonts w:ascii="Times New Roman" w:hAnsi="Times New Roman" w:eastAsia="宋体"/>
          <w:b w:val="0"/>
          <w:sz w:val="21"/>
        </w:rPr>
        <w:t xml:space="preserve"> lnSale、Roa、IA、Zone </w:t>
      </w:r>
      <w:r>
        <w:rPr>
          <w:rFonts w:hint="eastAsia" w:ascii="Times New Roman" w:hAnsi="Times New Roman" w:eastAsia="宋体"/>
          <w:b w:val="0"/>
          <w:sz w:val="21"/>
        </w:rPr>
        <w:t>等变量来估计”合理薪酬基准”，其任务是构造被解释变量</w:t>
      </w:r>
      <w:r>
        <w:rPr>
          <w:rFonts w:ascii="Times New Roman" w:hAnsi="Times New Roman" w:eastAsia="宋体"/>
          <w:b w:val="0"/>
          <w:sz w:val="21"/>
        </w:rPr>
        <w:t xml:space="preserve"> </w:t>
      </w:r>
      <w:r>
        <w:rPr>
          <w:rFonts w:hint="eastAsia" w:ascii="Times New Roman" w:hAnsi="Times New Roman" w:eastAsia="宋体"/>
          <w:b w:val="0"/>
          <w:sz w:val="21"/>
        </w:rPr>
        <w:t>Overpay，与机器学习部分的验证目标不同；机器学习部分对应的是模型2中用于检验补贴强度效应的解释变量口径，两阶段变量设定的差异源于各自承担的拆解任务不同，并非前后矛盾。这样安排后，机器学习回答的是四个命题：一是财政补贴强度在树模型中的全局预测贡献是否仍位于前列。二是基于</w:t>
      </w:r>
      <w:r>
        <w:rPr>
          <w:rFonts w:ascii="Times New Roman" w:hAnsi="Times New Roman" w:eastAsia="宋体"/>
          <w:b w:val="0"/>
          <w:sz w:val="21"/>
        </w:rPr>
        <w:t xml:space="preserve"> SHAP </w:t>
      </w:r>
      <w:r>
        <w:rPr>
          <w:rFonts w:hint="eastAsia" w:ascii="Times New Roman" w:hAnsi="Times New Roman" w:eastAsia="宋体"/>
          <w:b w:val="0"/>
          <w:sz w:val="21"/>
        </w:rPr>
        <w:t>的边际贡献排序是否与随机森林的重要性结论一致。三是在正则化筛选条件下财政补贴变量是否会被压缩为0，且方向是否仍与</w:t>
      </w:r>
      <w:r>
        <w:rPr>
          <w:rFonts w:ascii="Times New Roman" w:hAnsi="Times New Roman" w:eastAsia="宋体"/>
          <w:b w:val="0"/>
          <w:sz w:val="21"/>
        </w:rPr>
        <w:t xml:space="preserve"> OLS </w:t>
      </w:r>
      <w:r>
        <w:rPr>
          <w:rFonts w:hint="eastAsia" w:ascii="Times New Roman" w:hAnsi="Times New Roman" w:eastAsia="宋体"/>
          <w:b w:val="0"/>
          <w:sz w:val="21"/>
        </w:rPr>
        <w:t>基准回归一致。四是在更灵活的树模型中，财政补贴的局部趋势是否仍表现为总体上升。</w:t>
      </w:r>
    </w:p>
    <w:p w14:paraId="775C5339">
      <w:pPr>
        <w:spacing w:before="0" w:after="0" w:line="312" w:lineRule="auto"/>
        <w:ind w:firstLine="420"/>
        <w:jc w:val="both"/>
      </w:pPr>
      <w:r>
        <w:rPr>
          <w:rFonts w:hint="eastAsia" w:ascii="Times New Roman" w:hAnsi="Times New Roman" w:eastAsia="宋体"/>
          <w:b w:val="0"/>
          <w:sz w:val="21"/>
        </w:rPr>
        <w:t>样本直接沿用基准回归的43,417个公司年度观测。样本按公司分组，利用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以8:2比例划分为建模样本（34,818条）和保留样本（8,599条），确保同一公司的全部年度观测只落在一端，避免同一公司跨期观测同时进入不同样本而夸大验证结论。输入特征共4个，即滞后一期正补助对数（lnSubsidy_pos_l1）、业绩（Roa）、财务杠杆（Lever）和第一大股东持股比例（Top1）。被解释变量仍为第四章基准回归使用的连续型超额薪酬（Overpay），以保证机器学习考察与基准回归对象保持一致。</w:t>
      </w:r>
    </w:p>
    <w:p w14:paraId="38D83416">
      <w:pPr>
        <w:spacing w:before="0" w:after="0" w:line="312" w:lineRule="auto"/>
        <w:ind w:firstLine="420"/>
        <w:jc w:val="both"/>
      </w:pPr>
      <w:r>
        <w:rPr>
          <w:rFonts w:hint="eastAsia" w:ascii="Times New Roman" w:hAnsi="Times New Roman" w:eastAsia="宋体"/>
          <w:b w:val="0"/>
          <w:sz w:val="21"/>
        </w:rPr>
        <w:t>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前都通过</w:t>
      </w:r>
      <w:r>
        <w:rPr>
          <w:rFonts w:ascii="Times New Roman" w:hAnsi="Times New Roman" w:eastAsia="宋体"/>
          <w:b w:val="0"/>
          <w:sz w:val="21"/>
        </w:rPr>
        <w:t xml:space="preserve"> StandardScaler </w:t>
      </w:r>
      <w:r>
        <w:rPr>
          <w:rFonts w:hint="eastAsia" w:ascii="Times New Roman" w:hAnsi="Times New Roman" w:eastAsia="宋体"/>
          <w:b w:val="0"/>
          <w:sz w:val="21"/>
        </w:rPr>
        <w:t>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GroupKFold，以避免同一公司的不同年份样本同时进入训练折和验证折。这里的交叉验证主要用于控制过拟合和稳定模型设定，并不构成论文的主结论依据；真正用于正文判断的，是随机森林的特征重要性、SHAP</w:t>
      </w:r>
      <w:r>
        <w:rPr>
          <w:rFonts w:ascii="Times New Roman" w:hAnsi="Times New Roman" w:eastAsia="宋体"/>
          <w:b w:val="0"/>
          <w:sz w:val="21"/>
        </w:rPr>
        <w:t xml:space="preserve"> </w:t>
      </w:r>
      <w:r>
        <w:rPr>
          <w:rFonts w:hint="eastAsia" w:ascii="Times New Roman" w:hAnsi="Times New Roman" w:eastAsia="宋体"/>
          <w:b w:val="0"/>
          <w:sz w:val="21"/>
        </w:rPr>
        <w:t>的平均绝对边际贡献、Lasso</w:t>
      </w:r>
      <w:r>
        <w:rPr>
          <w:rFonts w:ascii="Times New Roman" w:hAnsi="Times New Roman" w:eastAsia="宋体"/>
          <w:b w:val="0"/>
          <w:sz w:val="21"/>
        </w:rPr>
        <w:t xml:space="preserve"> </w:t>
      </w:r>
      <w:r>
        <w:rPr>
          <w:rFonts w:hint="eastAsia" w:ascii="Times New Roman" w:hAnsi="Times New Roman" w:eastAsia="宋体"/>
          <w:b w:val="0"/>
          <w:sz w:val="21"/>
        </w:rPr>
        <w:t>对财政补贴变量的保留情况及系数方向，以及</w:t>
      </w:r>
      <w:r>
        <w:rPr>
          <w:rFonts w:ascii="Times New Roman" w:hAnsi="Times New Roman" w:eastAsia="宋体"/>
          <w:b w:val="0"/>
          <w:sz w:val="21"/>
        </w:rPr>
        <w:t xml:space="preserve"> XGBoost </w:t>
      </w:r>
      <w:r>
        <w:rPr>
          <w:rFonts w:hint="eastAsia" w:ascii="Times New Roman" w:hAnsi="Times New Roman" w:eastAsia="宋体"/>
          <w:b w:val="0"/>
          <w:sz w:val="21"/>
        </w:rPr>
        <w:t>的重要性排序和部分依赖趋势。</w:t>
      </w:r>
    </w:p>
    <w:bookmarkEnd w:id="48"/>
    <w:p w14:paraId="5377CC08">
      <w:pPr>
        <w:pStyle w:val="28"/>
        <w:spacing w:before="0" w:after="0" w:line="312" w:lineRule="auto"/>
        <w:ind w:firstLine="420"/>
        <w:jc w:val="left"/>
      </w:pPr>
      <w:bookmarkStart w:id="53" w:name="随机森林方法"/>
      <w:r>
        <w:rPr>
          <w:rFonts w:ascii="Times New Roman" w:hAnsi="Times New Roman" w:eastAsia="宋体"/>
          <w:b w:val="0"/>
          <w:sz w:val="24"/>
        </w:rPr>
        <w:t xml:space="preserve">3.5.2 </w:t>
      </w:r>
      <w:r>
        <w:rPr>
          <w:rFonts w:hint="eastAsia" w:ascii="Times New Roman" w:hAnsi="Times New Roman" w:eastAsia="宋体"/>
          <w:b w:val="0"/>
          <w:sz w:val="24"/>
        </w:rPr>
        <w:t>随机森林方法</w:t>
      </w:r>
    </w:p>
    <w:p w14:paraId="78E48598">
      <w:pPr>
        <w:spacing w:before="0" w:after="0" w:line="312" w:lineRule="auto"/>
        <w:ind w:firstLine="420"/>
        <w:jc w:val="both"/>
      </w:pPr>
      <w:r>
        <w:rPr>
          <w:rFonts w:hint="eastAsia" w:ascii="Times New Roman" w:hAnsi="Times New Roman" w:eastAsia="宋体"/>
          <w:b w:val="0"/>
          <w:sz w:val="21"/>
        </w:rPr>
        <w:t>随机森林（Random</w:t>
      </w:r>
      <w:r>
        <w:rPr>
          <w:rFonts w:ascii="Times New Roman" w:hAnsi="Times New Roman" w:eastAsia="宋体"/>
          <w:b w:val="0"/>
          <w:sz w:val="21"/>
        </w:rPr>
        <w:t xml:space="preserve"> </w:t>
      </w:r>
      <w:r>
        <w:rPr>
          <w:rFonts w:hint="eastAsia" w:ascii="Times New Roman" w:hAnsi="Times New Roman" w:eastAsia="宋体"/>
          <w:b w:val="0"/>
          <w:sz w:val="21"/>
        </w:rPr>
        <w:t>Forest）是一种基于</w:t>
      </w:r>
      <w:r>
        <w:rPr>
          <w:rFonts w:ascii="Times New Roman" w:hAnsi="Times New Roman" w:eastAsia="宋体"/>
          <w:b w:val="0"/>
          <w:sz w:val="21"/>
        </w:rPr>
        <w:t xml:space="preserve"> </w:t>
      </w:r>
      <w:r>
        <w:rPr>
          <w:rFonts w:hint="eastAsia" w:ascii="Times New Roman" w:hAnsi="Times New Roman" w:eastAsia="宋体"/>
          <w:b w:val="0"/>
          <w:sz w:val="21"/>
        </w:rPr>
        <w:t>Bagging（Bootstrap</w:t>
      </w:r>
      <w:r>
        <w:rPr>
          <w:rFonts w:ascii="Times New Roman" w:hAnsi="Times New Roman" w:eastAsia="宋体"/>
          <w:b w:val="0"/>
          <w:sz w:val="21"/>
        </w:rPr>
        <w:t xml:space="preserve"> </w:t>
      </w:r>
      <w:r>
        <w:rPr>
          <w:rFonts w:hint="eastAsia" w:ascii="Times New Roman" w:hAnsi="Times New Roman" w:eastAsia="宋体"/>
          <w:b w:val="0"/>
          <w:sz w:val="21"/>
        </w:rPr>
        <w:t>Aggregating）思想的集成学习路径。其基本过程如下：对原始训练集</w:t>
      </w:r>
      <w:r>
        <w:rPr>
          <w:rFonts w:ascii="Times New Roman" w:hAnsi="Times New Roman" w:eastAsia="宋体"/>
          <w:b w:val="0"/>
          <w:sz w:val="21"/>
        </w:rPr>
        <w:t xml:space="preserve"> </w:t>
      </w:r>
      <m:oMath>
        <m:r>
          <m:rPr>
            <m:sty m:val="p"/>
          </m:rPr>
          <m:t>{(</m:t>
        </m:r>
        <m:sSub>
          <m:sSubPr/>
          <m:e>
            <m:r>
              <m:rPr>
                <m:sty m:val="bi"/>
              </m:rPr>
              <m:t>x</m:t>
            </m:r>
          </m:e>
          <m:sub>
            <m:r>
              <m:rPr/>
              <m:t>i</m:t>
            </m:r>
          </m:sub>
        </m:sSub>
        <m:r>
          <m:rPr>
            <m:sty m:val="p"/>
          </m:rPr>
          <m:t>,</m:t>
        </m:r>
        <m:sSub>
          <m:sSubPr/>
          <m:e>
            <m:r>
              <m:rPr/>
              <m:t>y</m:t>
            </m:r>
          </m:e>
          <m:sub>
            <m:r>
              <m:rPr/>
              <m:t>i</m:t>
            </m:r>
          </m:sub>
        </m:sSub>
        <m:r>
          <m:rPr>
            <m:sty m:val="p"/>
          </m:rPr>
          <m:t>)</m:t>
        </m:r>
        <m:sSubSup>
          <m:sSubSupPr/>
          <m:e>
            <m:r>
              <m:rPr>
                <m:sty m:val="p"/>
              </m:rPr>
              <m:t>}</m:t>
            </m:r>
          </m:e>
          <m:sub>
            <m:r>
              <m:rPr/>
              <m:t>i</m:t>
            </m:r>
            <m:r>
              <m:rPr>
                <m:sty m:val="p"/>
              </m:rPr>
              <m:t>=</m:t>
            </m:r>
            <m:r>
              <m:rPr/>
              <m:t>1</m:t>
            </m:r>
          </m:sub>
          <m:sup>
            <m:r>
              <m:rPr/>
              <m:t>n</m:t>
            </m:r>
          </m:sup>
        </m:sSubSup>
      </m:oMath>
      <w:r>
        <w:rPr>
          <w:rFonts w:ascii="Times New Roman" w:hAnsi="Times New Roman" w:eastAsia="宋体"/>
          <w:b w:val="0"/>
          <w:sz w:val="21"/>
        </w:rPr>
        <w:t xml:space="preserve"> </w:t>
      </w:r>
      <w:r>
        <w:rPr>
          <w:rFonts w:hint="eastAsia" w:ascii="Times New Roman" w:hAnsi="Times New Roman" w:eastAsia="宋体"/>
          <w:b w:val="0"/>
          <w:sz w:val="21"/>
        </w:rPr>
        <w:t>进行</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次有放回的自助抽样（Bootstrap），每次生成一个子样本</w:t>
      </w:r>
      <w:r>
        <w:rPr>
          <w:rFonts w:ascii="Times New Roman" w:hAnsi="Times New Roman" w:eastAsia="宋体"/>
          <w:b w:val="0"/>
          <w:sz w:val="21"/>
        </w:rPr>
        <w:t xml:space="preserve"> </w:t>
      </w:r>
      <m:oMath>
        <m:sSub>
          <m:sSubPr/>
          <m:e>
            <m:r>
              <m:rPr/>
              <m:t>D</m:t>
            </m:r>
          </m:e>
          <m:sub>
            <m:r>
              <m:rPr/>
              <m:t>b</m:t>
            </m:r>
          </m:sub>
        </m:sSub>
      </m:oMath>
      <w:r>
        <w:rPr>
          <w:rFonts w:hint="eastAsia" w:ascii="Times New Roman" w:hAnsi="Times New Roman" w:eastAsia="宋体"/>
          <w:b w:val="0"/>
          <w:sz w:val="21"/>
        </w:rPr>
        <w:t>；在每个子样本上训练一棵决策树</w:t>
      </w:r>
      <w:r>
        <w:rPr>
          <w:rFonts w:ascii="Times New Roman" w:hAnsi="Times New Roman" w:eastAsia="宋体"/>
          <w:b w:val="0"/>
          <w:sz w:val="21"/>
        </w:rPr>
        <w:t xml:space="preserve"> </w:t>
      </w:r>
      <m:oMath>
        <m:sSub>
          <m:sSubPr/>
          <m:e>
            <m:r>
              <m:rPr/>
              <m:t>h</m:t>
            </m:r>
          </m:e>
          <m:sub>
            <m:r>
              <m:rPr/>
              <m:t>b</m:t>
            </m:r>
          </m:sub>
        </m:sSub>
        <m:r>
          <m:rPr>
            <m:sty m:val="p"/>
          </m:rPr>
          <m:t>(</m:t>
        </m:r>
        <m:r>
          <m:rPr>
            <m:sty m:val="bi"/>
          </m:rPr>
          <m:t>x</m:t>
        </m:r>
        <m:r>
          <m:rPr>
            <m:sty m:val="p"/>
          </m:rPr>
          <m:t>)</m:t>
        </m:r>
      </m:oMath>
      <w:r>
        <w:rPr>
          <w:rFonts w:hint="eastAsia" w:ascii="Times New Roman" w:hAnsi="Times New Roman" w:eastAsia="宋体"/>
          <w:b w:val="0"/>
          <w:sz w:val="21"/>
        </w:rPr>
        <w:t>，且在每个节点分裂时仅从随机抽取的</w:t>
      </w:r>
      <w:r>
        <w:rPr>
          <w:rFonts w:ascii="Times New Roman" w:hAnsi="Times New Roman" w:eastAsia="宋体"/>
          <w:b w:val="0"/>
          <w:sz w:val="21"/>
        </w:rPr>
        <w:t xml:space="preserve"> </w:t>
      </w:r>
      <m:oMath>
        <m:r>
          <m:rPr/>
          <m:t>m</m:t>
        </m:r>
      </m:oMath>
      <w:r>
        <w:rPr>
          <w:rFonts w:ascii="Times New Roman" w:hAnsi="Times New Roman" w:eastAsia="宋体"/>
          <w:b w:val="0"/>
          <w:sz w:val="21"/>
        </w:rPr>
        <w:t xml:space="preserve"> </w:t>
      </w:r>
      <w:r>
        <w:rPr>
          <w:rFonts w:hint="eastAsia" w:ascii="Times New Roman" w:hAnsi="Times New Roman" w:eastAsia="宋体"/>
          <w:b w:val="0"/>
          <w:sz w:val="21"/>
        </w:rPr>
        <w:t>个候选特征中选取最优分裂变量（</w:t>
      </w:r>
      <m:oMath>
        <m:r>
          <m:rPr/>
          <m:t>m</m:t>
        </m:r>
      </m:oMath>
      <w:r>
        <w:rPr>
          <w:rFonts w:ascii="Times New Roman" w:hAnsi="Times New Roman" w:eastAsia="宋体"/>
          <w:b w:val="0"/>
          <w:sz w:val="21"/>
        </w:rPr>
        <w:t xml:space="preserve"> </w:t>
      </w:r>
      <w:r>
        <w:rPr>
          <w:rFonts w:hint="eastAsia" w:ascii="Times New Roman" w:hAnsi="Times New Roman" w:eastAsia="宋体"/>
          <w:b w:val="0"/>
          <w:sz w:val="21"/>
        </w:rPr>
        <w:t>通常取</w:t>
      </w:r>
      <w:r>
        <w:rPr>
          <w:rFonts w:ascii="Times New Roman" w:hAnsi="Times New Roman" w:eastAsia="宋体"/>
          <w:b w:val="0"/>
          <w:sz w:val="21"/>
        </w:rPr>
        <w:t xml:space="preserve"> </w:t>
      </w:r>
      <m:oMath>
        <m:r>
          <m:rPr>
            <m:sty m:val="p"/>
          </m:rPr>
          <m:t>⌊</m:t>
        </m:r>
        <m:r>
          <m:rPr/>
          <m:t>p</m:t>
        </m:r>
        <m:r>
          <m:rPr>
            <m:sty m:val="p"/>
          </m:rPr>
          <m:t>/</m:t>
        </m:r>
        <m:r>
          <m:rPr/>
          <m:t>3</m:t>
        </m:r>
        <m:r>
          <m:rPr>
            <m:sty m:val="p"/>
          </m:rPr>
          <m:t>⌋</m:t>
        </m:r>
      </m:oMath>
      <w:r>
        <w:rPr>
          <w:rFonts w:hint="eastAsia" w:ascii="Times New Roman" w:hAnsi="Times New Roman" w:eastAsia="宋体"/>
          <w:b w:val="0"/>
          <w:sz w:val="21"/>
        </w:rPr>
        <w:t>，</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为特征总数）。最终预测值为所有树的均值：</w:t>
      </w:r>
    </w:p>
    <w:p w14:paraId="7E464A7D">
      <w:pPr>
        <w:tabs>
          <w:tab w:val="right" w:pos="8617"/>
        </w:tabs>
        <w:spacing w:before="0" w:after="0" w:line="312" w:lineRule="auto"/>
        <w:ind w:firstLine="0"/>
        <w:jc w:val="center"/>
      </w:pPr>
      <m:oMath>
        <m:acc>
          <m:accPr/>
          <m:e>
            <m:r>
              <m:rPr/>
              <m:t>f</m:t>
            </m:r>
          </m:e>
        </m:acc>
        <m:r>
          <m:rPr>
            <m:sty m:val="p"/>
          </m:rPr>
          <m:t>(</m:t>
        </m:r>
        <m:r>
          <m:rPr>
            <m:sty m:val="bi"/>
          </m:rPr>
          <m:t>x</m:t>
        </m:r>
        <m:r>
          <m:rPr>
            <m:sty m:val="p"/>
          </m:rPr>
          <m:t>)=</m:t>
        </m:r>
        <m:f>
          <m:fPr/>
          <m:num>
            <m:r>
              <m:rPr/>
              <m:t>1</m:t>
            </m:r>
          </m:num>
          <m:den>
            <m:r>
              <m:rPr/>
              <m:t>B</m:t>
            </m:r>
          </m:den>
        </m:f>
        <m:nary>
          <m:naryPr>
            <m:chr m:val="∑"/>
            <m:limLoc m:val="undOvr"/>
          </m:naryPr>
          <m:sub>
            <m:r>
              <m:rPr/>
              <m:t>b</m:t>
            </m:r>
            <m:r>
              <m:rPr>
                <m:sty m:val="p"/>
              </m:rPr>
              <m:t>=</m:t>
            </m:r>
            <m:r>
              <m:rPr/>
              <m:t>1</m:t>
            </m:r>
          </m:sub>
          <m:sup>
            <m:r>
              <m:rPr/>
              <m:t>B</m:t>
            </m:r>
          </m:sup>
          <m:e>
            <m:sSub>
              <m:sSubPr/>
              <m:e>
                <m:r>
                  <m:rPr/>
                  <m:t>h</m:t>
                </m:r>
              </m:e>
              <m:sub>
                <m:r>
                  <m:rPr/>
                  <m:t>b</m:t>
                </m:r>
              </m:sub>
            </m:sSub>
          </m:e>
        </m:nary>
        <m:r>
          <m:rPr>
            <m:sty m:val="p"/>
          </m:rPr>
          <m:t>(</m:t>
        </m:r>
        <m:r>
          <m:rPr>
            <m:sty m:val="bi"/>
          </m:rPr>
          <m:t>x</m:t>
        </m:r>
        <m:r>
          <m:rPr>
            <m:sty m:val="p"/>
          </m:rPr>
          <m:t>)</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9</w:t>
      </w:r>
      <w:r>
        <w:rPr>
          <w:rFonts w:ascii="宋体" w:hAnsi="宋体" w:eastAsia="宋体"/>
          <w:sz w:val="21"/>
        </w:rPr>
        <w:t>)</w:t>
      </w:r>
    </w:p>
    <w:p w14:paraId="0988CD3B">
      <w:pPr>
        <w:spacing w:before="0" w:after="0" w:line="312" w:lineRule="auto"/>
        <w:ind w:firstLine="420"/>
        <w:jc w:val="both"/>
      </w:pPr>
      <w:r>
        <w:rPr>
          <w:rFonts w:hint="eastAsia" w:ascii="Times New Roman" w:hAnsi="Times New Roman" w:eastAsia="宋体"/>
          <w:b w:val="0"/>
          <w:sz w:val="21"/>
        </w:rPr>
        <w:t>决策树在每个节点上依据不纯度最小化原则选择最佳分裂。对于回归场景，常用均方误差（MSE）衡量节点不纯度。对于分类场景，则使用基尼不纯度（Gini</w:t>
      </w:r>
      <w:r>
        <w:rPr>
          <w:rFonts w:ascii="Times New Roman" w:hAnsi="Times New Roman" w:eastAsia="宋体"/>
          <w:b w:val="0"/>
          <w:sz w:val="21"/>
        </w:rPr>
        <w:t xml:space="preserve"> </w:t>
      </w:r>
      <w:r>
        <w:rPr>
          <w:rFonts w:hint="eastAsia" w:ascii="Times New Roman" w:hAnsi="Times New Roman" w:eastAsia="宋体"/>
          <w:b w:val="0"/>
          <w:sz w:val="21"/>
        </w:rPr>
        <w:t>Impurity）作为分裂准则，节点</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的基尼不纯度定义为：</w:t>
      </w:r>
    </w:p>
    <w:p w14:paraId="7B04E7E8">
      <w:pPr>
        <w:tabs>
          <w:tab w:val="right" w:pos="8617"/>
        </w:tabs>
        <w:spacing w:before="0" w:after="0" w:line="312" w:lineRule="auto"/>
        <w:ind w:firstLine="0"/>
        <w:jc w:val="center"/>
      </w:pPr>
      <m:oMath>
        <m:r>
          <m:rPr/>
          <m:t>G</m:t>
        </m:r>
        <m:r>
          <m:rPr>
            <m:sty m:val="p"/>
          </m:rPr>
          <m:t>(</m:t>
        </m:r>
        <m:r>
          <m:rPr/>
          <m:t>t</m:t>
        </m:r>
        <m:r>
          <m:rPr>
            <m:sty m:val="p"/>
          </m:rPr>
          <m:t>)=</m:t>
        </m:r>
        <m:r>
          <m:rPr/>
          <m:t>1</m:t>
        </m:r>
        <m:r>
          <m:rPr>
            <m:sty m:val="p"/>
          </m:rPr>
          <m:t>−</m:t>
        </m:r>
        <m:nary>
          <m:naryPr>
            <m:chr m:val="∑"/>
            <m:limLoc m:val="undOvr"/>
          </m:naryPr>
          <m:sub>
            <m:r>
              <m:rPr/>
              <m:t>k</m:t>
            </m:r>
            <m:r>
              <m:rPr>
                <m:sty m:val="p"/>
              </m:rPr>
              <m:t>=</m:t>
            </m:r>
            <m:r>
              <m:rPr/>
              <m:t>1</m:t>
            </m:r>
          </m:sub>
          <m:sup>
            <m:r>
              <m:rPr/>
              <m:t>K</m:t>
            </m:r>
          </m:sup>
          <m:e>
            <m:sSubSup>
              <m:sSubSupPr/>
              <m:e>
                <m:r>
                  <m:rPr/>
                  <m:t>p</m:t>
                </m:r>
              </m:e>
              <m:sub>
                <m:r>
                  <m:rPr/>
                  <m:t>k</m:t>
                </m:r>
              </m:sub>
              <m:sup>
                <m:r>
                  <m:rPr/>
                  <m:t>2</m:t>
                </m:r>
              </m:sup>
            </m:sSubSup>
          </m:e>
        </m:nary>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10</w:t>
      </w:r>
      <w:r>
        <w:rPr>
          <w:rFonts w:ascii="宋体" w:hAnsi="宋体" w:eastAsia="宋体"/>
          <w:sz w:val="21"/>
        </w:rPr>
        <w:t>)</w:t>
      </w:r>
    </w:p>
    <w:p w14:paraId="2286397F">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p</m:t>
            </m:r>
          </m:e>
          <m:sub>
            <m:r>
              <m:rPr/>
              <m:t>k</m:t>
            </m:r>
          </m:sub>
        </m:sSub>
      </m:oMath>
      <w:r>
        <w:rPr>
          <w:rFonts w:ascii="Times New Roman" w:hAnsi="Times New Roman" w:eastAsia="宋体"/>
          <w:b w:val="0"/>
          <w:sz w:val="21"/>
        </w:rPr>
        <w:t xml:space="preserve"> </w:t>
      </w:r>
      <w:r>
        <w:rPr>
          <w:rFonts w:hint="eastAsia" w:ascii="Times New Roman" w:hAnsi="Times New Roman" w:eastAsia="宋体"/>
          <w:b w:val="0"/>
          <w:sz w:val="21"/>
        </w:rPr>
        <w:t>为节点</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中第</w:t>
      </w:r>
      <w:r>
        <w:rPr>
          <w:rFonts w:ascii="Times New Roman" w:hAnsi="Times New Roman" w:eastAsia="宋体"/>
          <w:b w:val="0"/>
          <w:sz w:val="21"/>
        </w:rPr>
        <w:t xml:space="preserve"> </w:t>
      </w:r>
      <m:oMath>
        <m:r>
          <m:rPr/>
          <m:t>k</m:t>
        </m:r>
      </m:oMath>
      <w:r>
        <w:rPr>
          <w:rFonts w:ascii="Times New Roman" w:hAnsi="Times New Roman" w:eastAsia="宋体"/>
          <w:b w:val="0"/>
          <w:sz w:val="21"/>
        </w:rPr>
        <w:t xml:space="preserve"> </w:t>
      </w:r>
      <w:r>
        <w:rPr>
          <w:rFonts w:hint="eastAsia" w:ascii="Times New Roman" w:hAnsi="Times New Roman" w:eastAsia="宋体"/>
          <w:b w:val="0"/>
          <w:sz w:val="21"/>
        </w:rPr>
        <w:t>类样本的比例。特征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的全局重要性定义为该特征在所有树的所有节点上带来的加权不纯度下降之和：</w:t>
      </w:r>
    </w:p>
    <w:p w14:paraId="0635B5D7">
      <w:pPr>
        <w:tabs>
          <w:tab w:val="right" w:pos="8617"/>
        </w:tabs>
        <w:spacing w:before="0" w:after="0" w:line="312" w:lineRule="auto"/>
        <w:ind w:firstLine="0"/>
        <w:jc w:val="center"/>
      </w:pPr>
      <m:oMath>
        <m:r>
          <m:rPr>
            <m:nor/>
            <m:sty m:val="p"/>
          </m:rPr>
          <w:rPr>
            <w:b w:val="0"/>
            <w:i w:val="0"/>
          </w:rPr>
          <m:t>Imp</m:t>
        </m:r>
        <m:r>
          <m:rPr>
            <m:sty m:val="p"/>
          </m:rPr>
          <m:t>(</m:t>
        </m:r>
        <m:r>
          <m:rPr/>
          <m:t>j</m:t>
        </m:r>
        <m:r>
          <m:rPr>
            <m:sty m:val="p"/>
          </m:rPr>
          <m:t>)=</m:t>
        </m:r>
        <m:nary>
          <m:naryPr>
            <m:chr m:val="∑"/>
            <m:limLoc m:val="undOvr"/>
          </m:naryPr>
          <m:sub>
            <m:r>
              <m:rPr/>
              <m:t>b</m:t>
            </m:r>
            <m:r>
              <m:rPr>
                <m:sty m:val="p"/>
              </m:rPr>
              <m:t>=</m:t>
            </m:r>
            <m:r>
              <m:rPr/>
              <m:t>1</m:t>
            </m:r>
          </m:sub>
          <m:sup>
            <m:r>
              <m:rPr/>
              <m:t>B</m:t>
            </m:r>
          </m:sup>
          <m:e>
            <m:nary>
              <m:naryPr>
                <m:chr m:val="∑"/>
                <m:limLoc m:val="undOvr"/>
                <m:supHide m:val="1"/>
              </m:naryPr>
              <m:sub>
                <m:r>
                  <m:rPr/>
                  <m:t>t</m:t>
                </m:r>
                <m:r>
                  <m:rPr>
                    <m:sty m:val="p"/>
                  </m:rPr>
                  <m:t>∈</m:t>
                </m:r>
                <m:sSub>
                  <m:sSubPr/>
                  <m:e>
                    <m:r>
                      <m:rPr/>
                      <m:t>T</m:t>
                    </m:r>
                  </m:e>
                  <m:sub>
                    <m:r>
                      <m:rPr/>
                      <m:t>b</m:t>
                    </m:r>
                  </m:sub>
                </m:sSub>
              </m:sub>
              <m:sup>
                <m:r>
                  <m:rPr/>
                  <m:t>​</m:t>
                </m:r>
              </m:sup>
              <m:e>
                <m:r>
                  <m:rPr>
                    <m:sty m:val="p"/>
                    <m:scr m:val="double-struck"/>
                  </m:rPr>
                  <m:t>1</m:t>
                </m:r>
              </m:e>
            </m:nary>
          </m:e>
        </m:nary>
        <m:r>
          <m:rPr>
            <m:sty m:val="p"/>
          </m:rPr>
          <m:t>[</m:t>
        </m:r>
        <m:r>
          <m:rPr/>
          <m:t>v</m:t>
        </m:r>
        <m:r>
          <m:rPr>
            <m:sty m:val="p"/>
          </m:rPr>
          <m:t>(</m:t>
        </m:r>
        <m:r>
          <m:rPr/>
          <m:t>t</m:t>
        </m:r>
        <m:r>
          <m:rPr>
            <m:sty m:val="p"/>
          </m:rPr>
          <m:t>)=</m:t>
        </m:r>
        <m:r>
          <m:rPr/>
          <m:t>j</m:t>
        </m:r>
        <m:r>
          <m:rPr>
            <m:sty m:val="p"/>
          </m:rPr>
          <m:t>]⋅Δ</m:t>
        </m:r>
        <m:r>
          <m:rPr/>
          <m:t>G</m:t>
        </m:r>
        <m:r>
          <m:rPr>
            <m:sty m:val="p"/>
          </m:rPr>
          <m:t>(</m:t>
        </m:r>
        <m:r>
          <m:rPr/>
          <m:t>t</m:t>
        </m:r>
        <m:r>
          <m:rPr>
            <m:sty m:val="p"/>
          </m:rPr>
          <m:t>)</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11</w:t>
      </w:r>
      <w:r>
        <w:rPr>
          <w:rFonts w:ascii="宋体" w:hAnsi="宋体" w:eastAsia="宋体"/>
          <w:sz w:val="21"/>
        </w:rPr>
        <w:t>)</w:t>
      </w:r>
    </w:p>
    <w:p w14:paraId="492574C3">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T</m:t>
            </m:r>
          </m:e>
          <m:sub>
            <m:r>
              <m:rPr/>
              <m:t>b</m:t>
            </m:r>
          </m:sub>
        </m:sSub>
      </m:oMath>
      <w:r>
        <w:rPr>
          <w:rFonts w:ascii="Times New Roman" w:hAnsi="Times New Roman" w:eastAsia="宋体"/>
          <w:b w:val="0"/>
          <w:sz w:val="21"/>
        </w:rPr>
        <w:t xml:space="preserve"> </w:t>
      </w:r>
      <w:r>
        <w:rPr>
          <w:rFonts w:hint="eastAsia" w:ascii="Times New Roman" w:hAnsi="Times New Roman" w:eastAsia="宋体"/>
          <w:b w:val="0"/>
          <w:sz w:val="21"/>
        </w:rPr>
        <w:t>是第</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棵树的所有内部节点集合，</w:t>
      </w:r>
      <m:oMath>
        <m:r>
          <m:rPr/>
          <m:t>v</m:t>
        </m:r>
        <m:r>
          <m:rPr>
            <m:sty m:val="p"/>
          </m:rPr>
          <m:t>(</m:t>
        </m:r>
        <m:r>
          <m:rPr/>
          <m:t>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为节点</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的分裂变量，</w:t>
      </w:r>
      <m:oMath>
        <m:r>
          <m:rPr>
            <m:sty m:val="p"/>
          </m:rPr>
          <m:t>Δ</m:t>
        </m:r>
        <m:r>
          <m:rPr/>
          <m:t>G</m:t>
        </m:r>
        <m:r>
          <m:rPr>
            <m:sty m:val="p"/>
          </m:rPr>
          <m:t>(</m:t>
        </m:r>
        <m:r>
          <m:rPr/>
          <m:t>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为该节点分裂前后的不纯度下降值。</w:t>
      </w:r>
    </w:p>
    <w:p w14:paraId="4A5FAC81">
      <w:pPr>
        <w:spacing w:before="0" w:after="0" w:line="312" w:lineRule="auto"/>
        <w:ind w:firstLine="420"/>
        <w:jc w:val="both"/>
      </w:pPr>
      <w:r>
        <w:rPr>
          <w:rFonts w:hint="eastAsia" w:ascii="Times New Roman" w:hAnsi="Times New Roman" w:eastAsia="宋体"/>
          <w:b w:val="0"/>
          <w:sz w:val="21"/>
        </w:rPr>
        <w:t>与线性模型相比，随机森林无需预先设定变量之间的函数形式，能够自动刻画非线性关系和高阶交互。引入随机森林的目的并非把它当作新的主模型，而是观察在更灵活的函数形式下，财政补贴强度变量是否仍保有可辨识的信息含量。若</w:t>
      </w:r>
      <w:r>
        <w:rPr>
          <w:rFonts w:ascii="Times New Roman" w:hAnsi="Times New Roman" w:eastAsia="宋体"/>
          <w:b w:val="0"/>
          <w:sz w:val="21"/>
        </w:rPr>
        <w:t xml:space="preserve"> lnSubsidy_pos_l1 </w:t>
      </w:r>
      <w:r>
        <w:rPr>
          <w:rFonts w:hint="eastAsia" w:ascii="Times New Roman" w:hAnsi="Times New Roman" w:eastAsia="宋体"/>
          <w:b w:val="0"/>
          <w:sz w:val="21"/>
        </w:rPr>
        <w:t>在随机森林的重要性排序中仍处于前列，就说明它并非只在</w:t>
      </w:r>
      <w:r>
        <w:rPr>
          <w:rFonts w:ascii="Times New Roman" w:hAnsi="Times New Roman" w:eastAsia="宋体"/>
          <w:b w:val="0"/>
          <w:sz w:val="21"/>
        </w:rPr>
        <w:t xml:space="preserve"> OLS </w:t>
      </w:r>
      <w:r>
        <w:rPr>
          <w:rFonts w:hint="eastAsia" w:ascii="Times New Roman" w:hAnsi="Times New Roman" w:eastAsia="宋体"/>
          <w:b w:val="0"/>
          <w:sz w:val="21"/>
        </w:rPr>
        <w:t>回归中才显得”有用”，从而能够为基准回归中的核心解释变量地位提供补充证据。</w:t>
      </w:r>
    </w:p>
    <w:bookmarkEnd w:id="49"/>
    <w:p w14:paraId="2BC43694">
      <w:pPr>
        <w:pStyle w:val="28"/>
        <w:spacing w:before="0" w:after="0" w:line="312" w:lineRule="auto"/>
        <w:ind w:firstLine="420"/>
        <w:jc w:val="left"/>
      </w:pPr>
      <w:bookmarkStart w:id="54" w:name="shap值解释方法"/>
      <w:r>
        <w:rPr>
          <w:rFonts w:ascii="Times New Roman" w:hAnsi="Times New Roman" w:eastAsia="宋体"/>
          <w:b w:val="0"/>
          <w:sz w:val="24"/>
        </w:rPr>
        <w:t xml:space="preserve">3.5.3 </w:t>
      </w:r>
      <w:r>
        <w:rPr>
          <w:rFonts w:hint="eastAsia" w:ascii="Times New Roman" w:hAnsi="Times New Roman" w:eastAsia="宋体"/>
          <w:b w:val="0"/>
          <w:sz w:val="24"/>
        </w:rPr>
        <w:t>SHAP值解释方法</w:t>
      </w:r>
    </w:p>
    <w:p w14:paraId="7E5457F5">
      <w:pPr>
        <w:spacing w:before="0" w:after="0" w:line="312" w:lineRule="auto"/>
        <w:ind w:firstLine="420"/>
        <w:jc w:val="both"/>
      </w:pPr>
      <w:r>
        <w:rPr>
          <w:rFonts w:hint="eastAsia" w:ascii="Times New Roman" w:hAnsi="Times New Roman" w:eastAsia="宋体"/>
          <w:b w:val="0"/>
          <w:sz w:val="21"/>
        </w:rPr>
        <w:t>基于基尼不纯度下降得到的随机森林特征重要性，更适合回答”哪个变量对整体预测贡献更大”，但无法直接刻画变量对预测值的边际带动方向和强弱。为补足这一点，本文进一步引入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SHAP（SHapley</w:t>
      </w:r>
      <w:r>
        <w:rPr>
          <w:rFonts w:ascii="Times New Roman" w:hAnsi="Times New Roman" w:eastAsia="宋体"/>
          <w:b w:val="0"/>
          <w:sz w:val="21"/>
        </w:rPr>
        <w:t xml:space="preserve"> Additive </w:t>
      </w:r>
      <w:r>
        <w:rPr>
          <w:rFonts w:hint="eastAsia" w:ascii="Times New Roman" w:hAnsi="Times New Roman" w:eastAsia="宋体"/>
          <w:b w:val="0"/>
          <w:sz w:val="21"/>
        </w:rPr>
        <w:t>exPlanations）做法，对随机森林模型在保留样本上的预测值做解释。</w:t>
      </w:r>
    </w:p>
    <w:p w14:paraId="52FDEB2F">
      <w:pPr>
        <w:spacing w:before="0" w:after="0" w:line="312" w:lineRule="auto"/>
        <w:ind w:firstLine="420"/>
        <w:jc w:val="both"/>
      </w:pPr>
      <w:r>
        <w:rPr>
          <w:rFonts w:ascii="Times New Roman" w:hAnsi="Times New Roman" w:eastAsia="宋体"/>
          <w:b w:val="0"/>
          <w:sz w:val="21"/>
        </w:rPr>
        <w:t xml:space="preserve">SHAP </w:t>
      </w:r>
      <w:r>
        <w:rPr>
          <w:rFonts w:hint="eastAsia" w:ascii="Times New Roman" w:hAnsi="Times New Roman" w:eastAsia="宋体"/>
          <w:b w:val="0"/>
          <w:sz w:val="21"/>
        </w:rPr>
        <w:t>模型源于合作博弈论中的</w:t>
      </w:r>
      <w:r>
        <w:rPr>
          <w:rFonts w:ascii="Times New Roman" w:hAnsi="Times New Roman" w:eastAsia="宋体"/>
          <w:b w:val="0"/>
          <w:sz w:val="21"/>
        </w:rPr>
        <w:t xml:space="preserve"> Shapley </w:t>
      </w:r>
      <w:r>
        <w:rPr>
          <w:rFonts w:hint="eastAsia" w:ascii="Times New Roman" w:hAnsi="Times New Roman" w:eastAsia="宋体"/>
          <w:b w:val="0"/>
          <w:sz w:val="21"/>
        </w:rPr>
        <w:t>值。对于包含</w:t>
      </w:r>
      <w:r>
        <w:rPr>
          <w:rFonts w:ascii="Times New Roman" w:hAnsi="Times New Roman" w:eastAsia="宋体"/>
          <w:b w:val="0"/>
          <w:sz w:val="21"/>
        </w:rPr>
        <w:t xml:space="preserve"> </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个特征的模型</w:t>
      </w:r>
      <w:r>
        <w:rPr>
          <w:rFonts w:ascii="Times New Roman" w:hAnsi="Times New Roman" w:eastAsia="宋体"/>
          <w:b w:val="0"/>
          <w:sz w:val="21"/>
        </w:rPr>
        <w:t xml:space="preserve"> </w:t>
      </w:r>
      <m:oMath>
        <m:r>
          <m:rPr/>
          <m:t>f</m:t>
        </m:r>
      </m:oMath>
      <w:r>
        <w:rPr>
          <w:rFonts w:hint="eastAsia" w:ascii="Times New Roman" w:hAnsi="Times New Roman" w:eastAsia="宋体"/>
          <w:b w:val="0"/>
          <w:sz w:val="21"/>
        </w:rPr>
        <w:t>，特征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对第</w:t>
      </w:r>
      <w:r>
        <w:rPr>
          <w:rFonts w:ascii="Times New Roman" w:hAnsi="Times New Roman" w:eastAsia="宋体"/>
          <w:b w:val="0"/>
          <w:sz w:val="21"/>
        </w:rPr>
        <w:t xml:space="preserve"> </w:t>
      </w:r>
      <m:oMath>
        <m:r>
          <m:rPr/>
          <m:t>i</m:t>
        </m:r>
      </m:oMath>
      <w:r>
        <w:rPr>
          <w:rFonts w:ascii="Times New Roman" w:hAnsi="Times New Roman" w:eastAsia="宋体"/>
          <w:b w:val="0"/>
          <w:sz w:val="21"/>
        </w:rPr>
        <w:t xml:space="preserve"> </w:t>
      </w:r>
      <w:r>
        <w:rPr>
          <w:rFonts w:hint="eastAsia" w:ascii="Times New Roman" w:hAnsi="Times New Roman" w:eastAsia="宋体"/>
          <w:b w:val="0"/>
          <w:sz w:val="21"/>
        </w:rPr>
        <w:t>个样本预测值的</w:t>
      </w:r>
      <w:r>
        <w:rPr>
          <w:rFonts w:ascii="Times New Roman" w:hAnsi="Times New Roman" w:eastAsia="宋体"/>
          <w:b w:val="0"/>
          <w:sz w:val="21"/>
        </w:rPr>
        <w:t xml:space="preserve"> SHAP </w:t>
      </w:r>
      <w:r>
        <w:rPr>
          <w:rFonts w:hint="eastAsia" w:ascii="Times New Roman" w:hAnsi="Times New Roman" w:eastAsia="宋体"/>
          <w:b w:val="0"/>
          <w:sz w:val="21"/>
        </w:rPr>
        <w:t>值定义为：</w:t>
      </w:r>
    </w:p>
    <w:p w14:paraId="309D1069">
      <w:pPr>
        <w:tabs>
          <w:tab w:val="right" w:pos="8617"/>
        </w:tabs>
        <w:spacing w:before="0" w:after="0" w:line="312" w:lineRule="auto"/>
        <w:ind w:firstLine="0"/>
        <w:jc w:val="center"/>
      </w:pPr>
      <m:oMath>
        <m:sSub>
          <m:sSubPr/>
          <m:e>
            <m:r>
              <m:rPr/>
              <m:t>ϕ</m:t>
            </m:r>
          </m:e>
          <m:sub>
            <m:r>
              <m:rPr/>
              <m:t>j</m:t>
            </m:r>
          </m:sub>
        </m:sSub>
        <m:r>
          <m:rPr>
            <m:sty m:val="p"/>
          </m:rPr>
          <m:t>(</m:t>
        </m:r>
        <m:sSub>
          <m:sSubPr/>
          <m:e>
            <m:r>
              <m:rPr>
                <m:sty m:val="bi"/>
              </m:rPr>
              <m:t>x</m:t>
            </m:r>
          </m:e>
          <m:sub>
            <m:r>
              <m:rPr/>
              <m:t>i</m:t>
            </m:r>
          </m:sub>
        </m:sSub>
        <m:r>
          <m:rPr>
            <m:sty m:val="p"/>
          </m:rPr>
          <m:t>)=</m:t>
        </m:r>
        <m:nary>
          <m:naryPr>
            <m:chr m:val="∑"/>
            <m:limLoc m:val="undOvr"/>
            <m:supHide m:val="1"/>
          </m:naryPr>
          <m:sub>
            <m:r>
              <m:rPr/>
              <m:t>S</m:t>
            </m:r>
            <m:r>
              <m:rPr>
                <m:sty m:val="p"/>
              </m:rPr>
              <m:t>⊆</m:t>
            </m:r>
            <m:r>
              <m:rPr/>
              <m:t>N</m:t>
            </m:r>
            <m:r>
              <m:rPr>
                <m:sty m:val="p"/>
              </m:rPr>
              <m:t>\{</m:t>
            </m:r>
            <m:r>
              <m:rPr/>
              <m:t>j</m:t>
            </m:r>
            <m:r>
              <m:rPr>
                <m:sty m:val="p"/>
              </m:rPr>
              <m:t>}</m:t>
            </m:r>
          </m:sub>
          <m:sup>
            <m:r>
              <m:rPr/>
              <m:t>​</m:t>
            </m:r>
          </m:sup>
          <m:e>
            <m:f>
              <m:fPr/>
              <m:num>
                <m:r>
                  <m:rPr>
                    <m:sty m:val="p"/>
                  </m:rPr>
                  <m:t>|</m:t>
                </m:r>
                <m:r>
                  <m:rPr/>
                  <m:t>S</m:t>
                </m:r>
                <m:r>
                  <m:rPr>
                    <m:sty m:val="p"/>
                  </m:rPr>
                  <m:t>|!</m:t>
                </m:r>
                <m:r>
                  <m:rPr/>
                  <m:t> </m:t>
                </m:r>
                <m:r>
                  <m:rPr>
                    <m:sty m:val="p"/>
                  </m:rPr>
                  <m:t>(</m:t>
                </m:r>
                <m:r>
                  <m:rPr/>
                  <m:t>p</m:t>
                </m:r>
                <m:r>
                  <m:rPr>
                    <m:sty m:val="p"/>
                  </m:rPr>
                  <m:t>−|</m:t>
                </m:r>
                <m:r>
                  <m:rPr/>
                  <m:t>S</m:t>
                </m:r>
                <m:r>
                  <m:rPr>
                    <m:sty m:val="p"/>
                  </m:rPr>
                  <m:t>|−</m:t>
                </m:r>
                <m:r>
                  <m:rPr/>
                  <m:t>1</m:t>
                </m:r>
                <m:r>
                  <m:rPr>
                    <m:sty m:val="p"/>
                  </m:rPr>
                  <m:t>)!</m:t>
                </m:r>
              </m:num>
              <m:den>
                <m:r>
                  <m:rPr/>
                  <m:t>p</m:t>
                </m:r>
                <m:r>
                  <m:rPr>
                    <m:sty m:val="p"/>
                  </m:rPr>
                  <m:t>!</m:t>
                </m:r>
              </m:den>
            </m:f>
          </m:e>
        </m:nary>
        <m:d>
          <m:dPr>
            <m:begChr m:val="["/>
            <m:sepChr m:val=""/>
            <m:endChr m:val="]"/>
          </m:dPr>
          <m:e>
            <m:sSub>
              <m:sSubPr/>
              <m:e>
                <m:r>
                  <m:rPr/>
                  <m:t>f</m:t>
                </m:r>
              </m:e>
              <m:sub>
                <m:r>
                  <m:rPr/>
                  <m:t>S</m:t>
                </m:r>
                <m:r>
                  <m:rPr>
                    <m:sty m:val="p"/>
                  </m:rPr>
                  <m:t>∪{</m:t>
                </m:r>
                <m:r>
                  <m:rPr/>
                  <m:t>j</m:t>
                </m:r>
                <m:r>
                  <m:rPr>
                    <m:sty m:val="p"/>
                  </m:rPr>
                  <m:t>}</m:t>
                </m:r>
              </m:sub>
            </m:sSub>
            <m:r>
              <m:rPr>
                <m:sty m:val="p"/>
              </m:rPr>
              <m:t>(</m:t>
            </m:r>
            <m:sSub>
              <m:sSubPr/>
              <m:e>
                <m:r>
                  <m:rPr>
                    <m:sty m:val="bi"/>
                  </m:rPr>
                  <m:t>x</m:t>
                </m:r>
              </m:e>
              <m:sub>
                <m:r>
                  <m:rPr/>
                  <m:t>i</m:t>
                </m:r>
                <m:r>
                  <m:rPr>
                    <m:sty m:val="p"/>
                  </m:rPr>
                  <m:t>,</m:t>
                </m:r>
                <m:r>
                  <m:rPr/>
                  <m:t>S</m:t>
                </m:r>
                <m:r>
                  <m:rPr>
                    <m:sty m:val="p"/>
                  </m:rPr>
                  <m:t>∪{</m:t>
                </m:r>
                <m:r>
                  <m:rPr/>
                  <m:t>j</m:t>
                </m:r>
                <m:r>
                  <m:rPr>
                    <m:sty m:val="p"/>
                  </m:rPr>
                  <m:t>}</m:t>
                </m:r>
              </m:sub>
            </m:sSub>
            <m:r>
              <m:rPr>
                <m:sty m:val="p"/>
              </m:rPr>
              <m:t>)−</m:t>
            </m:r>
            <m:sSub>
              <m:sSubPr/>
              <m:e>
                <m:r>
                  <m:rPr/>
                  <m:t>f</m:t>
                </m:r>
              </m:e>
              <m:sub>
                <m:r>
                  <m:rPr/>
                  <m:t>S</m:t>
                </m:r>
              </m:sub>
            </m:sSub>
            <m:r>
              <m:rPr>
                <m:sty m:val="p"/>
              </m:rPr>
              <m:t>(</m:t>
            </m:r>
            <m:sSub>
              <m:sSubPr/>
              <m:e>
                <m:r>
                  <m:rPr>
                    <m:sty m:val="bi"/>
                  </m:rPr>
                  <m:t>x</m:t>
                </m:r>
              </m:e>
              <m:sub>
                <m:r>
                  <m:rPr/>
                  <m:t>i</m:t>
                </m:r>
                <m:r>
                  <m:rPr>
                    <m:sty m:val="p"/>
                  </m:rPr>
                  <m:t>,</m:t>
                </m:r>
                <m:r>
                  <m:rPr/>
                  <m:t>S</m:t>
                </m:r>
              </m:sub>
            </m:sSub>
            <m:r>
              <m:rPr>
                <m:sty m:val="p"/>
              </m:rPr>
              <m:t>)</m:t>
            </m:r>
          </m:e>
        </m:d>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12</w:t>
      </w:r>
      <w:r>
        <w:rPr>
          <w:rFonts w:ascii="宋体" w:hAnsi="宋体" w:eastAsia="宋体"/>
          <w:sz w:val="21"/>
        </w:rPr>
        <w:t>)</w:t>
      </w:r>
    </w:p>
    <w:p w14:paraId="476C9216">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r>
          <m:rPr/>
          <m:t>N</m:t>
        </m:r>
        <m:r>
          <m:rPr>
            <m:sty m:val="p"/>
          </m:rPr>
          <m:t>={</m:t>
        </m:r>
        <m:r>
          <m:rPr/>
          <m:t>1</m:t>
        </m:r>
        <m:r>
          <m:rPr>
            <m:sty m:val="p"/>
          </m:rPr>
          <m:t>,</m:t>
        </m:r>
        <m:r>
          <m:rPr/>
          <m:t>2</m:t>
        </m:r>
        <m:r>
          <m:rPr>
            <m:sty m:val="p"/>
          </m:rPr>
          <m:t>,…,</m:t>
        </m:r>
        <m:r>
          <m:rPr/>
          <m:t>p</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为全部特征集合，</w:t>
      </w:r>
      <m:oMath>
        <m:r>
          <m:rPr/>
          <m:t>S</m:t>
        </m:r>
      </m:oMath>
      <w:r>
        <w:rPr>
          <w:rFonts w:ascii="Times New Roman" w:hAnsi="Times New Roman" w:eastAsia="宋体"/>
          <w:b w:val="0"/>
          <w:sz w:val="21"/>
        </w:rPr>
        <w:t xml:space="preserve"> </w:t>
      </w:r>
      <w:r>
        <w:rPr>
          <w:rFonts w:hint="eastAsia" w:ascii="Times New Roman" w:hAnsi="Times New Roman" w:eastAsia="宋体"/>
          <w:b w:val="0"/>
          <w:sz w:val="21"/>
        </w:rPr>
        <w:t>为不包含特征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的任一子集，</w:t>
      </w:r>
      <m:oMath>
        <m:sSub>
          <m:sSubPr/>
          <m:e>
            <m:r>
              <m:rPr/>
              <m:t>f</m:t>
            </m:r>
          </m:e>
          <m:sub>
            <m:r>
              <m:rPr/>
              <m:t>S</m:t>
            </m:r>
          </m:sub>
        </m:sSub>
      </m:oMath>
      <w:r>
        <w:rPr>
          <w:rFonts w:ascii="Times New Roman" w:hAnsi="Times New Roman" w:eastAsia="宋体"/>
          <w:b w:val="0"/>
          <w:sz w:val="21"/>
        </w:rPr>
        <w:t xml:space="preserve"> </w:t>
      </w:r>
      <w:r>
        <w:rPr>
          <w:rFonts w:hint="eastAsia" w:ascii="Times New Roman" w:hAnsi="Times New Roman" w:eastAsia="宋体"/>
          <w:b w:val="0"/>
          <w:sz w:val="21"/>
        </w:rPr>
        <w:t>表示仅使用特征子集</w:t>
      </w:r>
      <w:r>
        <w:rPr>
          <w:rFonts w:ascii="Times New Roman" w:hAnsi="Times New Roman" w:eastAsia="宋体"/>
          <w:b w:val="0"/>
          <w:sz w:val="21"/>
        </w:rPr>
        <w:t xml:space="preserve"> </w:t>
      </w:r>
      <m:oMath>
        <m:r>
          <m:rPr/>
          <m:t>S</m:t>
        </m:r>
      </m:oMath>
      <w:r>
        <w:rPr>
          <w:rFonts w:ascii="Times New Roman" w:hAnsi="Times New Roman" w:eastAsia="宋体"/>
          <w:b w:val="0"/>
          <w:sz w:val="21"/>
        </w:rPr>
        <w:t xml:space="preserve"> </w:t>
      </w:r>
      <w:r>
        <w:rPr>
          <w:rFonts w:hint="eastAsia" w:ascii="Times New Roman" w:hAnsi="Times New Roman" w:eastAsia="宋体"/>
          <w:b w:val="0"/>
          <w:sz w:val="21"/>
        </w:rPr>
        <w:t>时的模型期望预测。公式的直觉含义是：遍历特征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加入所有可能子集的顺序，计算其边际贡献的加权平均。SHAP</w:t>
      </w:r>
      <w:r>
        <w:rPr>
          <w:rFonts w:ascii="Times New Roman" w:hAnsi="Times New Roman" w:eastAsia="宋体"/>
          <w:b w:val="0"/>
          <w:sz w:val="21"/>
        </w:rPr>
        <w:t xml:space="preserve"> </w:t>
      </w:r>
      <w:r>
        <w:rPr>
          <w:rFonts w:hint="eastAsia" w:ascii="Times New Roman" w:hAnsi="Times New Roman" w:eastAsia="宋体"/>
          <w:b w:val="0"/>
          <w:sz w:val="21"/>
        </w:rPr>
        <w:t>值满足效率性（各特征</w:t>
      </w:r>
      <w:r>
        <w:rPr>
          <w:rFonts w:ascii="Times New Roman" w:hAnsi="Times New Roman" w:eastAsia="宋体"/>
          <w:b w:val="0"/>
          <w:sz w:val="21"/>
        </w:rPr>
        <w:t xml:space="preserve"> SHAP </w:t>
      </w:r>
      <w:r>
        <w:rPr>
          <w:rFonts w:hint="eastAsia" w:ascii="Times New Roman" w:hAnsi="Times New Roman" w:eastAsia="宋体"/>
          <w:b w:val="0"/>
          <w:sz w:val="21"/>
        </w:rPr>
        <w:t>值之和等于该样本预测值与基准预测值之差）、对称性和虚拟性等公理性质，是目前唯一满足这些性质的可加性解释做法。</w:t>
      </w:r>
    </w:p>
    <w:p w14:paraId="1FB1CCF5">
      <w:pPr>
        <w:spacing w:before="0" w:after="0" w:line="312" w:lineRule="auto"/>
        <w:ind w:firstLine="420"/>
        <w:jc w:val="both"/>
      </w:pPr>
      <w:r>
        <w:rPr>
          <w:rFonts w:hint="eastAsia" w:ascii="Times New Roman" w:hAnsi="Times New Roman" w:eastAsia="宋体"/>
          <w:b w:val="0"/>
          <w:sz w:val="21"/>
        </w:rPr>
        <w:t>在实践中，衡量特征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全局重要性的指标为样本的平均绝对</w:t>
      </w:r>
      <w:r>
        <w:rPr>
          <w:rFonts w:ascii="Times New Roman" w:hAnsi="Times New Roman" w:eastAsia="宋体"/>
          <w:b w:val="0"/>
          <w:sz w:val="21"/>
        </w:rPr>
        <w:t xml:space="preserve"> SHAP </w:t>
      </w:r>
      <w:r>
        <w:rPr>
          <w:rFonts w:hint="eastAsia" w:ascii="Times New Roman" w:hAnsi="Times New Roman" w:eastAsia="宋体"/>
          <w:b w:val="0"/>
          <w:sz w:val="21"/>
        </w:rPr>
        <w:t>值：</w:t>
      </w:r>
    </w:p>
    <w:p w14:paraId="2FA3DA37">
      <w:pPr>
        <w:tabs>
          <w:tab w:val="right" w:pos="8617"/>
        </w:tabs>
        <w:spacing w:before="0" w:after="0" w:line="312" w:lineRule="auto"/>
        <w:ind w:firstLine="0"/>
        <w:jc w:val="center"/>
      </w:pPr>
      <m:oMath>
        <m:bar>
          <m:barPr>
            <m:pos m:val="top"/>
          </m:barPr>
          <m:e>
            <m:r>
              <m:rPr>
                <m:sty m:val="p"/>
              </m:rPr>
              <m:t>|</m:t>
            </m:r>
            <m:sSub>
              <m:sSubPr/>
              <m:e>
                <m:r>
                  <m:rPr/>
                  <m:t>ϕ</m:t>
                </m:r>
              </m:e>
              <m:sub>
                <m:r>
                  <m:rPr/>
                  <m:t>j</m:t>
                </m:r>
              </m:sub>
            </m:sSub>
            <m:r>
              <m:rPr>
                <m:sty m:val="p"/>
              </m:rPr>
              <m:t>|</m:t>
            </m:r>
          </m:e>
        </m:bar>
        <m:r>
          <m:rPr>
            <m:sty m:val="p"/>
          </m:rPr>
          <m:t>=</m:t>
        </m:r>
        <m:f>
          <m:fPr/>
          <m:num>
            <m:r>
              <m:rPr/>
              <m:t>1</m:t>
            </m:r>
          </m:num>
          <m:den>
            <m:r>
              <m:rPr/>
              <m:t>n</m:t>
            </m:r>
          </m:den>
        </m:f>
        <m:nary>
          <m:naryPr>
            <m:chr m:val="∑"/>
            <m:limLoc m:val="undOvr"/>
          </m:naryPr>
          <m:sub>
            <m:r>
              <m:rPr/>
              <m:t>i</m:t>
            </m:r>
            <m:r>
              <m:rPr>
                <m:sty m:val="p"/>
              </m:rPr>
              <m:t>=</m:t>
            </m:r>
            <m:r>
              <m:rPr/>
              <m:t>1</m:t>
            </m:r>
          </m:sub>
          <m:sup>
            <m:r>
              <m:rPr/>
              <m:t>n</m:t>
            </m:r>
          </m:sup>
          <m:e>
            <m:r>
              <m:rPr>
                <m:sty m:val="p"/>
              </m:rPr>
              <m:t>|</m:t>
            </m:r>
          </m:e>
        </m:nary>
        <m:sSub>
          <m:sSubPr/>
          <m:e>
            <m:r>
              <m:rPr/>
              <m:t>ϕ</m:t>
            </m:r>
          </m:e>
          <m:sub>
            <m:r>
              <m:rPr/>
              <m:t>j</m:t>
            </m:r>
          </m:sub>
        </m:sSub>
        <m:r>
          <m:rPr>
            <m:sty m:val="p"/>
          </m:rPr>
          <m:t>(</m:t>
        </m:r>
        <m:sSub>
          <m:sSubPr/>
          <m:e>
            <m:r>
              <m:rPr>
                <m:sty m:val="bi"/>
              </m:rPr>
              <m:t>x</m:t>
            </m:r>
          </m:e>
          <m:sub>
            <m:r>
              <m:rPr/>
              <m:t>i</m:t>
            </m:r>
          </m:sub>
        </m:sSub>
        <m:r>
          <m:rPr>
            <m:sty m:val="p"/>
          </m:rPr>
          <m:t>)|</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13</w:t>
      </w:r>
      <w:r>
        <w:rPr>
          <w:rFonts w:ascii="宋体" w:hAnsi="宋体" w:eastAsia="宋体"/>
          <w:sz w:val="21"/>
        </w:rPr>
        <w:t>)</w:t>
      </w:r>
    </w:p>
    <w:p w14:paraId="08B7BD27">
      <w:pPr>
        <w:spacing w:before="0" w:after="0" w:line="312" w:lineRule="auto"/>
        <w:ind w:firstLine="420"/>
        <w:jc w:val="both"/>
      </w:pPr>
      <w:r>
        <w:rPr>
          <w:rFonts w:hint="eastAsia" w:ascii="Times New Roman" w:hAnsi="Times New Roman" w:eastAsia="宋体"/>
          <w:b w:val="0"/>
          <w:sz w:val="21"/>
        </w:rPr>
        <w:t>该值越大，说明特征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对模型预测波动的平均边际贡献越强。SHAP</w:t>
      </w:r>
      <w:r>
        <w:rPr>
          <w:rFonts w:ascii="Times New Roman" w:hAnsi="Times New Roman" w:eastAsia="宋体"/>
          <w:b w:val="0"/>
          <w:sz w:val="21"/>
        </w:rPr>
        <w:t xml:space="preserve"> </w:t>
      </w:r>
      <w:r>
        <w:rPr>
          <w:rFonts w:hint="eastAsia" w:ascii="Times New Roman" w:hAnsi="Times New Roman" w:eastAsia="宋体"/>
          <w:b w:val="0"/>
          <w:sz w:val="21"/>
        </w:rPr>
        <w:t>在本文中主要用于复核：财政补贴变量的边际贡献排序，是否与随机森林基尼重要性的判断保持一致。</w:t>
      </w:r>
    </w:p>
    <w:bookmarkEnd w:id="51"/>
    <w:p w14:paraId="2072258D">
      <w:pPr>
        <w:pStyle w:val="28"/>
        <w:spacing w:before="0" w:after="0" w:line="312" w:lineRule="auto"/>
        <w:ind w:firstLine="420"/>
        <w:jc w:val="left"/>
      </w:pPr>
      <w:bookmarkStart w:id="55" w:name="lasso回归方法"/>
      <w:r>
        <w:rPr>
          <w:rFonts w:ascii="Times New Roman" w:hAnsi="Times New Roman" w:eastAsia="宋体"/>
          <w:b w:val="0"/>
          <w:sz w:val="24"/>
        </w:rPr>
        <w:t xml:space="preserve">3.5.4 </w:t>
      </w:r>
      <w:r>
        <w:rPr>
          <w:rFonts w:hint="eastAsia" w:ascii="Times New Roman" w:hAnsi="Times New Roman" w:eastAsia="宋体"/>
          <w:b w:val="0"/>
          <w:sz w:val="24"/>
        </w:rPr>
        <w:t>Lasso回归方法</w:t>
      </w:r>
    </w:p>
    <w:p w14:paraId="41AFABEB">
      <w:pPr>
        <w:spacing w:before="0" w:after="0" w:line="312" w:lineRule="auto"/>
        <w:ind w:firstLine="420"/>
        <w:jc w:val="both"/>
      </w:pPr>
      <w:r>
        <w:rPr>
          <w:rFonts w:hint="eastAsia" w:ascii="Times New Roman" w:hAnsi="Times New Roman" w:eastAsia="宋体"/>
          <w:b w:val="0"/>
          <w:sz w:val="21"/>
        </w:rPr>
        <w:t>Lasso（Least</w:t>
      </w:r>
      <w:r>
        <w:rPr>
          <w:rFonts w:ascii="Times New Roman" w:hAnsi="Times New Roman" w:eastAsia="宋体"/>
          <w:b w:val="0"/>
          <w:sz w:val="21"/>
        </w:rPr>
        <w:t xml:space="preserve"> Absolute Shrinkage and Selection </w:t>
      </w:r>
      <w:r>
        <w:rPr>
          <w:rFonts w:hint="eastAsia" w:ascii="Times New Roman" w:hAnsi="Times New Roman" w:eastAsia="宋体"/>
          <w:b w:val="0"/>
          <w:sz w:val="21"/>
        </w:rPr>
        <w:t>Operator）回归属于采用</w:t>
      </w:r>
      <w:r>
        <w:rPr>
          <w:rFonts w:ascii="Times New Roman" w:hAnsi="Times New Roman" w:eastAsia="宋体"/>
          <w:b w:val="0"/>
          <w:sz w:val="21"/>
        </w:rPr>
        <w:t xml:space="preserve"> </w:t>
      </w:r>
      <m:oMath>
        <m:sSub>
          <m:sSubPr/>
          <m:e>
            <m:r>
              <m:rPr/>
              <m:t>L</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正则化的线性回归模型。其目标函数在最小二乘损失的基础上加入绝对值惩罚项：</w:t>
      </w:r>
    </w:p>
    <w:p w14:paraId="0D666C25">
      <w:pPr>
        <w:tabs>
          <w:tab w:val="right" w:pos="8617"/>
        </w:tabs>
        <w:spacing w:before="0" w:after="0" w:line="312" w:lineRule="auto"/>
        <w:ind w:firstLine="0"/>
        <w:jc w:val="center"/>
      </w:pPr>
      <m:oMath>
        <m:sSup>
          <m:sSupPr/>
          <m:e>
            <m:acc>
              <m:accPr/>
              <m:e>
                <m:r>
                  <m:rPr>
                    <m:sty m:val="bi"/>
                  </m:rPr>
                  <m:t>β</m:t>
                </m:r>
              </m:e>
            </m:acc>
          </m:e>
          <m:sup>
            <m:r>
              <m:rPr>
                <m:nor/>
                <m:sty m:val="p"/>
              </m:rPr>
              <w:rPr>
                <w:b w:val="0"/>
                <w:i w:val="0"/>
              </w:rPr>
              <m:t>Lasso</m:t>
            </m:r>
          </m:sup>
        </m:sSup>
        <m:r>
          <m:rPr>
            <m:sty m:val="p"/>
          </m:rPr>
          <m:t>=arg</m:t>
        </m:r>
        <m:limLow>
          <m:limLowPr/>
          <m:e>
            <m:r>
              <m:rPr>
                <m:sty m:val="p"/>
              </m:rPr>
              <m:t>min</m:t>
            </m:r>
          </m:e>
          <m:lim>
            <m:r>
              <m:rPr>
                <m:sty m:val="bi"/>
              </m:rPr>
              <m:t>β</m:t>
            </m:r>
          </m:lim>
        </m:limLow>
        <m:d>
          <m:dPr>
            <m:begChr m:val="{"/>
            <m:sepChr m:val=""/>
            <m:endChr m:val="}"/>
          </m:dPr>
          <m:e>
            <m:f>
              <m:fPr/>
              <m:num>
                <m:r>
                  <m:rPr/>
                  <m:t>1</m:t>
                </m:r>
              </m:num>
              <m:den>
                <m:r>
                  <m:rPr/>
                  <m:t>2n</m:t>
                </m:r>
              </m:den>
            </m:f>
            <m:nary>
              <m:naryPr>
                <m:chr m:val="∑"/>
                <m:limLoc m:val="undOvr"/>
              </m:naryPr>
              <m:sub>
                <m:r>
                  <m:rPr/>
                  <m:t>i</m:t>
                </m:r>
                <m:r>
                  <m:rPr>
                    <m:sty m:val="p"/>
                  </m:rPr>
                  <m:t>=</m:t>
                </m:r>
                <m:r>
                  <m:rPr/>
                  <m:t>1</m:t>
                </m:r>
              </m:sub>
              <m:sup>
                <m:r>
                  <m:rPr/>
                  <m:t>n</m:t>
                </m:r>
              </m:sup>
              <m:e>
                <m:r>
                  <m:rPr>
                    <m:sty m:val="p"/>
                  </m:rPr>
                  <m:t>(</m:t>
                </m:r>
              </m:e>
            </m:nary>
            <m:sSub>
              <m:sSubPr/>
              <m:e>
                <m:r>
                  <m:rPr/>
                  <m:t>y</m:t>
                </m:r>
              </m:e>
              <m:sub>
                <m:r>
                  <m:rPr/>
                  <m:t>i</m:t>
                </m:r>
              </m:sub>
            </m:sSub>
            <m:r>
              <m:rPr>
                <m:sty m:val="p"/>
              </m:rPr>
              <m:t>−</m:t>
            </m:r>
            <m:sSubSup>
              <m:sSubSupPr/>
              <m:e>
                <m:r>
                  <m:rPr>
                    <m:sty m:val="bi"/>
                  </m:rPr>
                  <m:t>x</m:t>
                </m:r>
              </m:e>
              <m:sub>
                <m:r>
                  <m:rPr/>
                  <m:t>i</m:t>
                </m:r>
              </m:sub>
              <m:sup>
                <m:r>
                  <m:rPr>
                    <m:sty m:val="p"/>
                  </m:rPr>
                  <m:t>′</m:t>
                </m:r>
              </m:sup>
            </m:sSubSup>
            <m:r>
              <m:rPr>
                <m:sty m:val="bi"/>
              </m:rPr>
              <m:t>β</m:t>
            </m:r>
            <m:sSup>
              <m:sSupPr/>
              <m:e>
                <m:r>
                  <m:rPr>
                    <m:sty m:val="p"/>
                  </m:rPr>
                  <m:t>)</m:t>
                </m:r>
              </m:e>
              <m:sup>
                <m:r>
                  <m:rPr/>
                  <m:t>2</m:t>
                </m:r>
              </m:sup>
            </m:sSup>
            <m:r>
              <m:rPr>
                <m:sty m:val="p"/>
              </m:rPr>
              <m:t>+</m:t>
            </m:r>
            <m:r>
              <m:rPr/>
              <m:t>λ</m:t>
            </m:r>
            <m:nary>
              <m:naryPr>
                <m:chr m:val="∑"/>
                <m:limLoc m:val="undOvr"/>
              </m:naryPr>
              <m:sub>
                <m:r>
                  <m:rPr/>
                  <m:t>j</m:t>
                </m:r>
                <m:r>
                  <m:rPr>
                    <m:sty m:val="p"/>
                  </m:rPr>
                  <m:t>=</m:t>
                </m:r>
                <m:r>
                  <m:rPr/>
                  <m:t>1</m:t>
                </m:r>
              </m:sub>
              <m:sup>
                <m:r>
                  <m:rPr/>
                  <m:t>p</m:t>
                </m:r>
              </m:sup>
              <m:e>
                <m:r>
                  <m:rPr>
                    <m:sty m:val="p"/>
                  </m:rPr>
                  <m:t>|</m:t>
                </m:r>
              </m:e>
            </m:nary>
            <m:sSub>
              <m:sSubPr/>
              <m:e>
                <m:r>
                  <m:rPr/>
                  <m:t>β</m:t>
                </m:r>
              </m:e>
              <m:sub>
                <m:r>
                  <m:rPr/>
                  <m:t>j</m:t>
                </m:r>
              </m:sub>
            </m:sSub>
            <m:r>
              <m:rPr>
                <m:sty m:val="p"/>
              </m:rPr>
              <m:t>|</m:t>
            </m:r>
          </m:e>
        </m:d>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14</w:t>
      </w:r>
      <w:r>
        <w:rPr>
          <w:rFonts w:ascii="宋体" w:hAnsi="宋体" w:eastAsia="宋体"/>
          <w:sz w:val="21"/>
        </w:rPr>
        <w:t>)</w:t>
      </w:r>
    </w:p>
    <w:p w14:paraId="73EA630B">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r>
          <m:rPr/>
          <m:t>λ</m:t>
        </m:r>
        <m:r>
          <m:rPr>
            <m:sty m:val="p"/>
          </m:rPr>
          <m:t>≥</m:t>
        </m:r>
        <m:r>
          <m:rPr/>
          <m:t>0</m:t>
        </m:r>
      </m:oMath>
      <w:r>
        <w:rPr>
          <w:rFonts w:ascii="Times New Roman" w:hAnsi="Times New Roman" w:eastAsia="宋体"/>
          <w:b w:val="0"/>
          <w:sz w:val="21"/>
        </w:rPr>
        <w:t xml:space="preserve"> </w:t>
      </w:r>
      <w:r>
        <w:rPr>
          <w:rFonts w:hint="eastAsia" w:ascii="Times New Roman" w:hAnsi="Times New Roman" w:eastAsia="宋体"/>
          <w:b w:val="0"/>
          <w:sz w:val="21"/>
        </w:rPr>
        <w:t>为惩罚参数，控制正则化强度。当</w:t>
      </w:r>
      <w:r>
        <w:rPr>
          <w:rFonts w:ascii="Times New Roman" w:hAnsi="Times New Roman" w:eastAsia="宋体"/>
          <w:b w:val="0"/>
          <w:sz w:val="21"/>
        </w:rPr>
        <w:t xml:space="preserve"> </w:t>
      </w:r>
      <m:oMath>
        <m:r>
          <m:rPr/>
          <m:t>λ</m:t>
        </m:r>
        <m:r>
          <m:rPr>
            <m:sty m:val="p"/>
          </m:rPr>
          <m:t>=</m:t>
        </m:r>
        <m:r>
          <m:rPr/>
          <m:t>0</m:t>
        </m:r>
      </m:oMath>
      <w:r>
        <w:rPr>
          <w:rFonts w:ascii="Times New Roman" w:hAnsi="Times New Roman" w:eastAsia="宋体"/>
          <w:b w:val="0"/>
          <w:sz w:val="21"/>
        </w:rPr>
        <w:t xml:space="preserve"> </w:t>
      </w:r>
      <w:r>
        <w:rPr>
          <w:rFonts w:hint="eastAsia" w:ascii="Times New Roman" w:hAnsi="Times New Roman" w:eastAsia="宋体"/>
          <w:b w:val="0"/>
          <w:sz w:val="21"/>
        </w:rPr>
        <w:t>时退化为普通最小二乘（OLS）；随着</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增大，部分系数会被逐步压缩至零，从而实现自动变量筛选。</w:t>
      </w:r>
      <m:oMath>
        <m:sSub>
          <m:sSubPr/>
          <m:e>
            <m:r>
              <m:rPr/>
              <m:t>L</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惩罚的几何性质使得</w:t>
      </w:r>
      <w:r>
        <w:rPr>
          <w:rFonts w:ascii="Times New Roman" w:hAnsi="Times New Roman" w:eastAsia="宋体"/>
          <w:b w:val="0"/>
          <w:sz w:val="21"/>
        </w:rPr>
        <w:t xml:space="preserve"> Lasso </w:t>
      </w:r>
      <w:r>
        <w:rPr>
          <w:rFonts w:hint="eastAsia" w:ascii="Times New Roman" w:hAnsi="Times New Roman" w:eastAsia="宋体"/>
          <w:b w:val="0"/>
          <w:sz w:val="21"/>
        </w:rPr>
        <w:t>解更容易落在坐标轴上，这是它能够产生稀疏解的根本原因，也是其区别于岭回归（</w:t>
      </w:r>
      <m:oMath>
        <m:sSub>
          <m:sSubPr/>
          <m:e>
            <m:r>
              <m:rPr/>
              <m:t>L</m:t>
            </m:r>
          </m:e>
          <m:sub>
            <m:r>
              <m:rPr/>
              <m:t>2</m:t>
            </m:r>
          </m:sub>
        </m:sSub>
      </m:oMath>
      <w:r>
        <w:rPr>
          <w:rFonts w:ascii="Times New Roman" w:hAnsi="Times New Roman" w:eastAsia="宋体"/>
          <w:b w:val="0"/>
          <w:sz w:val="21"/>
        </w:rPr>
        <w:t xml:space="preserve"> </w:t>
      </w:r>
      <w:r>
        <w:rPr>
          <w:rFonts w:hint="eastAsia" w:ascii="Times New Roman" w:hAnsi="Times New Roman" w:eastAsia="宋体"/>
          <w:b w:val="0"/>
          <w:sz w:val="21"/>
        </w:rPr>
        <w:t>惩罚）的关键特征。</w:t>
      </w:r>
    </w:p>
    <w:p w14:paraId="12AC2741">
      <w:pPr>
        <w:spacing w:before="0" w:after="0" w:line="312" w:lineRule="auto"/>
        <w:ind w:firstLine="420"/>
        <w:jc w:val="both"/>
      </w:pPr>
      <w:r>
        <w:rPr>
          <w:rFonts w:hint="eastAsia" w:ascii="Times New Roman" w:hAnsi="Times New Roman" w:eastAsia="宋体"/>
          <w:b w:val="0"/>
          <w:sz w:val="21"/>
        </w:rPr>
        <w:t>惩罚参数</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的选取通过按公司分组的交叉验证（GroupKFold）确定，选择使验证集均方误差最小的</w:t>
      </w:r>
      <w:r>
        <w:rPr>
          <w:rFonts w:ascii="Times New Roman" w:hAnsi="Times New Roman" w:eastAsia="宋体"/>
          <w:b w:val="0"/>
          <w:sz w:val="21"/>
        </w:rPr>
        <w:t xml:space="preserve"> </w:t>
      </w:r>
      <m:oMath>
        <m:sSup>
          <m:sSupPr/>
          <m:e>
            <m:r>
              <m:rPr/>
              <m:t>λ</m:t>
            </m:r>
          </m:e>
          <m:sup>
            <m:r>
              <m:rPr>
                <m:sty m:val="p"/>
              </m:rPr>
              <m:t>∗</m:t>
            </m:r>
          </m:sup>
        </m:sSup>
      </m:oMath>
      <w:r>
        <w:rPr>
          <w:rFonts w:hint="eastAsia" w:ascii="Times New Roman" w:hAnsi="Times New Roman" w:eastAsia="宋体"/>
          <w:b w:val="0"/>
          <w:sz w:val="21"/>
        </w:rPr>
        <w:t>。在进入</w:t>
      </w:r>
      <w:r>
        <w:rPr>
          <w:rFonts w:ascii="Times New Roman" w:hAnsi="Times New Roman" w:eastAsia="宋体"/>
          <w:b w:val="0"/>
          <w:sz w:val="21"/>
        </w:rPr>
        <w:t xml:space="preserve"> Lasso </w:t>
      </w:r>
      <w:r>
        <w:rPr>
          <w:rFonts w:hint="eastAsia" w:ascii="Times New Roman" w:hAnsi="Times New Roman" w:eastAsia="宋体"/>
          <w:b w:val="0"/>
          <w:sz w:val="21"/>
        </w:rPr>
        <w:t>之前，所有连续型特征均通过</w:t>
      </w:r>
      <w:r>
        <w:rPr>
          <w:rFonts w:ascii="Times New Roman" w:hAnsi="Times New Roman" w:eastAsia="宋体"/>
          <w:b w:val="0"/>
          <w:sz w:val="21"/>
        </w:rPr>
        <w:t xml:space="preserve"> StandardScaler </w:t>
      </w:r>
      <w:r>
        <w:rPr>
          <w:rFonts w:hint="eastAsia" w:ascii="Times New Roman" w:hAnsi="Times New Roman" w:eastAsia="宋体"/>
          <w:b w:val="0"/>
          <w:sz w:val="21"/>
        </w:rPr>
        <w:t>做零均值、单位方差标准化，以消除量纲差异对惩罚项的改变。</w:t>
      </w:r>
    </w:p>
    <w:p w14:paraId="7A39FB23">
      <w:pPr>
        <w:spacing w:before="0" w:after="0" w:line="312" w:lineRule="auto"/>
        <w:ind w:firstLine="420"/>
        <w:jc w:val="both"/>
      </w:pPr>
      <w:r>
        <w:rPr>
          <w:rFonts w:hint="eastAsia" w:ascii="Times New Roman" w:hAnsi="Times New Roman" w:eastAsia="宋体"/>
          <w:b w:val="0"/>
          <w:sz w:val="21"/>
        </w:rPr>
        <w:t>本文引入</w:t>
      </w:r>
      <w:r>
        <w:rPr>
          <w:rFonts w:ascii="Times New Roman" w:hAnsi="Times New Roman" w:eastAsia="宋体"/>
          <w:b w:val="0"/>
          <w:sz w:val="21"/>
        </w:rPr>
        <w:t xml:space="preserve"> Lasso </w:t>
      </w:r>
      <w:r>
        <w:rPr>
          <w:rFonts w:hint="eastAsia" w:ascii="Times New Roman" w:hAnsi="Times New Roman" w:eastAsia="宋体"/>
          <w:b w:val="0"/>
          <w:sz w:val="21"/>
        </w:rPr>
        <w:t>的目的，不在于追求最高拟合表现，而在于检验</w:t>
      </w:r>
      <w:r>
        <w:rPr>
          <w:rFonts w:ascii="Times New Roman" w:hAnsi="Times New Roman" w:eastAsia="宋体"/>
          <w:b w:val="0"/>
          <w:sz w:val="21"/>
        </w:rPr>
        <w:t xml:space="preserve"> lnSubsidy_pos_l1 </w:t>
      </w:r>
      <w:r>
        <w:rPr>
          <w:rFonts w:hint="eastAsia" w:ascii="Times New Roman" w:hAnsi="Times New Roman" w:eastAsia="宋体"/>
          <w:b w:val="0"/>
          <w:sz w:val="21"/>
        </w:rPr>
        <w:t>在正则化筛选下是否会被压缩为0，以及其系数方向是否仍与</w:t>
      </w:r>
      <w:r>
        <w:rPr>
          <w:rFonts w:ascii="Times New Roman" w:hAnsi="Times New Roman" w:eastAsia="宋体"/>
          <w:b w:val="0"/>
          <w:sz w:val="21"/>
        </w:rPr>
        <w:t xml:space="preserve"> OLS </w:t>
      </w:r>
      <w:r>
        <w:rPr>
          <w:rFonts w:hint="eastAsia" w:ascii="Times New Roman" w:hAnsi="Times New Roman" w:eastAsia="宋体"/>
          <w:b w:val="0"/>
          <w:sz w:val="21"/>
        </w:rPr>
        <w:t>基准回归保持一致。与普通最小二乘相比，Lasso</w:t>
      </w:r>
      <w:r>
        <w:rPr>
          <w:rFonts w:ascii="Times New Roman" w:hAnsi="Times New Roman" w:eastAsia="宋体"/>
          <w:b w:val="0"/>
          <w:sz w:val="21"/>
        </w:rPr>
        <w:t xml:space="preserve"> </w:t>
      </w:r>
      <w:r>
        <w:rPr>
          <w:rFonts w:hint="eastAsia" w:ascii="Times New Roman" w:hAnsi="Times New Roman" w:eastAsia="宋体"/>
          <w:b w:val="0"/>
          <w:sz w:val="21"/>
        </w:rPr>
        <w:t>更适合回答”在多个候选特征同时竞争时，财政补贴变量是否仍会被保留”这一疑问，同时也有助于缓解多重共线性带来的不稳定估计。</w:t>
      </w:r>
    </w:p>
    <w:bookmarkEnd w:id="52"/>
    <w:p w14:paraId="2A36AF6E">
      <w:pPr>
        <w:pStyle w:val="28"/>
        <w:spacing w:before="0" w:after="0" w:line="312" w:lineRule="auto"/>
        <w:ind w:firstLine="420"/>
        <w:jc w:val="left"/>
      </w:pPr>
      <w:bookmarkStart w:id="56" w:name="xgboost方法"/>
      <w:r>
        <w:rPr>
          <w:rFonts w:ascii="Times New Roman" w:hAnsi="Times New Roman" w:eastAsia="宋体"/>
          <w:b w:val="0"/>
          <w:sz w:val="24"/>
        </w:rPr>
        <w:t xml:space="preserve">3.5.5 </w:t>
      </w:r>
      <w:r>
        <w:rPr>
          <w:rFonts w:hint="eastAsia" w:ascii="Times New Roman" w:hAnsi="Times New Roman" w:eastAsia="宋体"/>
          <w:b w:val="0"/>
          <w:sz w:val="24"/>
        </w:rPr>
        <w:t>XGBoost方法</w:t>
      </w:r>
    </w:p>
    <w:p w14:paraId="3634BE61">
      <w:pPr>
        <w:spacing w:before="0" w:after="0" w:line="312" w:lineRule="auto"/>
        <w:ind w:firstLine="420"/>
        <w:jc w:val="both"/>
      </w:pPr>
      <w:r>
        <w:rPr>
          <w:rFonts w:hint="eastAsia" w:ascii="Times New Roman" w:hAnsi="Times New Roman" w:eastAsia="宋体"/>
          <w:b w:val="0"/>
          <w:sz w:val="21"/>
        </w:rPr>
        <w:t>XGBoost（Extreme</w:t>
      </w:r>
      <w:r>
        <w:rPr>
          <w:rFonts w:ascii="Times New Roman" w:hAnsi="Times New Roman" w:eastAsia="宋体"/>
          <w:b w:val="0"/>
          <w:sz w:val="21"/>
        </w:rPr>
        <w:t xml:space="preserve"> Gradient </w:t>
      </w:r>
      <w:r>
        <w:rPr>
          <w:rFonts w:hint="eastAsia" w:ascii="Times New Roman" w:hAnsi="Times New Roman" w:eastAsia="宋体"/>
          <w:b w:val="0"/>
          <w:sz w:val="21"/>
        </w:rPr>
        <w:t>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思想的集成树模型。与随机森林的并行训练不同，XGBoost</w:t>
      </w:r>
      <w:r>
        <w:rPr>
          <w:rFonts w:ascii="Times New Roman" w:hAnsi="Times New Roman" w:eastAsia="宋体"/>
          <w:b w:val="0"/>
          <w:sz w:val="21"/>
        </w:rPr>
        <w:t xml:space="preserve"> </w:t>
      </w:r>
      <w:r>
        <w:rPr>
          <w:rFonts w:hint="eastAsia" w:ascii="Times New Roman" w:hAnsi="Times New Roman" w:eastAsia="宋体"/>
          <w:b w:val="0"/>
          <w:sz w:val="21"/>
        </w:rPr>
        <w:t>采用前向逐步加法路径（Forward</w:t>
      </w:r>
      <w:r>
        <w:rPr>
          <w:rFonts w:ascii="Times New Roman" w:hAnsi="Times New Roman" w:eastAsia="宋体"/>
          <w:b w:val="0"/>
          <w:sz w:val="21"/>
        </w:rPr>
        <w:t xml:space="preserve"> Stagewise Additive </w:t>
      </w:r>
      <w:r>
        <w:rPr>
          <w:rFonts w:hint="eastAsia" w:ascii="Times New Roman" w:hAnsi="Times New Roman" w:eastAsia="宋体"/>
          <w:b w:val="0"/>
          <w:sz w:val="21"/>
        </w:rPr>
        <w:t>Modeling）：第</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轮的模型在前</w:t>
      </w:r>
      <w:r>
        <w:rPr>
          <w:rFonts w:ascii="Times New Roman" w:hAnsi="Times New Roman" w:eastAsia="宋体"/>
          <w:b w:val="0"/>
          <w:sz w:val="21"/>
        </w:rPr>
        <w:t xml:space="preserve"> </w:t>
      </w:r>
      <m:oMath>
        <m:r>
          <m:rPr/>
          <m:t>t</m:t>
        </m:r>
        <m:r>
          <m:rPr>
            <m:sty m:val="p"/>
          </m:rPr>
          <m:t>−</m:t>
        </m:r>
        <m:r>
          <m:rPr/>
          <m:t>1</m:t>
        </m:r>
      </m:oMath>
      <w:r>
        <w:rPr>
          <w:rFonts w:ascii="Times New Roman" w:hAnsi="Times New Roman" w:eastAsia="宋体"/>
          <w:b w:val="0"/>
          <w:sz w:val="21"/>
        </w:rPr>
        <w:t xml:space="preserve"> </w:t>
      </w:r>
      <w:r>
        <w:rPr>
          <w:rFonts w:hint="eastAsia" w:ascii="Times New Roman" w:hAnsi="Times New Roman" w:eastAsia="宋体"/>
          <w:b w:val="0"/>
          <w:sz w:val="21"/>
        </w:rPr>
        <w:t>轮的累积预测基础上拟合残差，逐步改进对目标变量的刻画。设模型经过</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轮更新后的预测值为：</w:t>
      </w:r>
    </w:p>
    <w:p w14:paraId="77FD939C">
      <w:pPr>
        <w:tabs>
          <w:tab w:val="right" w:pos="8617"/>
        </w:tabs>
        <w:spacing w:before="0" w:after="0" w:line="312" w:lineRule="auto"/>
        <w:ind w:firstLine="0"/>
        <w:jc w:val="center"/>
      </w:pPr>
      <m:oMath>
        <m:sSub>
          <m:sSubPr/>
          <m:e>
            <m:acc>
              <m:accPr/>
              <m:e>
                <m:r>
                  <m:rPr/>
                  <m:t>y</m:t>
                </m:r>
              </m:e>
            </m:acc>
          </m:e>
          <m:sub>
            <m:r>
              <m:rPr/>
              <m:t>i</m:t>
            </m:r>
          </m:sub>
        </m:sSub>
        <m:r>
          <m:rPr>
            <m:sty m:val="p"/>
          </m:rPr>
          <m:t>=</m:t>
        </m:r>
        <m:nary>
          <m:naryPr>
            <m:chr m:val="∑"/>
            <m:limLoc m:val="undOvr"/>
          </m:naryPr>
          <m:sub>
            <m:r>
              <m:rPr/>
              <m:t>t</m:t>
            </m:r>
            <m:r>
              <m:rPr>
                <m:sty m:val="p"/>
              </m:rPr>
              <m:t>=</m:t>
            </m:r>
            <m:r>
              <m:rPr/>
              <m:t>1</m:t>
            </m:r>
          </m:sub>
          <m:sup>
            <m:r>
              <m:rPr/>
              <m:t>T</m:t>
            </m:r>
          </m:sup>
          <m:e>
            <m:sSub>
              <m:sSubPr/>
              <m:e>
                <m:r>
                  <m:rPr/>
                  <m:t>f</m:t>
                </m:r>
              </m:e>
              <m:sub>
                <m:r>
                  <m:rPr/>
                  <m:t>t</m:t>
                </m:r>
              </m:sub>
            </m:sSub>
          </m:e>
        </m:nary>
        <m:r>
          <m:rPr>
            <m:sty m:val="p"/>
          </m:rPr>
          <m:t>(</m:t>
        </m:r>
        <m:sSub>
          <m:sSubPr/>
          <m:e>
            <m:r>
              <m:rPr>
                <m:sty m:val="bi"/>
              </m:rPr>
              <m:t>x</m:t>
            </m:r>
          </m:e>
          <m:sub>
            <m:r>
              <m:rPr/>
              <m:t>i</m:t>
            </m:r>
          </m:sub>
        </m:sSub>
        <m:r>
          <m:rPr>
            <m:sty m:val="p"/>
          </m:rPr>
          <m:t>),</m:t>
        </m:r>
        <m:r>
          <m:rPr/>
          <m:t> </m:t>
        </m:r>
        <m:sSub>
          <m:sSubPr/>
          <m:e>
            <m:r>
              <m:rPr/>
              <m:t>f</m:t>
            </m:r>
          </m:e>
          <m:sub>
            <m:r>
              <m:rPr/>
              <m:t>t</m:t>
            </m:r>
          </m:sub>
        </m:sSub>
        <m:r>
          <m:rPr>
            <m:sty m:val="p"/>
          </m:rPr>
          <m:t>∈</m:t>
        </m:r>
        <m:r>
          <m:rPr>
            <m:sty m:val="p"/>
            <m:scr m:val="script"/>
          </m:rPr>
          <m:t>ℱ</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15</w:t>
      </w:r>
      <w:r>
        <w:rPr>
          <w:rFonts w:ascii="宋体" w:hAnsi="宋体" w:eastAsia="宋体"/>
          <w:sz w:val="21"/>
        </w:rPr>
        <w:t>)</w:t>
      </w:r>
    </w:p>
    <w:p w14:paraId="634C2B52">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r>
          <m:rPr>
            <m:sty m:val="p"/>
            <m:scr m:val="script"/>
          </m:rPr>
          <m:t>ℱ</m:t>
        </m:r>
      </m:oMath>
      <w:r>
        <w:rPr>
          <w:rFonts w:ascii="Times New Roman" w:hAnsi="Times New Roman" w:eastAsia="宋体"/>
          <w:b w:val="0"/>
          <w:sz w:val="21"/>
        </w:rPr>
        <w:t xml:space="preserve"> </w:t>
      </w:r>
      <w:r>
        <w:rPr>
          <w:rFonts w:hint="eastAsia" w:ascii="Times New Roman" w:hAnsi="Times New Roman" w:eastAsia="宋体"/>
          <w:b w:val="0"/>
          <w:sz w:val="21"/>
        </w:rPr>
        <w:t>为所有回归树构成的函数空间。第</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轮新增的树</w:t>
      </w:r>
      <w:r>
        <w:rPr>
          <w:rFonts w:ascii="Times New Roman" w:hAnsi="Times New Roman" w:eastAsia="宋体"/>
          <w:b w:val="0"/>
          <w:sz w:val="21"/>
        </w:rPr>
        <w:t xml:space="preserve"> </w:t>
      </w:r>
      <m:oMath>
        <m:sSub>
          <m:sSubPr/>
          <m:e>
            <m:r>
              <m:rPr/>
              <m:t>f</m:t>
            </m:r>
          </m:e>
          <m:sub>
            <m:r>
              <m:rPr/>
              <m:t>t</m:t>
            </m:r>
          </m:sub>
        </m:sSub>
      </m:oMath>
      <w:r>
        <w:rPr>
          <w:rFonts w:ascii="Times New Roman" w:hAnsi="Times New Roman" w:eastAsia="宋体"/>
          <w:b w:val="0"/>
          <w:sz w:val="21"/>
        </w:rPr>
        <w:t xml:space="preserve"> </w:t>
      </w:r>
      <w:r>
        <w:rPr>
          <w:rFonts w:hint="eastAsia" w:ascii="Times New Roman" w:hAnsi="Times New Roman" w:eastAsia="宋体"/>
          <w:b w:val="0"/>
          <w:sz w:val="21"/>
        </w:rPr>
        <w:t>通过最小化以下正则化目标函数来确定：</w:t>
      </w:r>
    </w:p>
    <w:p w14:paraId="4ADE8E96">
      <w:pPr>
        <w:tabs>
          <w:tab w:val="right" w:pos="8617"/>
        </w:tabs>
        <w:spacing w:before="0" w:after="0" w:line="312" w:lineRule="auto"/>
        <w:ind w:firstLine="0"/>
        <w:jc w:val="center"/>
      </w:pPr>
      <m:oMath>
        <m:sSup>
          <m:sSupPr/>
          <m:e>
            <m:r>
              <m:rPr>
                <m:sty m:val="p"/>
                <m:scr m:val="script"/>
              </m:rPr>
              <m:t>ℒ</m:t>
            </m:r>
          </m:e>
          <m:sup>
            <m:r>
              <m:rPr>
                <m:sty m:val="p"/>
              </m:rPr>
              <m:t>(</m:t>
            </m:r>
            <m:r>
              <m:rPr/>
              <m:t>t</m:t>
            </m:r>
            <m:r>
              <m:rPr>
                <m:sty m:val="p"/>
              </m:rPr>
              <m:t>)</m:t>
            </m:r>
          </m:sup>
        </m:sSup>
        <m:r>
          <m:rPr>
            <m:sty m:val="p"/>
          </m:rPr>
          <m:t>=</m:t>
        </m:r>
        <m:nary>
          <m:naryPr>
            <m:chr m:val="∑"/>
            <m:limLoc m:val="undOvr"/>
          </m:naryPr>
          <m:sub>
            <m:r>
              <m:rPr/>
              <m:t>i</m:t>
            </m:r>
            <m:r>
              <m:rPr>
                <m:sty m:val="p"/>
              </m:rPr>
              <m:t>=</m:t>
            </m:r>
            <m:r>
              <m:rPr/>
              <m:t>1</m:t>
            </m:r>
          </m:sub>
          <m:sup>
            <m:r>
              <m:rPr/>
              <m:t>n</m:t>
            </m:r>
          </m:sup>
          <m:e>
            <m:r>
              <m:rPr/>
              <m:t>l</m:t>
            </m:r>
          </m:e>
        </m:nary>
        <m:d>
          <m:dPr>
            <m:sepChr m:val=""/>
          </m:dPr>
          <m:e>
            <m:sSub>
              <m:sSubPr/>
              <m:e>
                <m:r>
                  <m:rPr/>
                  <m:t>y</m:t>
                </m:r>
              </m:e>
              <m:sub>
                <m:r>
                  <m:rPr/>
                  <m:t>i</m:t>
                </m:r>
              </m:sub>
            </m:sSub>
            <m:r>
              <m:rPr>
                <m:sty m:val="p"/>
              </m:rPr>
              <m:t>,</m:t>
            </m:r>
            <m:sSubSup>
              <m:sSubSupPr/>
              <m:e>
                <m:acc>
                  <m:accPr/>
                  <m:e>
                    <m:r>
                      <m:rPr/>
                      <m:t>y</m:t>
                    </m:r>
                  </m:e>
                </m:acc>
              </m:e>
              <m:sub>
                <m:r>
                  <m:rPr/>
                  <m:t>i</m:t>
                </m:r>
              </m:sub>
              <m:sup>
                <m:r>
                  <m:rPr>
                    <m:sty m:val="p"/>
                  </m:rPr>
                  <m:t>(</m:t>
                </m:r>
                <m:r>
                  <m:rPr/>
                  <m:t>t</m:t>
                </m:r>
                <m:r>
                  <m:rPr>
                    <m:sty m:val="p"/>
                  </m:rPr>
                  <m:t>−</m:t>
                </m:r>
                <m:r>
                  <m:rPr/>
                  <m:t>1</m:t>
                </m:r>
                <m:r>
                  <m:rPr>
                    <m:sty m:val="p"/>
                  </m:rPr>
                  <m:t>)</m:t>
                </m:r>
              </m:sup>
            </m:sSubSup>
            <m:r>
              <m:rPr>
                <m:sty m:val="p"/>
              </m:rPr>
              <m:t>+</m:t>
            </m:r>
            <m:sSub>
              <m:sSubPr/>
              <m:e>
                <m:r>
                  <m:rPr/>
                  <m:t>f</m:t>
                </m:r>
              </m:e>
              <m:sub>
                <m:r>
                  <m:rPr/>
                  <m:t>t</m:t>
                </m:r>
              </m:sub>
            </m:sSub>
            <m:r>
              <m:rPr>
                <m:sty m:val="p"/>
              </m:rPr>
              <m:t>(</m:t>
            </m:r>
            <m:sSub>
              <m:sSubPr/>
              <m:e>
                <m:r>
                  <m:rPr>
                    <m:sty m:val="bi"/>
                  </m:rPr>
                  <m:t>x</m:t>
                </m:r>
              </m:e>
              <m:sub>
                <m:r>
                  <m:rPr/>
                  <m:t>i</m:t>
                </m:r>
              </m:sub>
            </m:sSub>
            <m:r>
              <m:rPr>
                <m:sty m:val="p"/>
              </m:rPr>
              <m:t>)</m:t>
            </m:r>
          </m:e>
        </m:d>
        <m:r>
          <m:rPr>
            <m:sty m:val="p"/>
          </m:rPr>
          <m:t>+Ω(</m:t>
        </m:r>
        <m:sSub>
          <m:sSubPr/>
          <m:e>
            <m:r>
              <m:rPr/>
              <m:t>f</m:t>
            </m:r>
          </m:e>
          <m:sub>
            <m:r>
              <m:rPr/>
              <m:t>t</m:t>
            </m:r>
          </m:sub>
        </m:sSub>
        <m:r>
          <m:rPr>
            <m:sty m:val="p"/>
          </m:rPr>
          <m:t>)</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16</w:t>
      </w:r>
      <w:r>
        <w:rPr>
          <w:rFonts w:ascii="宋体" w:hAnsi="宋体" w:eastAsia="宋体"/>
          <w:sz w:val="21"/>
        </w:rPr>
        <w:t>)</w:t>
      </w:r>
    </w:p>
    <w:p w14:paraId="28E26F3C">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r>
          <m:rPr/>
          <m:t>l</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为损失函数（回归疑问通常取均方误差），</w:t>
      </w:r>
      <m:oMath>
        <m:sSubSup>
          <m:sSubSupPr/>
          <m:e>
            <m:acc>
              <m:accPr/>
              <m:e>
                <m:r>
                  <m:rPr/>
                  <m:t>y</m:t>
                </m:r>
              </m:e>
            </m:acc>
          </m:e>
          <m:sub>
            <m:r>
              <m:rPr/>
              <m:t>i</m:t>
            </m:r>
          </m:sub>
          <m:sup>
            <m:r>
              <m:rPr>
                <m:sty m:val="p"/>
              </m:rPr>
              <m:t>(</m:t>
            </m:r>
            <m:r>
              <m:rPr/>
              <m:t>t</m:t>
            </m:r>
            <m:r>
              <m:rPr>
                <m:sty m:val="p"/>
              </m:rPr>
              <m:t>−</m:t>
            </m:r>
            <m:r>
              <m:rPr/>
              <m:t>1</m:t>
            </m:r>
            <m:r>
              <m:rPr>
                <m:sty m:val="p"/>
              </m:rPr>
              <m:t>)</m:t>
            </m:r>
          </m:sup>
        </m:sSubSup>
      </m:oMath>
      <w:r>
        <w:rPr>
          <w:rFonts w:ascii="Times New Roman" w:hAnsi="Times New Roman" w:eastAsia="宋体"/>
          <w:b w:val="0"/>
          <w:sz w:val="21"/>
        </w:rPr>
        <w:t xml:space="preserve"> </w:t>
      </w:r>
      <w:r>
        <w:rPr>
          <w:rFonts w:hint="eastAsia" w:ascii="Times New Roman" w:hAnsi="Times New Roman" w:eastAsia="宋体"/>
          <w:b w:val="0"/>
          <w:sz w:val="21"/>
        </w:rPr>
        <w:t>为前</w:t>
      </w:r>
      <w:r>
        <w:rPr>
          <w:rFonts w:ascii="Times New Roman" w:hAnsi="Times New Roman" w:eastAsia="宋体"/>
          <w:b w:val="0"/>
          <w:sz w:val="21"/>
        </w:rPr>
        <w:t xml:space="preserve"> </w:t>
      </w:r>
      <m:oMath>
        <m:r>
          <m:rPr/>
          <m:t>t</m:t>
        </m:r>
        <m:r>
          <m:rPr>
            <m:sty m:val="p"/>
          </m:rPr>
          <m:t>−</m:t>
        </m:r>
        <m:r>
          <m:rPr/>
          <m:t>1</m:t>
        </m:r>
      </m:oMath>
      <w:r>
        <w:rPr>
          <w:rFonts w:ascii="Times New Roman" w:hAnsi="Times New Roman" w:eastAsia="宋体"/>
          <w:b w:val="0"/>
          <w:sz w:val="21"/>
        </w:rPr>
        <w:t xml:space="preserve"> </w:t>
      </w:r>
      <w:r>
        <w:rPr>
          <w:rFonts w:hint="eastAsia" w:ascii="Times New Roman" w:hAnsi="Times New Roman" w:eastAsia="宋体"/>
          <w:b w:val="0"/>
          <w:sz w:val="21"/>
        </w:rPr>
        <w:t>轮的累积预测，</w:t>
      </w:r>
      <m:oMath>
        <m:r>
          <m:rPr>
            <m:sty m:val="p"/>
          </m:rPr>
          <m:t>Ω(</m:t>
        </m:r>
        <m:sSub>
          <m:sSubPr/>
          <m:e>
            <m:r>
              <m:rPr/>
              <m:t>f</m:t>
            </m:r>
          </m:e>
          <m:sub>
            <m:r>
              <m:rPr/>
              <m:t>t</m:t>
            </m:r>
          </m:sub>
        </m:sSub>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为正则化项，定义为：</w:t>
      </w:r>
    </w:p>
    <w:p w14:paraId="2B124446">
      <w:pPr>
        <w:tabs>
          <w:tab w:val="right" w:pos="8617"/>
        </w:tabs>
        <w:spacing w:before="0" w:after="0" w:line="312" w:lineRule="auto"/>
        <w:ind w:firstLine="0"/>
        <w:jc w:val="center"/>
      </w:pPr>
      <m:oMath>
        <m:r>
          <m:rPr>
            <m:sty m:val="p"/>
          </m:rPr>
          <m:t>Ω(</m:t>
        </m:r>
        <m:sSub>
          <m:sSubPr/>
          <m:e>
            <m:r>
              <m:rPr/>
              <m:t>f</m:t>
            </m:r>
          </m:e>
          <m:sub>
            <m:r>
              <m:rPr/>
              <m:t>t</m:t>
            </m:r>
          </m:sub>
        </m:sSub>
        <m:r>
          <m:rPr>
            <m:sty m:val="p"/>
          </m:rPr>
          <m:t>)=</m:t>
        </m:r>
        <m:r>
          <m:rPr/>
          <m:t>γ</m:t>
        </m:r>
        <m:sSub>
          <m:sSubPr/>
          <m:e>
            <m:r>
              <m:rPr/>
              <m:t>T</m:t>
            </m:r>
          </m:e>
          <m:sub>
            <m:r>
              <m:rPr>
                <m:nor/>
                <m:sty m:val="p"/>
              </m:rPr>
              <w:rPr>
                <w:b w:val="0"/>
                <w:i w:val="0"/>
              </w:rPr>
              <m:t>leaf</m:t>
            </m:r>
          </m:sub>
        </m:sSub>
        <m:r>
          <m:rPr>
            <m:sty m:val="p"/>
          </m:rPr>
          <m:t>+</m:t>
        </m:r>
        <m:f>
          <m:fPr/>
          <m:num>
            <m:r>
              <m:rPr/>
              <m:t>1</m:t>
            </m:r>
          </m:num>
          <m:den>
            <m:r>
              <m:rPr/>
              <m:t>2</m:t>
            </m:r>
          </m:den>
        </m:f>
        <m:r>
          <m:rPr/>
          <m:t>λ</m:t>
        </m:r>
        <m:nary>
          <m:naryPr>
            <m:chr m:val="∑"/>
            <m:limLoc m:val="undOvr"/>
          </m:naryPr>
          <m:sub>
            <m:r>
              <m:rPr/>
              <m:t>j</m:t>
            </m:r>
            <m:r>
              <m:rPr>
                <m:sty m:val="p"/>
              </m:rPr>
              <m:t>=</m:t>
            </m:r>
            <m:r>
              <m:rPr/>
              <m:t>1</m:t>
            </m:r>
          </m:sub>
          <m:sup>
            <m:sSub>
              <m:sSubPr/>
              <m:e>
                <m:r>
                  <m:rPr/>
                  <m:t>T</m:t>
                </m:r>
              </m:e>
              <m:sub>
                <m:r>
                  <m:rPr>
                    <m:nor/>
                    <m:sty m:val="p"/>
                  </m:rPr>
                  <w:rPr>
                    <w:b w:val="0"/>
                    <w:i w:val="0"/>
                  </w:rPr>
                  <m:t>leaf</m:t>
                </m:r>
              </m:sub>
            </m:sSub>
          </m:sup>
          <m:e>
            <m:sSubSup>
              <m:sSubSupPr/>
              <m:e>
                <m:r>
                  <m:rPr/>
                  <m:t>w</m:t>
                </m:r>
              </m:e>
              <m:sub>
                <m:r>
                  <m:rPr/>
                  <m:t>j</m:t>
                </m:r>
              </m:sub>
              <m:sup>
                <m:r>
                  <m:rPr/>
                  <m:t>2</m:t>
                </m:r>
              </m:sup>
            </m:sSubSup>
          </m:e>
        </m:nary>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17</w:t>
      </w:r>
      <w:r>
        <w:rPr>
          <w:rFonts w:ascii="宋体" w:hAnsi="宋体" w:eastAsia="宋体"/>
          <w:sz w:val="21"/>
        </w:rPr>
        <w:t>)</w:t>
      </w:r>
    </w:p>
    <w:p w14:paraId="3ADF09A5">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T</m:t>
            </m:r>
          </m:e>
          <m:sub>
            <m:r>
              <m:rPr>
                <m:nor/>
                <m:sty m:val="p"/>
              </m:rPr>
              <w:rPr>
                <w:b w:val="0"/>
                <w:i w:val="0"/>
              </w:rPr>
              <m:t>leaf</m:t>
            </m:r>
          </m:sub>
        </m:sSub>
      </m:oMath>
      <w:r>
        <w:rPr>
          <w:rFonts w:ascii="Times New Roman" w:hAnsi="Times New Roman" w:eastAsia="宋体"/>
          <w:b w:val="0"/>
          <w:sz w:val="21"/>
        </w:rPr>
        <w:t xml:space="preserve"> </w:t>
      </w:r>
      <w:r>
        <w:rPr>
          <w:rFonts w:hint="eastAsia" w:ascii="Times New Roman" w:hAnsi="Times New Roman" w:eastAsia="宋体"/>
          <w:b w:val="0"/>
          <w:sz w:val="21"/>
        </w:rPr>
        <w:t>为树的叶节点数，</w:t>
      </w:r>
      <m:oMath>
        <m:sSub>
          <m:sSubPr/>
          <m:e>
            <m:r>
              <m:rPr/>
              <m:t>w</m:t>
            </m:r>
          </m:e>
          <m:sub>
            <m:r>
              <m:rPr/>
              <m:t>j</m:t>
            </m:r>
          </m:sub>
        </m:sSub>
      </m:oMath>
      <w:r>
        <w:rPr>
          <w:rFonts w:ascii="Times New Roman" w:hAnsi="Times New Roman" w:eastAsia="宋体"/>
          <w:b w:val="0"/>
          <w:sz w:val="21"/>
        </w:rPr>
        <w:t xml:space="preserve"> </w:t>
      </w:r>
      <w:r>
        <w:rPr>
          <w:rFonts w:hint="eastAsia" w:ascii="Times New Roman" w:hAnsi="Times New Roman" w:eastAsia="宋体"/>
          <w:b w:val="0"/>
          <w:sz w:val="21"/>
        </w:rPr>
        <w:t>为第</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个叶节点的预测权重，</w:t>
      </w:r>
      <m:oMath>
        <m:r>
          <m:rPr/>
          <m:t>γ</m:t>
        </m:r>
      </m:oMath>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分别控制树的复杂度惩罚和叶节点权重的</w:t>
      </w:r>
      <w:r>
        <w:rPr>
          <w:rFonts w:ascii="Times New Roman" w:hAnsi="Times New Roman" w:eastAsia="宋体"/>
          <w:b w:val="0"/>
          <w:sz w:val="21"/>
        </w:rPr>
        <w:t xml:space="preserve"> </w:t>
      </w:r>
      <m:oMath>
        <m:sSub>
          <m:sSubPr/>
          <m:e>
            <m:r>
              <m:rPr/>
              <m:t>L</m:t>
            </m:r>
          </m:e>
          <m:sub>
            <m:r>
              <m:rPr/>
              <m:t>2</m:t>
            </m:r>
          </m:sub>
        </m:sSub>
      </m:oMath>
      <w:r>
        <w:rPr>
          <w:rFonts w:ascii="Times New Roman" w:hAnsi="Times New Roman" w:eastAsia="宋体"/>
          <w:b w:val="0"/>
          <w:sz w:val="21"/>
        </w:rPr>
        <w:t xml:space="preserve"> </w:t>
      </w:r>
      <w:r>
        <w:rPr>
          <w:rFonts w:hint="eastAsia" w:ascii="Times New Roman" w:hAnsi="Times New Roman" w:eastAsia="宋体"/>
          <w:b w:val="0"/>
          <w:sz w:val="21"/>
        </w:rPr>
        <w:t>正则化强度。通过对损失函数做二阶泰勒展开，XGBoost</w:t>
      </w:r>
      <w:r>
        <w:rPr>
          <w:rFonts w:ascii="Times New Roman" w:hAnsi="Times New Roman" w:eastAsia="宋体"/>
          <w:b w:val="0"/>
          <w:sz w:val="21"/>
        </w:rPr>
        <w:t xml:space="preserve"> </w:t>
      </w:r>
      <w:r>
        <w:rPr>
          <w:rFonts w:hint="eastAsia" w:ascii="Times New Roman" w:hAnsi="Times New Roman" w:eastAsia="宋体"/>
          <w:b w:val="0"/>
          <w:sz w:val="21"/>
        </w:rPr>
        <w:t>能够高效求解每一轮的最优树结构和叶节点权重，同时正则化项有效抑制了过拟合。</w:t>
      </w:r>
    </w:p>
    <w:p w14:paraId="4654599A">
      <w:pPr>
        <w:spacing w:before="0" w:after="0" w:line="312" w:lineRule="auto"/>
        <w:ind w:firstLine="420"/>
        <w:jc w:val="both"/>
      </w:pPr>
      <w:r>
        <w:rPr>
          <w:rFonts w:hint="eastAsia" w:ascii="Times New Roman" w:hAnsi="Times New Roman" w:eastAsia="宋体"/>
          <w:b w:val="0"/>
          <w:sz w:val="21"/>
        </w:rPr>
        <w:t>相较于随机森林，XGBoost</w:t>
      </w:r>
      <w:r>
        <w:rPr>
          <w:rFonts w:ascii="Times New Roman" w:hAnsi="Times New Roman" w:eastAsia="宋体"/>
          <w:b w:val="0"/>
          <w:sz w:val="21"/>
        </w:rPr>
        <w:t xml:space="preserve"> </w:t>
      </w:r>
      <w:r>
        <w:rPr>
          <w:rFonts w:hint="eastAsia" w:ascii="Times New Roman" w:hAnsi="Times New Roman" w:eastAsia="宋体"/>
          <w:b w:val="0"/>
          <w:sz w:val="21"/>
        </w:rPr>
        <w:t>的序贯拟合通道往往更适合刻画复杂非线性结构，这里将其作为观察财政补贴局部趋势的主要树模型。对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的解读不再放在整体拟合优度谁更高，而是落在两个更贴近基准回归的议题上：一是</w:t>
      </w:r>
      <w:r>
        <w:rPr>
          <w:rFonts w:ascii="Times New Roman" w:hAnsi="Times New Roman" w:eastAsia="宋体"/>
          <w:b w:val="0"/>
          <w:sz w:val="21"/>
        </w:rPr>
        <w:t xml:space="preserve"> lnSubsidy_pos_l1 </w:t>
      </w:r>
      <w:r>
        <w:rPr>
          <w:rFonts w:hint="eastAsia" w:ascii="Times New Roman" w:hAnsi="Times New Roman" w:eastAsia="宋体"/>
          <w:b w:val="0"/>
          <w:sz w:val="21"/>
        </w:rPr>
        <w:t>在特征重要性中是否仍排在前列；二是财政补贴的部分依赖图（Partial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PDP）是否呈现总体上升的局部趋势。部分依赖图通过固定目标特征取值、对其余特征取样本均值来刻画单一变量的边际效应模式。若这两个条件大体成立，就说明在更灵活的模型中，财政补贴变量依旧保留较强信息含量，而且其整体方向判断与</w:t>
      </w:r>
      <w:r>
        <w:rPr>
          <w:rFonts w:ascii="Times New Roman" w:hAnsi="Times New Roman" w:eastAsia="宋体"/>
          <w:b w:val="0"/>
          <w:sz w:val="21"/>
        </w:rPr>
        <w:t xml:space="preserve"> OLS </w:t>
      </w:r>
      <w:r>
        <w:rPr>
          <w:rFonts w:hint="eastAsia" w:ascii="Times New Roman" w:hAnsi="Times New Roman" w:eastAsia="宋体"/>
          <w:b w:val="0"/>
          <w:sz w:val="21"/>
        </w:rPr>
        <w:t>基准回归保持一致。</w:t>
      </w:r>
    </w:p>
    <w:bookmarkEnd w:id="53"/>
    <w:bookmarkEnd w:id="54"/>
    <w:bookmarkEnd w:id="55"/>
    <w:p w14:paraId="2063E2A1">
      <w:pPr>
        <w:pStyle w:val="2"/>
        <w:pageBreakBefore/>
        <w:spacing w:before="0" w:after="0" w:line="312" w:lineRule="auto"/>
        <w:ind w:firstLine="0"/>
        <w:jc w:val="center"/>
      </w:pPr>
      <w:bookmarkStart w:id="57" w:name="_TocAuto0016"/>
      <w:bookmarkStart w:id="58" w:name="第四章-实证分析"/>
      <w:r>
        <w:rPr>
          <w:rFonts w:hint="eastAsia" w:ascii="Times New Roman" w:hAnsi="Times New Roman" w:eastAsia="黑体"/>
          <w:b/>
          <w:sz w:val="32"/>
        </w:rPr>
        <w:t>第四章</w:t>
      </w:r>
      <w:r>
        <w:rPr>
          <w:rFonts w:ascii="Times New Roman" w:hAnsi="Times New Roman" w:eastAsia="黑体"/>
          <w:b/>
          <w:sz w:val="32"/>
        </w:rPr>
        <w:t xml:space="preserve"> </w:t>
      </w:r>
      <w:r>
        <w:rPr>
          <w:rFonts w:hint="eastAsia" w:ascii="Times New Roman" w:hAnsi="Times New Roman" w:eastAsia="黑体"/>
          <w:b/>
          <w:sz w:val="32"/>
        </w:rPr>
        <w:t>实证分析</w:t>
      </w:r>
      <w:bookmarkEnd w:id="57"/>
    </w:p>
    <w:p w14:paraId="586E0600">
      <w:pPr>
        <w:pStyle w:val="3"/>
        <w:spacing w:before="0" w:after="0" w:line="312" w:lineRule="auto"/>
        <w:ind w:firstLine="0"/>
        <w:jc w:val="left"/>
      </w:pPr>
      <w:bookmarkStart w:id="59" w:name="_TocAuto0017"/>
      <w:bookmarkStart w:id="60" w:name="描述性统计"/>
      <w:r>
        <w:rPr>
          <w:rFonts w:ascii="Times New Roman" w:hAnsi="Times New Roman" w:eastAsia="黑体"/>
          <w:b w:val="0"/>
          <w:sz w:val="28"/>
        </w:rPr>
        <w:t xml:space="preserve">4.1 </w:t>
      </w:r>
      <w:r>
        <w:rPr>
          <w:rFonts w:hint="eastAsia" w:ascii="Times New Roman" w:hAnsi="Times New Roman" w:eastAsia="黑体"/>
          <w:b w:val="0"/>
          <w:sz w:val="28"/>
        </w:rPr>
        <w:t>描述性统计</w:t>
      </w:r>
      <w:bookmarkEnd w:id="59"/>
    </w:p>
    <w:p w14:paraId="3ED669A4">
      <w:pPr>
        <w:spacing w:before="0" w:after="0" w:line="312" w:lineRule="auto"/>
        <w:ind w:firstLine="420"/>
        <w:jc w:val="both"/>
      </w:pPr>
      <w:r>
        <w:rPr>
          <w:rFonts w:hint="eastAsia" w:ascii="Times New Roman" w:hAnsi="Times New Roman" w:eastAsia="宋体"/>
          <w:b w:val="0"/>
          <w:sz w:val="21"/>
        </w:rPr>
        <w:t>表4-1报告了主要变量的描述性统计信息。剔除金融行业后，样本为69,142条；进一步按公司简称标签剔除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及退市整理期样本后，剩余63,011条；在关键变量完整且政府补助缺失按0处理的口径下，可用于基础统计检验的样本为52,980条；在基准薪酬模型中，因企业规模变量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与无形资产占比</w:t>
      </w:r>
      <w:r>
        <w:rPr>
          <w:rFonts w:ascii="Times New Roman" w:hAnsi="Times New Roman" w:eastAsia="宋体"/>
          <w:b w:val="0"/>
          <w:sz w:val="21"/>
        </w:rPr>
        <w:t xml:space="preserve"> IA </w:t>
      </w:r>
      <w:r>
        <w:rPr>
          <w:rFonts w:hint="eastAsia" w:ascii="Times New Roman" w:hAnsi="Times New Roman" w:eastAsia="宋体"/>
          <w:b w:val="0"/>
          <w:sz w:val="21"/>
        </w:rPr>
        <w:t>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的样本为50,171条；在基准回归模型中进一步要求“上一年补助金额大于0”后，模型2样本为43,417条；在中介效应检验中要求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与滞后一期正补助均完整后，统一样本为41,186条。</w:t>
      </w:r>
    </w:p>
    <w:p w14:paraId="40BBCD00">
      <w:pPr>
        <w:spacing w:before="0" w:after="0" w:line="312" w:lineRule="auto"/>
        <w:ind w:firstLine="0"/>
        <w:jc w:val="center"/>
      </w:pPr>
      <w:r>
        <w:rPr>
          <w:rFonts w:hint="eastAsia" w:ascii="Times New Roman" w:hAnsi="Times New Roman" w:eastAsia="宋体"/>
          <w:b/>
          <w:sz w:val="18"/>
        </w:rPr>
        <w:t>表4-1</w:t>
      </w:r>
      <w:r>
        <w:rPr>
          <w:rFonts w:ascii="Times New Roman" w:hAnsi="Times New Roman" w:eastAsia="宋体"/>
          <w:b/>
          <w:sz w:val="18"/>
        </w:rPr>
        <w:t xml:space="preserve"> </w:t>
      </w:r>
      <w:r>
        <w:rPr>
          <w:rFonts w:hint="eastAsia" w:ascii="Times New Roman" w:hAnsi="Times New Roman" w:eastAsia="宋体"/>
          <w:b/>
          <w:sz w:val="18"/>
        </w:rPr>
        <w:t>主要变量描述性统计</w:t>
      </w:r>
    </w:p>
    <w:p w14:paraId="62B73A57">
      <w:pPr>
        <w:spacing w:before="0" w:after="0" w:line="240" w:lineRule="auto"/>
        <w:ind w:firstLine="0"/>
      </w:pPr>
      <w:r>
        <w:rPr>
          <w:rFonts w:ascii="Times New Roman" w:hAnsi="Times New Roman" w:eastAsia="宋体"/>
          <w:sz w:val="21"/>
        </w:rPr>
        <w:drawing>
          <wp:inline distT="0" distB="0" distL="114300" distR="114300">
            <wp:extent cx="5579745" cy="3155315"/>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a:picLocks noChangeAspect="1" noChangeArrowheads="1"/>
                    </pic:cNvPicPr>
                  </pic:nvPicPr>
                  <pic:blipFill>
                    <a:blip r:embed="rId13"/>
                    <a:stretch>
                      <a:fillRect/>
                    </a:stretch>
                  </pic:blipFill>
                  <pic:spPr>
                    <a:xfrm>
                      <a:off x="0" y="0"/>
                      <a:ext cx="5579999" cy="3155799"/>
                    </a:xfrm>
                    <a:prstGeom prst="rect">
                      <a:avLst/>
                    </a:prstGeom>
                    <a:noFill/>
                    <a:ln w="9525">
                      <a:noFill/>
                    </a:ln>
                  </pic:spPr>
                </pic:pic>
              </a:graphicData>
            </a:graphic>
          </wp:inline>
        </w:drawing>
      </w:r>
    </w:p>
    <w:p w14:paraId="700AE8A2">
      <w:pPr>
        <w:spacing w:before="0" w:after="0" w:line="312" w:lineRule="auto"/>
        <w:ind w:firstLine="0"/>
        <w:jc w:val="left"/>
      </w:pPr>
      <w:r>
        <w:rPr>
          <w:rFonts w:hint="eastAsia" w:ascii="Times New Roman" w:hAnsi="Times New Roman" w:eastAsia="宋体"/>
          <w:b w:val="0"/>
          <w:sz w:val="21"/>
        </w:rPr>
        <w:t>注：政府补助和高管薪酬单位为元，Overpay直接使用基准薪酬模型残差，不再开展二次缩尾；其余连续变量在1%/99%分位数处展开Winsorize缩尾处理。未披露政府补助的公司年度记为0，因此财政补贴强度变量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的最小值为0。</w:t>
      </w:r>
    </w:p>
    <w:bookmarkEnd w:id="56"/>
    <w:p w14:paraId="160596BC">
      <w:pPr>
        <w:pStyle w:val="3"/>
        <w:spacing w:before="0" w:after="0" w:line="312" w:lineRule="auto"/>
        <w:ind w:firstLine="0"/>
        <w:jc w:val="left"/>
      </w:pPr>
      <w:bookmarkStart w:id="61" w:name="_TocAuto0018"/>
      <w:bookmarkStart w:id="62" w:name="相关性分析"/>
      <w:r>
        <w:rPr>
          <w:rFonts w:ascii="Times New Roman" w:hAnsi="Times New Roman" w:eastAsia="黑体"/>
          <w:b w:val="0"/>
          <w:sz w:val="28"/>
        </w:rPr>
        <w:t xml:space="preserve">4.2 </w:t>
      </w:r>
      <w:r>
        <w:rPr>
          <w:rFonts w:hint="eastAsia" w:ascii="Times New Roman" w:hAnsi="Times New Roman" w:eastAsia="黑体"/>
          <w:b w:val="0"/>
          <w:sz w:val="28"/>
        </w:rPr>
        <w:t>相关性分析</w:t>
      </w:r>
      <w:bookmarkEnd w:id="61"/>
    </w:p>
    <w:p w14:paraId="698653BC">
      <w:pPr>
        <w:spacing w:before="0" w:after="0" w:line="312" w:lineRule="auto"/>
        <w:ind w:firstLine="420"/>
        <w:jc w:val="both"/>
      </w:pPr>
      <w:r>
        <w:rPr>
          <w:rFonts w:hint="eastAsia" w:ascii="Times New Roman" w:hAnsi="Times New Roman" w:eastAsia="宋体"/>
          <w:b w:val="0"/>
          <w:sz w:val="21"/>
        </w:rPr>
        <w:t>在实施基准回归之前，先对主要解释变量推进皮尔逊相关性讨论和方差膨胀因子（VIF）检验，以排除多重共线性干扰。</w:t>
      </w:r>
    </w:p>
    <w:p w14:paraId="02C1073C">
      <w:pPr>
        <w:spacing w:before="0" w:after="0" w:line="312" w:lineRule="auto"/>
        <w:ind w:firstLine="0"/>
        <w:jc w:val="center"/>
      </w:pPr>
      <w:r>
        <w:rPr>
          <w:rFonts w:hint="eastAsia" w:ascii="Times New Roman" w:hAnsi="Times New Roman" w:eastAsia="宋体"/>
          <w:b/>
          <w:sz w:val="18"/>
        </w:rPr>
        <w:t>表4-2</w:t>
      </w:r>
      <w:r>
        <w:rPr>
          <w:rFonts w:ascii="Times New Roman" w:hAnsi="Times New Roman" w:eastAsia="宋体"/>
          <w:b/>
          <w:sz w:val="18"/>
        </w:rPr>
        <w:t xml:space="preserve"> </w:t>
      </w:r>
      <w:r>
        <w:rPr>
          <w:rFonts w:hint="eastAsia" w:ascii="Times New Roman" w:hAnsi="Times New Roman" w:eastAsia="宋体"/>
          <w:b/>
          <w:sz w:val="18"/>
        </w:rPr>
        <w:t>主要变量相关系数矩阵</w:t>
      </w:r>
    </w:p>
    <w:p w14:paraId="7D3BA012">
      <w:pPr>
        <w:spacing w:before="0" w:after="0" w:line="240" w:lineRule="auto"/>
        <w:ind w:firstLine="0"/>
      </w:pPr>
      <w:r>
        <w:rPr>
          <w:rFonts w:ascii="Times New Roman" w:hAnsi="Times New Roman" w:eastAsia="宋体"/>
          <w:sz w:val="21"/>
        </w:rPr>
        <w:drawing>
          <wp:inline distT="0" distB="0" distL="114300" distR="114300">
            <wp:extent cx="5579745" cy="183515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4"/>
                    <a:stretch>
                      <a:fillRect/>
                    </a:stretch>
                  </pic:blipFill>
                  <pic:spPr>
                    <a:xfrm>
                      <a:off x="0" y="0"/>
                      <a:ext cx="5579999" cy="1835199"/>
                    </a:xfrm>
                    <a:prstGeom prst="rect">
                      <a:avLst/>
                    </a:prstGeom>
                    <a:noFill/>
                    <a:ln w="9525">
                      <a:noFill/>
                    </a:ln>
                  </pic:spPr>
                </pic:pic>
              </a:graphicData>
            </a:graphic>
          </wp:inline>
        </w:drawing>
      </w:r>
    </w:p>
    <w:p w14:paraId="0CFC0D02">
      <w:pPr>
        <w:spacing w:before="0" w:after="0" w:line="312" w:lineRule="auto"/>
        <w:ind w:firstLine="0"/>
        <w:jc w:val="left"/>
      </w:pPr>
      <w:r>
        <w:rPr>
          <w:rFonts w:hint="eastAsia" w:ascii="Times New Roman" w:hAnsi="Times New Roman" w:eastAsia="宋体"/>
          <w:b w:val="0"/>
          <w:sz w:val="21"/>
        </w:rPr>
        <w:t>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与财务杠杆变量</w:t>
      </w:r>
      <w:r>
        <w:rPr>
          <w:rFonts w:ascii="Times New Roman" w:hAnsi="Times New Roman" w:eastAsia="宋体"/>
          <w:b w:val="0"/>
          <w:sz w:val="21"/>
        </w:rPr>
        <w:t xml:space="preserve"> Lever </w:t>
      </w:r>
      <w:r>
        <w:rPr>
          <w:rFonts w:hint="eastAsia" w:ascii="Times New Roman" w:hAnsi="Times New Roman" w:eastAsia="宋体"/>
          <w:b w:val="0"/>
          <w:sz w:val="21"/>
        </w:rPr>
        <w:t>之间的0.4563，其余变量两两相关系数整体不高，未显示出严重共线性命题。</w:t>
      </w:r>
    </w:p>
    <w:p w14:paraId="58AB52BA">
      <w:pPr>
        <w:spacing w:before="0" w:after="0" w:line="312" w:lineRule="auto"/>
        <w:ind w:firstLine="0"/>
        <w:jc w:val="center"/>
      </w:pPr>
      <w:r>
        <w:rPr>
          <w:rFonts w:hint="eastAsia" w:ascii="Times New Roman" w:hAnsi="Times New Roman" w:eastAsia="宋体"/>
          <w:b/>
          <w:sz w:val="18"/>
        </w:rPr>
        <w:t>表4-3</w:t>
      </w:r>
      <w:r>
        <w:rPr>
          <w:rFonts w:ascii="Times New Roman" w:hAnsi="Times New Roman" w:eastAsia="宋体"/>
          <w:b/>
          <w:sz w:val="18"/>
        </w:rPr>
        <w:t xml:space="preserve"> </w:t>
      </w:r>
      <w:r>
        <w:rPr>
          <w:rFonts w:hint="eastAsia" w:ascii="Times New Roman" w:hAnsi="Times New Roman" w:eastAsia="宋体"/>
          <w:b/>
          <w:sz w:val="18"/>
        </w:rPr>
        <w:t>方差膨胀因子（VIF）检验</w:t>
      </w:r>
    </w:p>
    <w:p w14:paraId="548C71C1">
      <w:pPr>
        <w:spacing w:before="0" w:after="0" w:line="240" w:lineRule="auto"/>
        <w:ind w:firstLine="0"/>
      </w:pPr>
      <w:r>
        <w:rPr>
          <w:rFonts w:ascii="Times New Roman" w:hAnsi="Times New Roman" w:eastAsia="宋体"/>
          <w:sz w:val="21"/>
        </w:rPr>
        <w:drawing>
          <wp:inline distT="0" distB="0" distL="114300" distR="114300">
            <wp:extent cx="5579745" cy="183515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a:picLocks noChangeAspect="1" noChangeArrowheads="1"/>
                    </pic:cNvPicPr>
                  </pic:nvPicPr>
                  <pic:blipFill>
                    <a:blip r:embed="rId15"/>
                    <a:stretch>
                      <a:fillRect/>
                    </a:stretch>
                  </pic:blipFill>
                  <pic:spPr>
                    <a:xfrm>
                      <a:off x="0" y="0"/>
                      <a:ext cx="5579999" cy="1835199"/>
                    </a:xfrm>
                    <a:prstGeom prst="rect">
                      <a:avLst/>
                    </a:prstGeom>
                    <a:noFill/>
                    <a:ln w="9525">
                      <a:noFill/>
                    </a:ln>
                  </pic:spPr>
                </pic:pic>
              </a:graphicData>
            </a:graphic>
          </wp:inline>
        </w:drawing>
      </w:r>
    </w:p>
    <w:p w14:paraId="5DAF1752">
      <w:pPr>
        <w:spacing w:before="0" w:after="0" w:line="312" w:lineRule="auto"/>
        <w:ind w:firstLine="0"/>
        <w:jc w:val="left"/>
      </w:pPr>
      <w:r>
        <w:rPr>
          <w:rFonts w:hint="eastAsia" w:ascii="Times New Roman" w:hAnsi="Times New Roman" w:eastAsia="宋体"/>
          <w:b w:val="0"/>
          <w:sz w:val="21"/>
        </w:rPr>
        <w:t>注：所有变量</w:t>
      </w:r>
      <w:r>
        <w:rPr>
          <w:rFonts w:ascii="Times New Roman" w:hAnsi="Times New Roman" w:eastAsia="宋体"/>
          <w:b w:val="0"/>
          <w:sz w:val="21"/>
        </w:rPr>
        <w:t xml:space="preserve"> VIF </w:t>
      </w:r>
      <w:r>
        <w:rPr>
          <w:rFonts w:hint="eastAsia" w:ascii="Times New Roman" w:hAnsi="Times New Roman" w:eastAsia="宋体"/>
          <w:b w:val="0"/>
          <w:sz w:val="21"/>
        </w:rPr>
        <w:t>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0.001），这意味着若继续沿用常规标准误，推断容易失真。基于这一点，后文的基准回归、选择偏差校正、中介检验、稳健性检验和异质性梳理统一采用公司层面的聚类稳健标准误。</w:t>
      </w:r>
    </w:p>
    <w:p w14:paraId="6EE7134E">
      <w:pPr>
        <w:spacing w:before="0" w:after="0" w:line="312" w:lineRule="auto"/>
        <w:ind w:firstLine="420"/>
        <w:jc w:val="both"/>
      </w:pPr>
      <w:r>
        <w:rPr>
          <w:rFonts w:hint="eastAsia" w:ascii="Times New Roman" w:hAnsi="Times New Roman" w:eastAsia="宋体"/>
          <w:b w:val="0"/>
          <w:sz w:val="21"/>
        </w:rPr>
        <w:t>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的最小值为0、均值14.66、中位数16.20，反映出在把零补助公司年度纳入后，补贴分布下端被明显拉长。</w:t>
      </w:r>
    </w:p>
    <w:p w14:paraId="6B92CC79">
      <w:pPr>
        <w:spacing w:before="0" w:after="0" w:line="312" w:lineRule="auto"/>
        <w:ind w:firstLine="420"/>
        <w:jc w:val="both"/>
      </w:pPr>
      <w:r>
        <w:rPr>
          <w:rFonts w:hint="eastAsia" w:ascii="Times New Roman" w:hAnsi="Times New Roman" w:eastAsia="宋体"/>
          <w:b w:val="0"/>
          <w:sz w:val="21"/>
        </w:rPr>
        <w:t>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p w14:paraId="478F1BDF">
      <w:pPr>
        <w:spacing w:before="0" w:after="0" w:line="312" w:lineRule="auto"/>
        <w:ind w:firstLine="420"/>
        <w:jc w:val="both"/>
      </w:pPr>
      <w:r>
        <w:rPr>
          <w:rFonts w:hint="eastAsia" w:ascii="Times New Roman" w:hAnsi="Times New Roman" w:eastAsia="宋体"/>
          <w:b w:val="0"/>
          <w:sz w:val="21"/>
        </w:rPr>
        <w:t>综合以上相关性和VIF估计，可以为后续回归的设定选择提供三点依据。各解释变量之间的两两相关系数均处于较低程度，VIF均远低于经验阈值，说明将它们同时纳入回归模型不会引发严重的多重共线性困扰。BP异方差检验和Wooldridge序列相关检验给出的显著统计证据，为后文统一采用聚类稳健标准误提供了直接依据。补贴分布的强烈右偏特征和零值集中现象，也进一步支持了本文将基准回归限定在正补助样本、以对数形式刻画补贴强度的设计选择。</w:t>
      </w:r>
    </w:p>
    <w:bookmarkEnd w:id="58"/>
    <w:p w14:paraId="2827FD7E">
      <w:pPr>
        <w:pStyle w:val="3"/>
        <w:spacing w:before="0" w:after="0" w:line="312" w:lineRule="auto"/>
        <w:ind w:firstLine="0"/>
        <w:jc w:val="left"/>
      </w:pPr>
      <w:bookmarkStart w:id="63" w:name="_TocAuto0019"/>
      <w:bookmarkStart w:id="64" w:name="基准回归分析"/>
      <w:r>
        <w:rPr>
          <w:rFonts w:ascii="Times New Roman" w:hAnsi="Times New Roman" w:eastAsia="黑体"/>
          <w:b w:val="0"/>
          <w:sz w:val="28"/>
        </w:rPr>
        <w:t xml:space="preserve">4.3 </w:t>
      </w:r>
      <w:r>
        <w:rPr>
          <w:rFonts w:hint="eastAsia" w:ascii="Times New Roman" w:hAnsi="Times New Roman" w:eastAsia="黑体"/>
          <w:b w:val="0"/>
          <w:sz w:val="28"/>
        </w:rPr>
        <w:t>基准回归分析</w:t>
      </w:r>
      <w:bookmarkEnd w:id="63"/>
    </w:p>
    <w:p w14:paraId="52665B5A">
      <w:pPr>
        <w:pStyle w:val="28"/>
        <w:spacing w:before="0" w:after="0" w:line="312" w:lineRule="auto"/>
        <w:ind w:firstLine="420"/>
        <w:jc w:val="left"/>
      </w:pPr>
      <w:bookmarkStart w:id="65" w:name="基准薪酬模型估计"/>
      <w:r>
        <w:rPr>
          <w:rFonts w:ascii="Times New Roman" w:hAnsi="Times New Roman" w:eastAsia="宋体"/>
          <w:b w:val="0"/>
          <w:sz w:val="24"/>
        </w:rPr>
        <w:t xml:space="preserve">4.3.1 </w:t>
      </w:r>
      <w:r>
        <w:rPr>
          <w:rFonts w:hint="eastAsia" w:ascii="Times New Roman" w:hAnsi="Times New Roman" w:eastAsia="宋体"/>
          <w:b w:val="0"/>
          <w:sz w:val="24"/>
        </w:rPr>
        <w:t>基准薪酬模型估计</w:t>
      </w:r>
    </w:p>
    <w:p w14:paraId="673E95DE">
      <w:pPr>
        <w:spacing w:before="0" w:after="0" w:line="312" w:lineRule="auto"/>
        <w:ind w:firstLine="420"/>
        <w:jc w:val="both"/>
      </w:pPr>
      <w:r>
        <w:rPr>
          <w:rFonts w:hint="eastAsia" w:ascii="Times New Roman" w:hAnsi="Times New Roman" w:eastAsia="宋体"/>
          <w:b w:val="0"/>
          <w:sz w:val="21"/>
        </w:rPr>
        <w:t>表4-4报告了方程（3）的估计结论，这是构造超额薪酬变量的基础。</w:t>
      </w:r>
    </w:p>
    <w:p w14:paraId="162A07E0">
      <w:pPr>
        <w:spacing w:before="0" w:after="0" w:line="312" w:lineRule="auto"/>
        <w:ind w:firstLine="0"/>
        <w:jc w:val="center"/>
      </w:pPr>
      <w:r>
        <w:rPr>
          <w:rFonts w:hint="eastAsia" w:ascii="Times New Roman" w:hAnsi="Times New Roman" w:eastAsia="宋体"/>
          <w:b/>
          <w:sz w:val="18"/>
        </w:rPr>
        <w:t>表4-4</w:t>
      </w:r>
      <w:r>
        <w:rPr>
          <w:rFonts w:ascii="Times New Roman" w:hAnsi="Times New Roman" w:eastAsia="宋体"/>
          <w:b/>
          <w:sz w:val="18"/>
        </w:rPr>
        <w:t xml:space="preserve"> </w:t>
      </w:r>
      <w:r>
        <w:rPr>
          <w:rFonts w:hint="eastAsia" w:ascii="Times New Roman" w:hAnsi="Times New Roman" w:eastAsia="宋体"/>
          <w:b/>
          <w:sz w:val="18"/>
        </w:rPr>
        <w:t>基准薪酬模型估计结果（模型1）</w:t>
      </w:r>
    </w:p>
    <w:p w14:paraId="2D392CF9">
      <w:pPr>
        <w:spacing w:before="0" w:after="0" w:line="240" w:lineRule="auto"/>
        <w:ind w:firstLine="0"/>
      </w:pPr>
      <w:r>
        <w:rPr>
          <w:rFonts w:ascii="Times New Roman" w:hAnsi="Times New Roman" w:eastAsia="宋体"/>
          <w:sz w:val="21"/>
        </w:rPr>
        <w:drawing>
          <wp:inline distT="0" distB="0" distL="114300" distR="114300">
            <wp:extent cx="5579745" cy="2597785"/>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a:picLocks noChangeAspect="1" noChangeArrowheads="1"/>
                    </pic:cNvPicPr>
                  </pic:nvPicPr>
                  <pic:blipFill>
                    <a:blip r:embed="rId16"/>
                    <a:stretch>
                      <a:fillRect/>
                    </a:stretch>
                  </pic:blipFill>
                  <pic:spPr>
                    <a:xfrm>
                      <a:off x="0" y="0"/>
                      <a:ext cx="5579999" cy="2597799"/>
                    </a:xfrm>
                    <a:prstGeom prst="rect">
                      <a:avLst/>
                    </a:prstGeom>
                    <a:noFill/>
                    <a:ln w="9525">
                      <a:noFill/>
                    </a:ln>
                  </pic:spPr>
                </pic:pic>
              </a:graphicData>
            </a:graphic>
          </wp:inline>
        </w:drawing>
      </w:r>
    </w:p>
    <w:p w14:paraId="12E5ACD3">
      <w:pPr>
        <w:spacing w:before="0" w:after="0" w:line="312" w:lineRule="auto"/>
        <w:ind w:firstLine="0"/>
        <w:jc w:val="left"/>
      </w:pPr>
      <w:r>
        <w:rPr>
          <w:rFonts w:hint="eastAsia" w:ascii="Times New Roman" w:hAnsi="Times New Roman" w:eastAsia="宋体"/>
          <w:b w:val="0"/>
          <w:sz w:val="21"/>
        </w:rPr>
        <w:t>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表示在1%的统计层面上显著。该模型用于估计正常薪酬基准，其残差直接定义为超额薪酬</w:t>
      </w:r>
      <w:r>
        <w:rPr>
          <w:rFonts w:ascii="Times New Roman" w:hAnsi="Times New Roman" w:eastAsia="宋体"/>
          <w:b w:val="0"/>
          <w:sz w:val="21"/>
        </w:rPr>
        <w:t xml:space="preserve"> Overpay。</w:t>
      </w:r>
    </w:p>
    <w:p w14:paraId="55E30444">
      <w:pPr>
        <w:spacing w:before="0" w:after="0" w:line="312" w:lineRule="auto"/>
        <w:ind w:firstLine="420"/>
        <w:jc w:val="both"/>
      </w:pPr>
      <w:r>
        <w:rPr>
          <w:rFonts w:hint="eastAsia" w:ascii="Times New Roman" w:hAnsi="Times New Roman" w:eastAsia="宋体"/>
          <w:b w:val="0"/>
          <w:sz w:val="21"/>
        </w:rPr>
        <w:t>估计显示，企业规模（</w:t>
      </w:r>
      <m:oMath>
        <m:r>
          <m:rPr>
            <m:sty m:val="p"/>
          </m:rPr>
          <m:t>ln</m:t>
        </m:r>
        <m:r>
          <m:rPr>
            <m:nor/>
            <m:sty m:val="p"/>
          </m:rPr>
          <m:t>Sale</m:t>
        </m:r>
      </m:oMath>
      <w:r>
        <w:rPr>
          <w:rFonts w:hint="eastAsia" w:ascii="Times New Roman" w:hAnsi="Times New Roman" w:eastAsia="宋体"/>
          <w:b w:val="0"/>
          <w:sz w:val="21"/>
        </w:rPr>
        <w:t>）的系数为0.1979，在1%的统计层面上显著为正，与既有薪酬—规模关系的经验观察到一致：规模更大的企业管理复杂度更高、外部经理人市场对高管技能的竞争更激烈，因而需要支付更高的市场均衡薪酬。盈利空间（Roa）的系数为1.9156，也在1%的统计层面上显著为正，符合薪酬—绩效敏感性的理论预期；无形资产占比（IA）的系数为−0.3301，显示无形资产比例较高的企业高管期望薪酬相对偏低。</w:t>
      </w:r>
    </w:p>
    <w:p w14:paraId="69EB003D">
      <w:pPr>
        <w:spacing w:before="0" w:after="0" w:line="312" w:lineRule="auto"/>
        <w:ind w:firstLine="420"/>
        <w:jc w:val="both"/>
      </w:pPr>
      <w:r>
        <w:rPr>
          <w:rFonts w:hint="eastAsia" w:ascii="Times New Roman" w:hAnsi="Times New Roman" w:eastAsia="宋体"/>
          <w:b w:val="0"/>
          <w:sz w:val="21"/>
        </w:rPr>
        <w:t>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表示中西部、Zone=0</w:t>
      </w:r>
      <w:r>
        <w:rPr>
          <w:rFonts w:ascii="Times New Roman" w:hAnsi="Times New Roman" w:eastAsia="宋体"/>
          <w:b w:val="0"/>
          <w:sz w:val="21"/>
        </w:rPr>
        <w:t xml:space="preserve"> </w:t>
      </w:r>
      <w:r>
        <w:rPr>
          <w:rFonts w:hint="eastAsia" w:ascii="Times New Roman" w:hAnsi="Times New Roman" w:eastAsia="宋体"/>
          <w:b w:val="0"/>
          <w:sz w:val="21"/>
        </w:rPr>
        <w:t>表示东部的编码下，这意味着中西部企业的期望薪酬显著低于东部企业。该模型的</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为0.5117，调整后</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为0.5113，F统计量为1316.28，并在1%的统计层面上显著；其</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处于同类实证检验的常见区间，可作为后续提取超额薪酬残差的经验基准。</w:t>
      </w:r>
    </w:p>
    <w:bookmarkEnd w:id="60"/>
    <w:p w14:paraId="6054D375">
      <w:pPr>
        <w:pStyle w:val="28"/>
        <w:spacing w:before="0" w:after="0" w:line="312" w:lineRule="auto"/>
        <w:ind w:firstLine="420"/>
        <w:jc w:val="left"/>
      </w:pPr>
      <w:bookmarkStart w:id="66" w:name="基准回归结果"/>
      <w:r>
        <w:rPr>
          <w:rFonts w:ascii="Times New Roman" w:hAnsi="Times New Roman" w:eastAsia="宋体"/>
          <w:b w:val="0"/>
          <w:sz w:val="24"/>
        </w:rPr>
        <w:t xml:space="preserve">4.3.2 </w:t>
      </w:r>
      <w:r>
        <w:rPr>
          <w:rFonts w:hint="eastAsia" w:ascii="Times New Roman" w:hAnsi="Times New Roman" w:eastAsia="宋体"/>
          <w:b w:val="0"/>
          <w:sz w:val="24"/>
        </w:rPr>
        <w:t>基准回归结果</w:t>
      </w:r>
    </w:p>
    <w:p w14:paraId="2A60E20C">
      <w:pPr>
        <w:spacing w:before="0" w:after="0" w:line="312" w:lineRule="auto"/>
        <w:ind w:firstLine="420"/>
        <w:jc w:val="both"/>
      </w:pPr>
      <w:r>
        <w:rPr>
          <w:rFonts w:hint="eastAsia" w:ascii="Times New Roman" w:hAnsi="Times New Roman" w:eastAsia="宋体"/>
          <w:b w:val="0"/>
          <w:sz w:val="21"/>
        </w:rPr>
        <w:t>在获得超额薪酬（Overpay）变量后，基于式（4）实施</w:t>
      </w:r>
      <w:r>
        <w:rPr>
          <w:rFonts w:ascii="Times New Roman" w:hAnsi="Times New Roman" w:eastAsia="宋体"/>
          <w:b w:val="0"/>
          <w:sz w:val="21"/>
        </w:rPr>
        <w:t xml:space="preserve"> OLS </w:t>
      </w:r>
      <w:r>
        <w:rPr>
          <w:rFonts w:hint="eastAsia" w:ascii="Times New Roman" w:hAnsi="Times New Roman" w:eastAsia="宋体"/>
          <w:b w:val="0"/>
          <w:sz w:val="21"/>
        </w:rPr>
        <w:t>基准回归。与旧的全样本</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口径不同，新的基准回归只保留“上一年已获得财政补贴”的公司年度，并以滞后一期正补助对数刻画补贴强度。回归证据如表4-5所示。所有估计均控制公司固定效应与年份固定效应，同时采用公司层面聚类稳健标准误，以缓解异方差与序列相关疑问。由于基准回归并不要求管理层权力指标完整，因此其样本量高于后续中介检验的统一样本。</w:t>
      </w:r>
    </w:p>
    <w:p w14:paraId="212F6819">
      <w:pPr>
        <w:spacing w:before="0" w:after="0" w:line="312" w:lineRule="auto"/>
        <w:ind w:firstLine="0"/>
        <w:jc w:val="center"/>
      </w:pPr>
      <w:r>
        <w:rPr>
          <w:rFonts w:hint="eastAsia" w:ascii="Times New Roman" w:hAnsi="Times New Roman" w:eastAsia="宋体"/>
          <w:b/>
          <w:sz w:val="18"/>
        </w:rPr>
        <w:t>表4-5</w:t>
      </w:r>
      <w:r>
        <w:rPr>
          <w:rFonts w:ascii="Times New Roman" w:hAnsi="Times New Roman" w:eastAsia="宋体"/>
          <w:b/>
          <w:sz w:val="18"/>
        </w:rPr>
        <w:t xml:space="preserve"> </w:t>
      </w:r>
      <w:r>
        <w:rPr>
          <w:rFonts w:hint="eastAsia" w:ascii="Times New Roman" w:hAnsi="Times New Roman" w:eastAsia="宋体"/>
          <w:b/>
          <w:sz w:val="18"/>
        </w:rPr>
        <w:t>基准回归结果（模型2，公司与年份固定效应）</w:t>
      </w:r>
    </w:p>
    <w:p w14:paraId="0F2E6D07">
      <w:pPr>
        <w:spacing w:before="0" w:after="0" w:line="240" w:lineRule="auto"/>
        <w:ind w:firstLine="0"/>
      </w:pPr>
      <w:r>
        <w:rPr>
          <w:rFonts w:ascii="Times New Roman" w:hAnsi="Times New Roman" w:eastAsia="宋体"/>
          <w:sz w:val="21"/>
        </w:rPr>
        <w:drawing>
          <wp:inline distT="0" distB="0" distL="114300" distR="114300">
            <wp:extent cx="5579745" cy="1221105"/>
            <wp:effectExtent l="0" t="0" r="0" b="0"/>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a:picLocks noChangeAspect="1" noChangeArrowheads="1"/>
                    </pic:cNvPicPr>
                  </pic:nvPicPr>
                  <pic:blipFill>
                    <a:blip r:embed="rId17"/>
                    <a:stretch>
                      <a:fillRect/>
                    </a:stretch>
                  </pic:blipFill>
                  <pic:spPr>
                    <a:xfrm>
                      <a:off x="0" y="0"/>
                      <a:ext cx="5579999" cy="1221399"/>
                    </a:xfrm>
                    <a:prstGeom prst="rect">
                      <a:avLst/>
                    </a:prstGeom>
                    <a:noFill/>
                    <a:ln w="9525">
                      <a:noFill/>
                    </a:ln>
                  </pic:spPr>
                </pic:pic>
              </a:graphicData>
            </a:graphic>
          </wp:inline>
        </w:drawing>
      </w:r>
    </w:p>
    <w:p w14:paraId="1B2D92D2">
      <w:pPr>
        <w:spacing w:before="0" w:after="0" w:line="312" w:lineRule="auto"/>
        <w:ind w:firstLine="0"/>
        <w:jc w:val="left"/>
      </w:pPr>
      <w:r>
        <w:rPr>
          <w:rFonts w:hint="eastAsia" w:ascii="Times New Roman" w:hAnsi="Times New Roman" w:eastAsia="宋体"/>
          <w:b w:val="0"/>
          <w:sz w:val="21"/>
        </w:rPr>
        <w:t>注：所有回归均控制公司固定效应与年份固定效应，并采用公司层面聚类稳健标准误。模型整体</w:t>
      </w:r>
      <w:r>
        <w:rPr>
          <w:rFonts w:ascii="Times New Roman" w:hAnsi="Times New Roman" w:eastAsia="宋体"/>
          <w:b w:val="0"/>
          <w:sz w:val="21"/>
        </w:rPr>
        <w:t xml:space="preserve"> F </w:t>
      </w:r>
      <w:r>
        <w:rPr>
          <w:rFonts w:hint="eastAsia" w:ascii="Times New Roman" w:hAnsi="Times New Roman" w:eastAsia="宋体"/>
          <w:b w:val="0"/>
          <w:sz w:val="21"/>
        </w:rPr>
        <w:t>统计量为62.3646（p</w:t>
      </w:r>
      <w:r>
        <w:rPr>
          <w:rFonts w:ascii="Times New Roman" w:hAnsi="Times New Roman" w:eastAsia="宋体"/>
          <w:b w:val="0"/>
          <w:sz w:val="21"/>
        </w:rPr>
        <w:t xml:space="preserve"> &lt; </w:t>
      </w:r>
      <w:r>
        <w:rPr>
          <w:rFonts w:hint="eastAsia" w:ascii="Times New Roman" w:hAnsi="Times New Roman" w:eastAsia="宋体"/>
          <w:b w:val="0"/>
          <w:sz w:val="21"/>
        </w:rPr>
        <w:t>0.001）。</w:t>
      </w:r>
    </w:p>
    <w:p w14:paraId="2BB8A2C9">
      <w:pPr>
        <w:spacing w:before="0" w:after="0" w:line="312" w:lineRule="auto"/>
        <w:ind w:firstLine="420"/>
        <w:jc w:val="both"/>
      </w:pPr>
      <w:r>
        <w:rPr>
          <w:rFonts w:hint="eastAsia" w:ascii="Times New Roman" w:hAnsi="Times New Roman" w:eastAsia="宋体"/>
          <w:b w:val="0"/>
          <w:sz w:val="21"/>
        </w:rPr>
        <w:t>表4-5显示，滞后一期财政补贴强度（lnSubsidy_pos_l1）的回归系数为0.0094，标准误为0.0033，T值为2.8007，P值为0.0051，在1%的统计层面上显著为正。这表示在只比较”上一年已经拿到补贴”的公司年度时，补贴强度越高，后续超额薪酬也越高，也就是已获补贴企业内部存在显著正向的强度关联。该回归估计与H1的预期方向一致，也与代理理论所揭示的逻辑相吻合：外部政策资源的增加扩大了管理层可支配空间，如果薪酬治理逻辑未能将补贴收益从绩效考核基数中有效剔除，补贴带来的账面利润改善便容易同步转化为高管的额外报酬。</w:t>
      </w:r>
    </w:p>
    <w:p w14:paraId="61E6DF61">
      <w:pPr>
        <w:spacing w:before="0" w:after="0" w:line="312" w:lineRule="auto"/>
        <w:ind w:firstLine="420"/>
        <w:jc w:val="both"/>
      </w:pPr>
      <w:r>
        <w:rPr>
          <w:rFonts w:hint="eastAsia" w:ascii="Times New Roman" w:hAnsi="Times New Roman" w:eastAsia="宋体"/>
          <w:b w:val="0"/>
          <w:sz w:val="21"/>
        </w:rPr>
        <w:t>控制变量方面，三个变量的系数方向均为负且统计显著，各自对应不同的治理约束安排。业绩（Roa）系数为−1.0014，在1%层面上显著为负。这里需要注意的是，Overpay本身已经通过第一阶段模型剥离了Roa对正常薪酬的正向贡献，因此模型2中Roa的负系数反映的是：在公司固定效应结构下，盈利表现的改善与超额薪酬残差的下降相伴随。一种可能的解释是，真实盈利改善提高了薪酬契约的信息质量，使得薪酬安排更贴近绩效基准，从而压缩了异常偏离。财务杠杆（Lever）系数为−0.1051，在1%层面上显著。负号意味着负债约束更强的企业，其高管超额薪酬倾向于更低，这与代理理论中债务对管理层自利行为的约束效应一致：更高的财务杠杆增加了债权人监督和财务压力，从而限制了管理层的薪酬攫取空间。第一大股东持股比例（Top1）系数为−0.0022，在1%层面上显著。负向联系提示，股权集中度越高，大股东对高管薪酬安排的监督越有效，这与我国上市公司治理结构中大股东发挥积极治理功能的经验观察一致。</w:t>
      </w:r>
    </w:p>
    <w:p w14:paraId="1A0D5D58">
      <w:pPr>
        <w:spacing w:before="0" w:after="0" w:line="312" w:lineRule="auto"/>
        <w:ind w:firstLine="420"/>
        <w:jc w:val="both"/>
      </w:pPr>
      <w:r>
        <w:rPr>
          <w:rFonts w:hint="eastAsia" w:ascii="Times New Roman" w:hAnsi="Times New Roman" w:eastAsia="宋体"/>
          <w:b w:val="0"/>
          <w:sz w:val="21"/>
        </w:rPr>
        <w:t>由于模型2要求</w:t>
      </w:r>
      <w:r>
        <w:rPr>
          <w:rFonts w:ascii="Times New Roman" w:hAnsi="Times New Roman" w:eastAsia="宋体"/>
          <w:b w:val="0"/>
          <w:sz w:val="21"/>
        </w:rPr>
        <w:t xml:space="preserve"> </w:t>
      </w:r>
      <w:r>
        <w:rPr>
          <w:rFonts w:hint="eastAsia" w:ascii="Times New Roman" w:hAnsi="Times New Roman" w:eastAsia="宋体"/>
          <w:b w:val="0"/>
          <w:sz w:val="21"/>
        </w:rPr>
        <w:t>Overpay、滞后一期正补助和控制变量完整，样本量为43,417条，高于后续中介检验的统一样本。从经济规模看，Overpay</w:t>
      </w:r>
      <w:r>
        <w:rPr>
          <w:rFonts w:ascii="Times New Roman" w:hAnsi="Times New Roman" w:eastAsia="宋体"/>
          <w:b w:val="0"/>
          <w:sz w:val="21"/>
        </w:rPr>
        <w:t xml:space="preserve"> </w:t>
      </w:r>
      <w:r>
        <w:rPr>
          <w:rFonts w:hint="eastAsia" w:ascii="Times New Roman" w:hAnsi="Times New Roman" w:eastAsia="宋体"/>
          <w:b w:val="0"/>
          <w:sz w:val="21"/>
        </w:rPr>
        <w:t>的标准差为0.5840，基准系数0.0094意味着</w:t>
      </w:r>
      <w:r>
        <w:rPr>
          <w:rFonts w:ascii="Times New Roman" w:hAnsi="Times New Roman" w:eastAsia="宋体"/>
          <w:b w:val="0"/>
          <w:sz w:val="21"/>
        </w:rPr>
        <w:t xml:space="preserve"> lnSubsidy_pos_l1 </w:t>
      </w:r>
      <w:r>
        <w:rPr>
          <w:rFonts w:hint="eastAsia" w:ascii="Times New Roman" w:hAnsi="Times New Roman" w:eastAsia="宋体"/>
          <w:b w:val="0"/>
          <w:sz w:val="21"/>
        </w:rPr>
        <w:t>增加1个单位，对应约0.0160个标准差的残差变化，经济幅度并不夸张，但方向保持为正且达到常用显著性标准。这一幅度与财政补贴作为条件性政策冲击的属性相符：补贴并非企业主营收入来源，其对薪酬的边际推动通常弱于盈利表现和规模等核心驱动变量，但在制度约束不足的情境下仍可构成持续性的正向关联。</w:t>
      </w:r>
    </w:p>
    <w:p w14:paraId="06304A88">
      <w:pPr>
        <w:spacing w:before="0" w:after="0" w:line="312" w:lineRule="auto"/>
        <w:ind w:firstLine="420"/>
        <w:jc w:val="both"/>
      </w:pPr>
      <w:r>
        <w:rPr>
          <w:rFonts w:hint="eastAsia" w:ascii="Times New Roman" w:hAnsi="Times New Roman" w:eastAsia="宋体"/>
          <w:b w:val="0"/>
          <w:sz w:val="21"/>
        </w:rPr>
        <w:t>模型整体</w:t>
      </w:r>
      <w:r>
        <w:rPr>
          <w:rFonts w:ascii="Times New Roman" w:hAnsi="Times New Roman" w:eastAsia="宋体"/>
          <w:b w:val="0"/>
          <w:sz w:val="21"/>
        </w:rPr>
        <w:t xml:space="preserve"> F </w:t>
      </w:r>
      <w:r>
        <w:rPr>
          <w:rFonts w:hint="eastAsia" w:ascii="Times New Roman" w:hAnsi="Times New Roman" w:eastAsia="宋体"/>
          <w:b w:val="0"/>
          <w:sz w:val="21"/>
        </w:rPr>
        <w:t>统计量为62.36，并在1%的统计层面上显著，说明控制变量与固定效应的联合设定是有效的。将固定效应收紧为“公司固定效应</w:t>
      </w:r>
      <w:r>
        <w:rPr>
          <w:rFonts w:ascii="Times New Roman" w:hAnsi="Times New Roman" w:eastAsia="宋体"/>
          <w:b w:val="0"/>
          <w:sz w:val="21"/>
        </w:rPr>
        <w:t xml:space="preserve"> + </w:t>
      </w:r>
      <w:r>
        <w:rPr>
          <w:rFonts w:hint="eastAsia" w:ascii="Times New Roman" w:hAnsi="Times New Roman" w:eastAsia="宋体"/>
          <w:b w:val="0"/>
          <w:sz w:val="21"/>
        </w:rPr>
        <w:t>行业×年份固定效应”后，lnSubsidy_pos_l1</w:t>
      </w:r>
      <w:r>
        <w:rPr>
          <w:rFonts w:ascii="Times New Roman" w:hAnsi="Times New Roman" w:eastAsia="宋体"/>
          <w:b w:val="0"/>
          <w:sz w:val="21"/>
        </w:rPr>
        <w:t xml:space="preserve"> </w:t>
      </w:r>
      <w:r>
        <w:rPr>
          <w:rFonts w:hint="eastAsia" w:ascii="Times New Roman" w:hAnsi="Times New Roman" w:eastAsia="宋体"/>
          <w:b w:val="0"/>
          <w:sz w:val="21"/>
        </w:rPr>
        <w:t>的系数仍为0.0082（p</w:t>
      </w:r>
      <w:r>
        <w:rPr>
          <w:rFonts w:ascii="Times New Roman" w:hAnsi="Times New Roman" w:eastAsia="宋体"/>
          <w:b w:val="0"/>
          <w:sz w:val="21"/>
        </w:rPr>
        <w:t xml:space="preserve"> = </w:t>
      </w:r>
      <w:r>
        <w:rPr>
          <w:rFonts w:hint="eastAsia" w:ascii="Times New Roman" w:hAnsi="Times New Roman" w:eastAsia="宋体"/>
          <w:b w:val="0"/>
          <w:sz w:val="21"/>
        </w:rPr>
        <w:t>0.013）。这里回答的是“已获补贴企业内部，补贴强度差异是否伴随超额薪酬差异”，不是“全部上市公司平均解释上的补贴效应”。相比旧的全样本</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口径，这一定义把补贴的获得边际和强度边际拆开，更贴近本文的边界设定。据此，H1在新的基准回归口径下得到支持。模型2的</w:t>
      </w:r>
      <w:r>
        <w:rPr>
          <w:rFonts w:ascii="Times New Roman" w:hAnsi="Times New Roman" w:eastAsia="宋体"/>
          <w:b w:val="0"/>
          <w:sz w:val="21"/>
        </w:rPr>
        <w:t xml:space="preserve"> R² </w:t>
      </w:r>
      <w:r>
        <w:rPr>
          <w:rFonts w:hint="eastAsia" w:ascii="Times New Roman" w:hAnsi="Times New Roman" w:eastAsia="宋体"/>
          <w:b w:val="0"/>
          <w:sz w:val="21"/>
        </w:rPr>
        <w:t>为0.0205，也属于残差型因变量配合双向固定效应时的常见程度。公司固定效应和年份固定效应已经吸收了大部分个体与年度差异，回归主要解释的是组内残差波动，因此</w:t>
      </w:r>
      <w:r>
        <w:rPr>
          <w:rFonts w:ascii="Times New Roman" w:hAnsi="Times New Roman" w:eastAsia="宋体"/>
          <w:b w:val="0"/>
          <w:sz w:val="21"/>
        </w:rPr>
        <w:t xml:space="preserve"> R² </w:t>
      </w:r>
      <w:r>
        <w:rPr>
          <w:rFonts w:hint="eastAsia" w:ascii="Times New Roman" w:hAnsi="Times New Roman" w:eastAsia="宋体"/>
          <w:b w:val="0"/>
          <w:sz w:val="21"/>
        </w:rPr>
        <w:t>偏低本身不构成议题。</w:t>
      </w:r>
    </w:p>
    <w:bookmarkEnd w:id="62"/>
    <w:bookmarkEnd w:id="64"/>
    <w:p w14:paraId="1E99CF77">
      <w:pPr>
        <w:pStyle w:val="3"/>
        <w:spacing w:before="0" w:after="0" w:line="312" w:lineRule="auto"/>
        <w:ind w:firstLine="0"/>
        <w:jc w:val="left"/>
      </w:pPr>
      <w:bookmarkStart w:id="67" w:name="_TocAuto0020"/>
      <w:bookmarkStart w:id="68" w:name="内生性处理"/>
      <w:r>
        <w:rPr>
          <w:rFonts w:ascii="Times New Roman" w:hAnsi="Times New Roman" w:eastAsia="黑体"/>
          <w:b w:val="0"/>
          <w:sz w:val="28"/>
        </w:rPr>
        <w:t xml:space="preserve">4.4 </w:t>
      </w:r>
      <w:r>
        <w:rPr>
          <w:rFonts w:hint="eastAsia" w:ascii="Times New Roman" w:hAnsi="Times New Roman" w:eastAsia="黑体"/>
          <w:b w:val="0"/>
          <w:sz w:val="28"/>
        </w:rPr>
        <w:t>内生性处理</w:t>
      </w:r>
      <w:bookmarkEnd w:id="67"/>
    </w:p>
    <w:p w14:paraId="0A623A71">
      <w:pPr>
        <w:pStyle w:val="28"/>
        <w:spacing w:before="0" w:after="0" w:line="312" w:lineRule="auto"/>
        <w:ind w:firstLine="420"/>
        <w:jc w:val="left"/>
      </w:pPr>
      <w:bookmarkStart w:id="69" w:name="内生性来源与识别局限"/>
      <w:r>
        <w:rPr>
          <w:rFonts w:ascii="Times New Roman" w:hAnsi="Times New Roman" w:eastAsia="宋体"/>
          <w:b w:val="0"/>
          <w:sz w:val="24"/>
        </w:rPr>
        <w:t xml:space="preserve">4.4.1 </w:t>
      </w:r>
      <w:r>
        <w:rPr>
          <w:rFonts w:hint="eastAsia" w:ascii="Times New Roman" w:hAnsi="Times New Roman" w:eastAsia="宋体"/>
          <w:b w:val="0"/>
          <w:sz w:val="24"/>
        </w:rPr>
        <w:t>内生性来源与识别局限</w:t>
      </w:r>
    </w:p>
    <w:p w14:paraId="13EB81FB">
      <w:pPr>
        <w:spacing w:before="0" w:after="0" w:line="312" w:lineRule="auto"/>
        <w:ind w:firstLine="420"/>
        <w:jc w:val="both"/>
      </w:pPr>
      <w:r>
        <w:rPr>
          <w:rFonts w:hint="eastAsia" w:ascii="Times New Roman" w:hAnsi="Times New Roman" w:eastAsia="宋体"/>
          <w:b w:val="0"/>
          <w:sz w:val="21"/>
        </w:rPr>
        <w:t>在新的基准回归设计下，内生性来源主要集中在三个方面。第一类威胁是样本选择：基准回归只保留上一年已经拿到补贴的公司年度，因此“谁更容易进入样本”本身就容易与公司治理状态、高管政府沟通优势和薪酬安排同时相关。第二类威胁是反向因果。某些高超额薪酬企业中的管理层，本来就更擅长政府沟通，也会在补贴和薪酬两端受益，使“高薪带来多补贴”与“多补贴带来高薪”在时间上纠缠在一起。第三类威胁是不可观测的时变因素，例如行业景气、地方扶持强度和企业内部治理变化，它们都会一并牵动补贴强度和超额薪酬。</w:t>
      </w:r>
    </w:p>
    <w:p w14:paraId="5CA8EE4C">
      <w:pPr>
        <w:spacing w:before="0" w:after="0" w:line="312" w:lineRule="auto"/>
        <w:ind w:firstLine="420"/>
        <w:jc w:val="both"/>
      </w:pPr>
      <w:r>
        <w:rPr>
          <w:rFonts w:hint="eastAsia" w:ascii="Times New Roman" w:hAnsi="Times New Roman" w:eastAsia="宋体"/>
          <w:b w:val="0"/>
          <w:sz w:val="21"/>
        </w:rPr>
        <w:t>公司固定效应可以处理企业稳定不变的不可观测因素，年份固定效应可以吸收共同宏观冲击，而更严格的行业×年份固定效应能够进一步压缩行业景气共振带来的偏差；滞后一期补贴则先把时间顺序固定为“补贴在前、薪酬在后”。基于这一点，后文将重点从</w:t>
      </w:r>
      <w:r>
        <w:rPr>
          <w:rFonts w:ascii="Times New Roman" w:hAnsi="Times New Roman" w:eastAsia="宋体"/>
          <w:b w:val="0"/>
          <w:sz w:val="21"/>
        </w:rPr>
        <w:t xml:space="preserve"> Heckman </w:t>
      </w:r>
      <w:r>
        <w:rPr>
          <w:rFonts w:hint="eastAsia" w:ascii="Times New Roman" w:hAnsi="Times New Roman" w:eastAsia="宋体"/>
          <w:b w:val="0"/>
          <w:sz w:val="21"/>
        </w:rPr>
        <w:t>两步法与事件动态检验两个角度观察这一基准回归的识别边界；传统留一法工具变量只作为补充诊断统一重跑，不再作为正文主表证据。</w:t>
      </w:r>
    </w:p>
    <w:p w14:paraId="2B80CB29">
      <w:pPr>
        <w:spacing w:before="0" w:after="0" w:line="312" w:lineRule="auto"/>
        <w:ind w:firstLine="420"/>
        <w:jc w:val="both"/>
      </w:pPr>
      <w:r>
        <w:rPr>
          <w:rFonts w:hint="eastAsia" w:ascii="Times New Roman" w:hAnsi="Times New Roman" w:eastAsia="宋体"/>
          <w:b w:val="0"/>
          <w:sz w:val="21"/>
        </w:rPr>
        <w:t>据此，相关估计始终被理解为在多重识别设定下获得的条件相关证据，不将其上升为严格启示上的因果效应估计。</w:t>
      </w:r>
    </w:p>
    <w:bookmarkEnd w:id="65"/>
    <w:p w14:paraId="1837FAAD">
      <w:pPr>
        <w:pStyle w:val="28"/>
        <w:spacing w:before="0" w:after="0" w:line="312" w:lineRule="auto"/>
        <w:ind w:firstLine="420"/>
        <w:jc w:val="left"/>
      </w:pPr>
      <w:bookmarkStart w:id="70" w:name="选择偏差校正heckman-两步法"/>
      <w:r>
        <w:rPr>
          <w:rFonts w:ascii="Times New Roman" w:hAnsi="Times New Roman" w:eastAsia="宋体"/>
          <w:b w:val="0"/>
          <w:sz w:val="24"/>
        </w:rPr>
        <w:t xml:space="preserve">4.4.2 </w:t>
      </w:r>
      <w:r>
        <w:rPr>
          <w:rFonts w:hint="eastAsia" w:ascii="Times New Roman" w:hAnsi="Times New Roman" w:eastAsia="宋体"/>
          <w:b w:val="0"/>
          <w:sz w:val="24"/>
        </w:rPr>
        <w:t>选择偏差校正（Heckman</w:t>
      </w:r>
      <w:r>
        <w:rPr>
          <w:rFonts w:ascii="Times New Roman" w:hAnsi="Times New Roman" w:eastAsia="宋体"/>
          <w:b w:val="0"/>
          <w:sz w:val="24"/>
        </w:rPr>
        <w:t xml:space="preserve"> </w:t>
      </w:r>
      <w:r>
        <w:rPr>
          <w:rFonts w:hint="eastAsia" w:ascii="Times New Roman" w:hAnsi="Times New Roman" w:eastAsia="宋体"/>
          <w:b w:val="0"/>
          <w:sz w:val="24"/>
        </w:rPr>
        <w:t>两步法）</w:t>
      </w:r>
    </w:p>
    <w:p w14:paraId="403AB926">
      <w:pPr>
        <w:spacing w:before="0" w:after="0" w:line="312" w:lineRule="auto"/>
        <w:ind w:firstLine="420"/>
        <w:jc w:val="both"/>
      </w:pPr>
      <w:r>
        <w:rPr>
          <w:rFonts w:hint="eastAsia" w:ascii="Times New Roman" w:hAnsi="Times New Roman" w:eastAsia="宋体"/>
          <w:b w:val="0"/>
          <w:sz w:val="21"/>
        </w:rPr>
        <w:t>由于基准回归只在已获补贴样本内估计，更直接的内生性疑问首先来自样本选择。与传统留一法工具变量相比，Heckman</w:t>
      </w:r>
      <w:r>
        <w:rPr>
          <w:rFonts w:ascii="Times New Roman" w:hAnsi="Times New Roman" w:eastAsia="宋体"/>
          <w:b w:val="0"/>
          <w:sz w:val="21"/>
        </w:rPr>
        <w:t xml:space="preserve"> </w:t>
      </w:r>
      <w:r>
        <w:rPr>
          <w:rFonts w:hint="eastAsia" w:ascii="Times New Roman" w:hAnsi="Times New Roman" w:eastAsia="宋体"/>
          <w:b w:val="0"/>
          <w:sz w:val="21"/>
        </w:rPr>
        <w:t>两步法更贴近当前核心疑问：第一步刻画“哪些公司年度更容易进入上一年正补助样本”，第二步将逆米尔斯比率纳入公司固定效应和年份固定效应回归，检验基准回归中的正向系数是否主要由选择偏差驱动。对应估计见表4-6。</w:t>
      </w:r>
    </w:p>
    <w:p w14:paraId="4B028594">
      <w:pPr>
        <w:spacing w:before="0" w:after="0" w:line="312" w:lineRule="auto"/>
        <w:ind w:firstLine="0"/>
        <w:jc w:val="center"/>
      </w:pPr>
      <w:r>
        <w:rPr>
          <w:rFonts w:hint="eastAsia" w:ascii="Times New Roman" w:hAnsi="Times New Roman" w:eastAsia="宋体"/>
          <w:b/>
          <w:sz w:val="18"/>
        </w:rPr>
        <w:t>表4-6</w:t>
      </w:r>
      <w:r>
        <w:rPr>
          <w:rFonts w:ascii="Times New Roman" w:hAnsi="Times New Roman" w:eastAsia="宋体"/>
          <w:b/>
          <w:sz w:val="18"/>
        </w:rPr>
        <w:t xml:space="preserve"> Heckman </w:t>
      </w:r>
      <w:r>
        <w:rPr>
          <w:rFonts w:hint="eastAsia" w:ascii="Times New Roman" w:hAnsi="Times New Roman" w:eastAsia="宋体"/>
          <w:b/>
          <w:sz w:val="18"/>
        </w:rPr>
        <w:t>两步法结果（基准回归口径）</w:t>
      </w:r>
    </w:p>
    <w:p w14:paraId="310B7CC6">
      <w:pPr>
        <w:spacing w:before="0" w:after="0" w:line="240" w:lineRule="auto"/>
        <w:ind w:firstLine="0"/>
      </w:pPr>
      <w:r>
        <w:rPr>
          <w:rFonts w:ascii="Times New Roman" w:hAnsi="Times New Roman" w:eastAsia="宋体"/>
          <w:sz w:val="21"/>
        </w:rPr>
        <w:drawing>
          <wp:inline distT="0" distB="0" distL="114300" distR="114300">
            <wp:extent cx="5579745" cy="756285"/>
            <wp:effectExtent l="0" t="0" r="0" b="0"/>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a:picLocks noChangeAspect="1" noChangeArrowheads="1"/>
                    </pic:cNvPicPr>
                  </pic:nvPicPr>
                  <pic:blipFill>
                    <a:blip r:embed="rId18"/>
                    <a:stretch>
                      <a:fillRect/>
                    </a:stretch>
                  </pic:blipFill>
                  <pic:spPr>
                    <a:xfrm>
                      <a:off x="0" y="0"/>
                      <a:ext cx="5579999" cy="756399"/>
                    </a:xfrm>
                    <a:prstGeom prst="rect">
                      <a:avLst/>
                    </a:prstGeom>
                    <a:noFill/>
                    <a:ln w="9525">
                      <a:noFill/>
                    </a:ln>
                  </pic:spPr>
                </pic:pic>
              </a:graphicData>
            </a:graphic>
          </wp:inline>
        </w:drawing>
      </w:r>
    </w:p>
    <w:p w14:paraId="350D3450">
      <w:pPr>
        <w:spacing w:before="0" w:after="0" w:line="312" w:lineRule="auto"/>
        <w:ind w:firstLine="0"/>
        <w:jc w:val="left"/>
      </w:pPr>
      <w:r>
        <w:rPr>
          <w:rFonts w:hint="eastAsia" w:ascii="Times New Roman" w:hAnsi="Times New Roman" w:eastAsia="宋体"/>
          <w:b w:val="0"/>
          <w:sz w:val="21"/>
        </w:rPr>
        <w:t>注：选择方程排除变量</w:t>
      </w:r>
      <w:r>
        <w:rPr>
          <w:rFonts w:ascii="Times New Roman" w:hAnsi="Times New Roman" w:eastAsia="宋体"/>
          <w:b w:val="0"/>
          <w:sz w:val="21"/>
        </w:rPr>
        <w:t xml:space="preserve"> IV_lnSubsidy_l1 </w:t>
      </w:r>
      <w:r>
        <w:rPr>
          <w:rFonts w:hint="eastAsia" w:ascii="Times New Roman" w:hAnsi="Times New Roman" w:eastAsia="宋体"/>
          <w:b w:val="0"/>
          <w:sz w:val="21"/>
        </w:rPr>
        <w:t>为滞后一期同城同年其他企业平均补助对数（留一法构造），其经济逻辑在于：同城同年的地方财政政策环境改变企业获补概率，但不直接决定个体企业高管超额薪酬规模。Heckman</w:t>
      </w:r>
      <w:r>
        <w:rPr>
          <w:rFonts w:ascii="Times New Roman" w:hAnsi="Times New Roman" w:eastAsia="宋体"/>
          <w:b w:val="0"/>
          <w:sz w:val="21"/>
        </w:rPr>
        <w:t xml:space="preserve"> </w:t>
      </w:r>
      <w:r>
        <w:rPr>
          <w:rFonts w:hint="eastAsia" w:ascii="Times New Roman" w:hAnsi="Times New Roman" w:eastAsia="宋体"/>
          <w:b w:val="0"/>
          <w:sz w:val="21"/>
        </w:rPr>
        <w:t>选择方程样本量为45,396条，第二阶段方程样本量为40,679条，低于中介统一样本（41,186条），系选择方程排除变量存在额外缺失所致。IMR</w:t>
      </w:r>
      <w:r>
        <w:rPr>
          <w:rFonts w:ascii="Times New Roman" w:hAnsi="Times New Roman" w:eastAsia="宋体"/>
          <w:b w:val="0"/>
          <w:sz w:val="21"/>
        </w:rPr>
        <w:t xml:space="preserve"> </w:t>
      </w:r>
      <w:r>
        <w:rPr>
          <w:rFonts w:hint="eastAsia" w:ascii="Times New Roman" w:hAnsi="Times New Roman" w:eastAsia="宋体"/>
          <w:b w:val="0"/>
          <w:sz w:val="21"/>
        </w:rPr>
        <w:t>表示逆米尔斯比率。第二阶段方程控制</w:t>
      </w:r>
      <w:r>
        <w:rPr>
          <w:rFonts w:ascii="Times New Roman" w:hAnsi="Times New Roman" w:eastAsia="宋体"/>
          <w:b w:val="0"/>
          <w:sz w:val="21"/>
        </w:rPr>
        <w:t xml:space="preserve"> Roa、Lever、Top1 </w:t>
      </w:r>
      <w:r>
        <w:rPr>
          <w:rFonts w:hint="eastAsia" w:ascii="Times New Roman" w:hAnsi="Times New Roman" w:eastAsia="宋体"/>
          <w:b w:val="0"/>
          <w:sz w:val="21"/>
        </w:rPr>
        <w:t>以及公司和年份固定效应，标准误为公司层面聚类稳健标准误。</w:t>
      </w:r>
    </w:p>
    <w:p w14:paraId="2DE67078">
      <w:pPr>
        <w:spacing w:before="0" w:after="0" w:line="312" w:lineRule="auto"/>
        <w:ind w:firstLine="420"/>
        <w:jc w:val="both"/>
      </w:pPr>
      <w:r>
        <w:rPr>
          <w:rFonts w:hint="eastAsia" w:ascii="Times New Roman" w:hAnsi="Times New Roman" w:eastAsia="宋体"/>
          <w:b w:val="0"/>
          <w:sz w:val="21"/>
        </w:rPr>
        <w:t>表4-6显示，逆米尔斯比率显著（p</w:t>
      </w:r>
      <w:r>
        <w:rPr>
          <w:rFonts w:ascii="Times New Roman" w:hAnsi="Times New Roman" w:eastAsia="宋体"/>
          <w:b w:val="0"/>
          <w:sz w:val="21"/>
        </w:rPr>
        <w:t xml:space="preserve"> = </w:t>
      </w:r>
      <w:r>
        <w:rPr>
          <w:rFonts w:hint="eastAsia" w:ascii="Times New Roman" w:hAnsi="Times New Roman" w:eastAsia="宋体"/>
          <w:b w:val="0"/>
          <w:sz w:val="21"/>
        </w:rPr>
        <w:t>0.0056），说明上一年已获补贴样本确有选择偏差。校正后，lnSubsidy_pos_l1</w:t>
      </w:r>
      <w:r>
        <w:rPr>
          <w:rFonts w:ascii="Times New Roman" w:hAnsi="Times New Roman" w:eastAsia="宋体"/>
          <w:b w:val="0"/>
          <w:sz w:val="21"/>
        </w:rPr>
        <w:t xml:space="preserve"> </w:t>
      </w:r>
      <w:r>
        <w:rPr>
          <w:rFonts w:hint="eastAsia" w:ascii="Times New Roman" w:hAnsi="Times New Roman" w:eastAsia="宋体"/>
          <w:b w:val="0"/>
          <w:sz w:val="21"/>
        </w:rPr>
        <w:t>的系数仍为0.0093，并在1%的统计层面上显著，表4-5中的正向估计不宜简单归因于“谁更容易进入正补助样本”这一选择链条。围绕同城、同行业以及精炼双工具变量所做的统一重跑也说明，传统留一法工具变量在当前基准样本中的一阶段整体偏弱、二阶段方向不稳定，因此不纳入正文主表。综合来看，新的基准回归更适合作为经过选择偏差校正后的稳定条件相关证据来解读，不把它写成已经被稳健识别的强因果效应。</w:t>
      </w:r>
    </w:p>
    <w:bookmarkEnd w:id="66"/>
    <w:p w14:paraId="03F1FE06">
      <w:pPr>
        <w:pStyle w:val="28"/>
        <w:spacing w:before="0" w:after="0" w:line="312" w:lineRule="auto"/>
        <w:ind w:firstLine="420"/>
        <w:jc w:val="left"/>
      </w:pPr>
      <w:bookmarkStart w:id="71" w:name="事件研究式动态检验"/>
      <w:r>
        <w:rPr>
          <w:rFonts w:ascii="Times New Roman" w:hAnsi="Times New Roman" w:eastAsia="宋体"/>
          <w:b w:val="0"/>
          <w:sz w:val="24"/>
        </w:rPr>
        <w:t xml:space="preserve">4.4.3 </w:t>
      </w:r>
      <w:r>
        <w:rPr>
          <w:rFonts w:hint="eastAsia" w:ascii="Times New Roman" w:hAnsi="Times New Roman" w:eastAsia="宋体"/>
          <w:b w:val="0"/>
          <w:sz w:val="24"/>
        </w:rPr>
        <w:t>事件研究式动态检验</w:t>
      </w:r>
    </w:p>
    <w:p w14:paraId="65A3CC14">
      <w:pPr>
        <w:spacing w:before="0" w:after="0" w:line="312" w:lineRule="auto"/>
        <w:ind w:firstLine="420"/>
        <w:jc w:val="both"/>
      </w:pPr>
      <w:r>
        <w:rPr>
          <w:rFonts w:hint="eastAsia" w:ascii="Times New Roman" w:hAnsi="Times New Roman" w:eastAsia="宋体"/>
          <w:b w:val="0"/>
          <w:sz w:val="21"/>
        </w:rPr>
        <w:t>为进一步从动态角度检验补贴强度抬升是否先于超额薪酬变化，本文围绕“上一年补助金额首次进入正补助样本上四分位区间”构造事件考察。该设定与基准回归的滞后一期补贴口径保持一致：以滞后一期补助金额首次达到高补贴阈值的年份作为事件年，并考察事件发生前后超额薪酬的动态变化。当前阈值对应正补助样本的上四分位数，约为3,497.88万元；识别到的处理企业为2,237家，纳入动态检验的样本量为43,417条。</w:t>
      </w:r>
    </w:p>
    <w:p w14:paraId="7A0B9802">
      <w:pPr>
        <w:spacing w:before="0" w:after="0" w:line="312" w:lineRule="auto"/>
        <w:ind w:firstLine="420"/>
        <w:jc w:val="both"/>
      </w:pPr>
      <w:r>
        <w:rPr>
          <w:rFonts w:hint="eastAsia" w:ascii="Times New Roman" w:hAnsi="Times New Roman" w:eastAsia="宋体"/>
          <w:b w:val="0"/>
          <w:sz w:val="21"/>
        </w:rPr>
        <w:t>动态检验的各期系数和显著性汇总于表4-7。</w:t>
      </w:r>
    </w:p>
    <w:p w14:paraId="030B237B">
      <w:pPr>
        <w:spacing w:before="0" w:after="0" w:line="312" w:lineRule="auto"/>
        <w:ind w:firstLine="0"/>
        <w:jc w:val="center"/>
      </w:pPr>
      <w:r>
        <w:rPr>
          <w:rFonts w:hint="eastAsia" w:ascii="Times New Roman" w:hAnsi="Times New Roman" w:eastAsia="宋体"/>
          <w:b/>
          <w:sz w:val="18"/>
        </w:rPr>
        <w:t>表4-7</w:t>
      </w:r>
      <w:r>
        <w:rPr>
          <w:rFonts w:ascii="Times New Roman" w:hAnsi="Times New Roman" w:eastAsia="宋体"/>
          <w:b/>
          <w:sz w:val="18"/>
        </w:rPr>
        <w:t xml:space="preserve"> </w:t>
      </w:r>
      <w:r>
        <w:rPr>
          <w:rFonts w:hint="eastAsia" w:ascii="Times New Roman" w:hAnsi="Times New Roman" w:eastAsia="宋体"/>
          <w:b/>
          <w:sz w:val="18"/>
        </w:rPr>
        <w:t>事件研究式动态检验结果</w:t>
      </w:r>
    </w:p>
    <w:p w14:paraId="37EE8A4C">
      <w:pPr>
        <w:spacing w:before="0" w:after="0" w:line="240" w:lineRule="auto"/>
        <w:ind w:firstLine="0"/>
      </w:pPr>
      <w:r>
        <w:rPr>
          <w:rFonts w:ascii="Times New Roman" w:hAnsi="Times New Roman" w:eastAsia="宋体"/>
          <w:sz w:val="21"/>
        </w:rPr>
        <w:drawing>
          <wp:inline distT="0" distB="0" distL="114300" distR="114300">
            <wp:extent cx="5579745" cy="1835150"/>
            <wp:effectExtent l="0" t="0" r="0" b="0"/>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a:picLocks noChangeAspect="1" noChangeArrowheads="1"/>
                    </pic:cNvPicPr>
                  </pic:nvPicPr>
                  <pic:blipFill>
                    <a:blip r:embed="rId19"/>
                    <a:stretch>
                      <a:fillRect/>
                    </a:stretch>
                  </pic:blipFill>
                  <pic:spPr>
                    <a:xfrm>
                      <a:off x="0" y="0"/>
                      <a:ext cx="5579999" cy="1835199"/>
                    </a:xfrm>
                    <a:prstGeom prst="rect">
                      <a:avLst/>
                    </a:prstGeom>
                    <a:noFill/>
                    <a:ln w="9525">
                      <a:noFill/>
                    </a:ln>
                  </pic:spPr>
                </pic:pic>
              </a:graphicData>
            </a:graphic>
          </wp:inline>
        </w:drawing>
      </w:r>
    </w:p>
    <w:p w14:paraId="50B89929">
      <w:pPr>
        <w:spacing w:before="0" w:after="0" w:line="312" w:lineRule="auto"/>
        <w:ind w:firstLine="0"/>
        <w:jc w:val="left"/>
      </w:pPr>
      <w:r>
        <w:rPr>
          <w:rFonts w:hint="eastAsia" w:ascii="Times New Roman" w:hAnsi="Times New Roman" w:eastAsia="宋体"/>
          <w:b w:val="0"/>
          <w:sz w:val="21"/>
        </w:rPr>
        <w:t>注：</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分别表示在1%、5%、10%的统计层面上显著。事件定义为上一年补助金额首次进入正补助样本上四分位区间（阈值约3,497.88万元）。处理企业2,237家，样本量43,417条。回归控制</w:t>
      </w:r>
      <w:r>
        <w:rPr>
          <w:rFonts w:ascii="Times New Roman" w:hAnsi="Times New Roman" w:eastAsia="宋体"/>
          <w:b w:val="0"/>
          <w:sz w:val="21"/>
        </w:rPr>
        <w:t xml:space="preserve"> Roa、Lever、Top1 </w:t>
      </w:r>
      <w:r>
        <w:rPr>
          <w:rFonts w:hint="eastAsia" w:ascii="Times New Roman" w:hAnsi="Times New Roman" w:eastAsia="宋体"/>
          <w:b w:val="0"/>
          <w:sz w:val="21"/>
        </w:rPr>
        <w:t>以及公司和年份固定效应，标准误为公司层面聚类稳健标准误。事件前各期系数未达到常用显著性标准，此处以”—“标示系数值，仅报告其整体不显著的判断。</w:t>
      </w:r>
    </w:p>
    <w:p w14:paraId="58C5E7D7">
      <w:pPr>
        <w:spacing w:before="0" w:after="0" w:line="312" w:lineRule="auto"/>
        <w:ind w:firstLine="420"/>
        <w:jc w:val="both"/>
      </w:pPr>
      <w:r>
        <w:rPr>
          <w:rFonts w:hint="eastAsia" w:ascii="Times New Roman" w:hAnsi="Times New Roman" w:eastAsia="宋体"/>
          <w:b w:val="0"/>
          <w:sz w:val="21"/>
        </w:rPr>
        <w:t>联合检验估计显示，事件发生前两期和前三期的系数并不显著，前趋势联合检验的</w:t>
      </w:r>
      <w:r>
        <w:rPr>
          <w:rFonts w:ascii="Times New Roman" w:hAnsi="Times New Roman" w:eastAsia="宋体"/>
          <w:b w:val="0"/>
          <w:sz w:val="21"/>
        </w:rPr>
        <w:t xml:space="preserve"> p </w:t>
      </w:r>
      <w:r>
        <w:rPr>
          <w:rFonts w:hint="eastAsia" w:ascii="Times New Roman" w:hAnsi="Times New Roman" w:eastAsia="宋体"/>
          <w:b w:val="0"/>
          <w:sz w:val="21"/>
        </w:rPr>
        <w:t>值为0.669，说明在进入高补贴状态之前，处理组与对照组没有明显差别。事件当期及随后1至3期的系数分别为0.0235（p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0.034）、0.0268（p</w:t>
      </w:r>
      <w:r>
        <w:rPr>
          <w:rFonts w:ascii="Times New Roman" w:hAnsi="Times New Roman" w:eastAsia="宋体"/>
          <w:b w:val="0"/>
          <w:sz w:val="21"/>
        </w:rPr>
        <w:t xml:space="preserve"> = </w:t>
      </w:r>
      <w:r>
        <w:rPr>
          <w:rFonts w:hint="eastAsia" w:ascii="Times New Roman" w:hAnsi="Times New Roman" w:eastAsia="宋体"/>
          <w:b w:val="0"/>
          <w:sz w:val="21"/>
        </w:rPr>
        <w:t>0.018）、0.0256（p</w:t>
      </w:r>
      <w:r>
        <w:rPr>
          <w:rFonts w:ascii="Times New Roman" w:hAnsi="Times New Roman" w:eastAsia="宋体"/>
          <w:b w:val="0"/>
          <w:sz w:val="21"/>
        </w:rPr>
        <w:t xml:space="preserve"> = </w:t>
      </w:r>
      <w:r>
        <w:rPr>
          <w:rFonts w:hint="eastAsia" w:ascii="Times New Roman" w:hAnsi="Times New Roman" w:eastAsia="宋体"/>
          <w:b w:val="0"/>
          <w:sz w:val="21"/>
        </w:rPr>
        <w:t>0.031）和0.0305（p</w:t>
      </w:r>
      <w:r>
        <w:rPr>
          <w:rFonts w:ascii="Times New Roman" w:hAnsi="Times New Roman" w:eastAsia="宋体"/>
          <w:b w:val="0"/>
          <w:sz w:val="21"/>
        </w:rPr>
        <w:t xml:space="preserve"> = </w:t>
      </w:r>
      <w:r>
        <w:rPr>
          <w:rFonts w:hint="eastAsia" w:ascii="Times New Roman" w:hAnsi="Times New Roman" w:eastAsia="宋体"/>
          <w:b w:val="0"/>
          <w:sz w:val="21"/>
        </w:rPr>
        <w:t>0.007），均为正且达到常见显著性标准。结合表4-6中的</w:t>
      </w:r>
      <w:r>
        <w:rPr>
          <w:rFonts w:ascii="Times New Roman" w:hAnsi="Times New Roman" w:eastAsia="宋体"/>
          <w:b w:val="0"/>
          <w:sz w:val="21"/>
        </w:rPr>
        <w:t xml:space="preserve"> Heckman </w:t>
      </w:r>
      <w:r>
        <w:rPr>
          <w:rFonts w:hint="eastAsia" w:ascii="Times New Roman" w:hAnsi="Times New Roman" w:eastAsia="宋体"/>
          <w:b w:val="0"/>
          <w:sz w:val="21"/>
        </w:rPr>
        <w:t>校正和表4-8中的更严格固定效应估计，可以认为当前基准回归并非完全由样本选择或显著预趋势所驱动。这组证据主要用于收紧识别边界，不直接解释为无条件的强因果估计。上四分位数阈值用于识别“补贴强度明显跃升”的时点；后续可考察替代阈值（如中位数或上十分位数）下动态检验结论的敏感性。</w:t>
      </w:r>
    </w:p>
    <w:bookmarkEnd w:id="68"/>
    <w:p w14:paraId="096FAD89">
      <w:pPr>
        <w:pStyle w:val="28"/>
        <w:spacing w:before="0" w:after="0" w:line="312" w:lineRule="auto"/>
        <w:ind w:firstLine="420"/>
        <w:jc w:val="left"/>
      </w:pPr>
      <w:bookmarkStart w:id="72" w:name="内生性处理小结"/>
      <w:r>
        <w:rPr>
          <w:rFonts w:ascii="Times New Roman" w:hAnsi="Times New Roman" w:eastAsia="宋体"/>
          <w:b w:val="0"/>
          <w:sz w:val="24"/>
        </w:rPr>
        <w:t xml:space="preserve">4.4.4 </w:t>
      </w:r>
      <w:r>
        <w:rPr>
          <w:rFonts w:hint="eastAsia" w:ascii="Times New Roman" w:hAnsi="Times New Roman" w:eastAsia="宋体"/>
          <w:b w:val="0"/>
          <w:sz w:val="24"/>
        </w:rPr>
        <w:t>内生性处理小结</w:t>
      </w:r>
    </w:p>
    <w:p w14:paraId="1A1FCEF7">
      <w:pPr>
        <w:spacing w:before="0" w:after="0" w:line="312" w:lineRule="auto"/>
        <w:ind w:firstLine="420"/>
        <w:jc w:val="both"/>
      </w:pPr>
      <w:r>
        <w:rPr>
          <w:rFonts w:hint="eastAsia" w:ascii="Times New Roman" w:hAnsi="Times New Roman" w:eastAsia="宋体"/>
          <w:b w:val="0"/>
          <w:sz w:val="21"/>
        </w:rPr>
        <w:t>综合以上三类检验，可以从不同角度对基准回归的识别边界做出判断。Heckman两步法解决的是”谁更容易进入正补助样本”的选择偏差来源：逆米尔斯比率显著说明选择偏差确实存在，但校正后补贴系数几乎不变（从0.0094降至0.0093），指向基准回归的正向估计并非主要由样本选择驱动。事件动态检验解决的是”补贴抬升前是否已存在预趋势”的时间先后关系：事件前各期系数不显著、前趋势联合检验p值高达0.669，而事件后系数逐期上升且显著，说明超额薪酬的上行确实出现在补贴强度抬升之后而非之前。更严格的行业×年份固定效应则解决的是”行业景气共振是否为遗漏变量”：收紧后系数仍为0.0082且显著，排除了行业年度层面共同冲击的主要干扰。</w:t>
      </w:r>
    </w:p>
    <w:p w14:paraId="428B1B88">
      <w:pPr>
        <w:spacing w:before="0" w:after="0" w:line="312" w:lineRule="auto"/>
        <w:ind w:firstLine="420"/>
        <w:jc w:val="both"/>
      </w:pPr>
      <w:r>
        <w:rPr>
          <w:rFonts w:hint="eastAsia" w:ascii="Times New Roman" w:hAnsi="Times New Roman" w:eastAsia="宋体"/>
          <w:b w:val="0"/>
          <w:sz w:val="21"/>
        </w:rPr>
        <w:t>三类检验从选择偏差、时间先后和遗漏变量三个方向收紧了识别边界，共同支持基准回归结论的稳健性。但由于缺乏完全外生的政策冲击，正文仍将这些证据整体定位为较稳健的条件相关，而非严格含义上的因果效应。</w:t>
      </w:r>
    </w:p>
    <w:bookmarkEnd w:id="69"/>
    <w:bookmarkEnd w:id="70"/>
    <w:p w14:paraId="743A133A">
      <w:pPr>
        <w:pStyle w:val="3"/>
        <w:spacing w:before="0" w:after="0" w:line="312" w:lineRule="auto"/>
        <w:ind w:firstLine="0"/>
        <w:jc w:val="left"/>
      </w:pPr>
      <w:bookmarkStart w:id="73" w:name="_TocAuto0021"/>
      <w:bookmarkStart w:id="74" w:name="稳健性检验"/>
      <w:r>
        <w:rPr>
          <w:rFonts w:ascii="Times New Roman" w:hAnsi="Times New Roman" w:eastAsia="黑体"/>
          <w:b w:val="0"/>
          <w:sz w:val="28"/>
        </w:rPr>
        <w:t xml:space="preserve">4.5 </w:t>
      </w:r>
      <w:r>
        <w:rPr>
          <w:rFonts w:hint="eastAsia" w:ascii="Times New Roman" w:hAnsi="Times New Roman" w:eastAsia="黑体"/>
          <w:b w:val="0"/>
          <w:sz w:val="28"/>
        </w:rPr>
        <w:t>稳健性检验</w:t>
      </w:r>
      <w:bookmarkEnd w:id="73"/>
    </w:p>
    <w:p w14:paraId="3F1DE4FE">
      <w:pPr>
        <w:spacing w:before="0" w:after="0" w:line="312" w:lineRule="auto"/>
        <w:ind w:firstLine="420"/>
        <w:jc w:val="both"/>
      </w:pPr>
      <w:r>
        <w:rPr>
          <w:rFonts w:hint="eastAsia" w:ascii="Times New Roman" w:hAnsi="Times New Roman" w:eastAsia="宋体"/>
          <w:b w:val="0"/>
          <w:sz w:val="21"/>
        </w:rPr>
        <w:t>在确认基准回归通过了内生性处理的初步检验后，接下来从四个维度展开扰动检验，逐步放松或收紧基准回归的各项设定条件，以验证结论的稳健性。四项检验的逻辑递进关系如下：首先替换被解释变量，检验结论是否依赖于Overpay残差的特定构造方式；其次缩小样本期，排除早期数据质量差异的潜在干扰；再次仅保留制造业，检验结论在单一行业内部是否仍然成立；最后引入更严格的行业×年份固定效应，检验行业景气共振是否构成遗漏变量。相关检验汇总于表4-8。</w:t>
      </w:r>
    </w:p>
    <w:p w14:paraId="074242D3">
      <w:pPr>
        <w:spacing w:before="0" w:after="0" w:line="312" w:lineRule="auto"/>
        <w:ind w:firstLine="0"/>
        <w:jc w:val="center"/>
      </w:pPr>
      <w:r>
        <w:rPr>
          <w:rFonts w:hint="eastAsia" w:ascii="Times New Roman" w:hAnsi="Times New Roman" w:eastAsia="宋体"/>
          <w:b/>
          <w:sz w:val="18"/>
        </w:rPr>
        <w:t>表4-8</w:t>
      </w:r>
      <w:r>
        <w:rPr>
          <w:rFonts w:ascii="Times New Roman" w:hAnsi="Times New Roman" w:eastAsia="宋体"/>
          <w:b/>
          <w:sz w:val="18"/>
        </w:rPr>
        <w:t xml:space="preserve"> </w:t>
      </w:r>
      <w:r>
        <w:rPr>
          <w:rFonts w:hint="eastAsia" w:ascii="Times New Roman" w:hAnsi="Times New Roman" w:eastAsia="宋体"/>
          <w:b/>
          <w:sz w:val="18"/>
        </w:rPr>
        <w:t>稳健性检验结果（聚类标准误）</w:t>
      </w:r>
    </w:p>
    <w:p w14:paraId="3D0DBFDE">
      <w:pPr>
        <w:spacing w:before="0" w:after="0" w:line="240" w:lineRule="auto"/>
        <w:ind w:firstLine="0"/>
      </w:pPr>
      <w:r>
        <w:rPr>
          <w:rFonts w:ascii="Times New Roman" w:hAnsi="Times New Roman" w:eastAsia="宋体"/>
          <w:sz w:val="21"/>
        </w:rPr>
        <w:drawing>
          <wp:inline distT="0" distB="0" distL="114300" distR="114300">
            <wp:extent cx="5579745" cy="1667510"/>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20"/>
                    <a:stretch>
                      <a:fillRect/>
                    </a:stretch>
                  </pic:blipFill>
                  <pic:spPr>
                    <a:xfrm>
                      <a:off x="0" y="0"/>
                      <a:ext cx="5579999" cy="1667799"/>
                    </a:xfrm>
                    <a:prstGeom prst="rect">
                      <a:avLst/>
                    </a:prstGeom>
                    <a:noFill/>
                    <a:ln w="9525">
                      <a:noFill/>
                    </a:ln>
                  </pic:spPr>
                </pic:pic>
              </a:graphicData>
            </a:graphic>
          </wp:inline>
        </w:drawing>
      </w:r>
    </w:p>
    <w:p w14:paraId="4EFB1D43">
      <w:pPr>
        <w:spacing w:before="0" w:after="0" w:line="312" w:lineRule="auto"/>
        <w:ind w:firstLine="0"/>
        <w:jc w:val="left"/>
      </w:pPr>
      <w:r>
        <w:rPr>
          <w:rFonts w:hint="eastAsia" w:ascii="Times New Roman" w:hAnsi="Times New Roman" w:eastAsia="宋体"/>
          <w:b w:val="0"/>
          <w:sz w:val="21"/>
        </w:rPr>
        <w:t>注：</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第(1)—(3)项与基准回归保持同一正补助样本口径，控制Roa、Lever、Top1以及公司和年份固定效应；第(4)项在同一正补助样本上进一步将年份固定效应收紧为行业×年份固定效应。标准误为公司层面聚类稳健标准误。</w:t>
      </w:r>
    </w:p>
    <w:p w14:paraId="3DD8730B">
      <w:pPr>
        <w:pStyle w:val="28"/>
        <w:spacing w:before="0" w:after="0" w:line="312" w:lineRule="auto"/>
        <w:ind w:firstLine="420"/>
        <w:jc w:val="left"/>
      </w:pPr>
      <w:bookmarkStart w:id="75" w:name="替换被解释变量"/>
      <w:r>
        <w:rPr>
          <w:rFonts w:ascii="Times New Roman" w:hAnsi="Times New Roman" w:eastAsia="宋体"/>
          <w:b w:val="0"/>
          <w:sz w:val="24"/>
        </w:rPr>
        <w:t xml:space="preserve">4.5.1 </w:t>
      </w:r>
      <w:r>
        <w:rPr>
          <w:rFonts w:hint="eastAsia" w:ascii="Times New Roman" w:hAnsi="Times New Roman" w:eastAsia="宋体"/>
          <w:b w:val="0"/>
          <w:sz w:val="24"/>
        </w:rPr>
        <w:t>替换被解释变量</w:t>
      </w:r>
    </w:p>
    <w:p w14:paraId="1698935C">
      <w:pPr>
        <w:spacing w:before="0" w:after="0" w:line="312" w:lineRule="auto"/>
        <w:ind w:firstLine="420"/>
        <w:jc w:val="both"/>
      </w:pPr>
      <w:r>
        <w:rPr>
          <w:rFonts w:hint="eastAsia" w:ascii="Times New Roman" w:hAnsi="Times New Roman" w:eastAsia="宋体"/>
          <w:b w:val="0"/>
          <w:sz w:val="21"/>
        </w:rPr>
        <w:t>将被解释变量由超额薪酬（Overpay）替换为高管前三名薪酬总额对数后，补贴系数为0.0331，并在1%的统计层面上显著为正。这意味着在已获补贴企业内部，补贴强度与薪酬总额口径之间也存在显著正向关系。</w:t>
      </w:r>
    </w:p>
    <w:p w14:paraId="62BFB455">
      <w:pPr>
        <w:spacing w:before="0" w:after="0" w:line="312" w:lineRule="auto"/>
        <w:ind w:firstLine="420"/>
        <w:jc w:val="both"/>
      </w:pPr>
      <w:r>
        <w:rPr>
          <w:rFonts w:hint="eastAsia" w:ascii="Times New Roman" w:hAnsi="Times New Roman" w:eastAsia="宋体"/>
          <w:b w:val="0"/>
          <w:sz w:val="21"/>
        </w:rPr>
        <w:t>将因变量进一步处理为剔除正常部分后的超额薪酬残差后，系数幅度下降，但方向和显著性仍然保留。因此，主结论并不完全依赖某一种薪酬度量方式。</w:t>
      </w:r>
    </w:p>
    <w:bookmarkEnd w:id="71"/>
    <w:p w14:paraId="0E66D399">
      <w:pPr>
        <w:pStyle w:val="28"/>
        <w:spacing w:before="0" w:after="0" w:line="312" w:lineRule="auto"/>
        <w:ind w:firstLine="420"/>
        <w:jc w:val="left"/>
      </w:pPr>
      <w:bookmarkStart w:id="76" w:name="缩小样本期"/>
      <w:r>
        <w:rPr>
          <w:rFonts w:ascii="Times New Roman" w:hAnsi="Times New Roman" w:eastAsia="宋体"/>
          <w:b w:val="0"/>
          <w:sz w:val="24"/>
        </w:rPr>
        <w:t xml:space="preserve">4.5.2 </w:t>
      </w:r>
      <w:r>
        <w:rPr>
          <w:rFonts w:hint="eastAsia" w:ascii="Times New Roman" w:hAnsi="Times New Roman" w:eastAsia="宋体"/>
          <w:b w:val="0"/>
          <w:sz w:val="24"/>
        </w:rPr>
        <w:t>缩小样本期</w:t>
      </w:r>
    </w:p>
    <w:p w14:paraId="58E9C35E">
      <w:pPr>
        <w:spacing w:before="0" w:after="0" w:line="312" w:lineRule="auto"/>
        <w:ind w:firstLine="420"/>
        <w:jc w:val="both"/>
      </w:pPr>
      <w:r>
        <w:rPr>
          <w:rFonts w:hint="eastAsia" w:ascii="Times New Roman" w:hAnsi="Times New Roman" w:eastAsia="宋体"/>
          <w:b w:val="0"/>
          <w:sz w:val="21"/>
        </w:rPr>
        <w:t>将样本期限缩至2010—2020年后，补贴系数为0.0120，并在1%的统计层面上显著为正。这说明基准估计并非完全依赖样本早期年份，缩短时间窗口后，补贴强度与超额薪酬之间的正向关联仍然存在。</w:t>
      </w:r>
    </w:p>
    <w:p w14:paraId="6879AD9F">
      <w:pPr>
        <w:spacing w:before="0" w:after="0" w:line="312" w:lineRule="auto"/>
        <w:ind w:firstLine="420"/>
        <w:jc w:val="both"/>
      </w:pPr>
      <w:r>
        <w:rPr>
          <w:rFonts w:hint="eastAsia" w:ascii="Times New Roman" w:hAnsi="Times New Roman" w:eastAsia="宋体"/>
          <w:b w:val="0"/>
          <w:sz w:val="21"/>
        </w:rPr>
        <w:t>这一处理也减少了早期信息披露口径差异可能带来的扰动，使检验更集中于数据质量相对稳定的阶段。</w:t>
      </w:r>
    </w:p>
    <w:bookmarkEnd w:id="72"/>
    <w:p w14:paraId="726EE51E">
      <w:pPr>
        <w:pStyle w:val="28"/>
        <w:spacing w:before="0" w:after="0" w:line="312" w:lineRule="auto"/>
        <w:ind w:firstLine="420"/>
        <w:jc w:val="left"/>
      </w:pPr>
      <w:bookmarkStart w:id="77" w:name="仅保留制造业样本"/>
      <w:r>
        <w:rPr>
          <w:rFonts w:ascii="Times New Roman" w:hAnsi="Times New Roman" w:eastAsia="宋体"/>
          <w:b w:val="0"/>
          <w:sz w:val="24"/>
        </w:rPr>
        <w:t xml:space="preserve">4.5.3 </w:t>
      </w:r>
      <w:r>
        <w:rPr>
          <w:rFonts w:hint="eastAsia" w:ascii="Times New Roman" w:hAnsi="Times New Roman" w:eastAsia="宋体"/>
          <w:b w:val="0"/>
          <w:sz w:val="24"/>
        </w:rPr>
        <w:t>仅保留制造业样本</w:t>
      </w:r>
    </w:p>
    <w:p w14:paraId="77D686E1">
      <w:pPr>
        <w:spacing w:before="0" w:after="0" w:line="312" w:lineRule="auto"/>
        <w:ind w:firstLine="420"/>
        <w:jc w:val="both"/>
      </w:pPr>
      <w:r>
        <w:rPr>
          <w:rFonts w:hint="eastAsia" w:ascii="Times New Roman" w:hAnsi="Times New Roman" w:eastAsia="宋体"/>
          <w:b w:val="0"/>
          <w:sz w:val="21"/>
        </w:rPr>
        <w:t>仅保留制造业（样本量29,143）后，补贴系数为0.0099，并在5%的统计层面上显著为正。可见在制造业单一行业内部，已获补贴企业之间的补贴强度差异同样能够对应更高的超额薪酬。</w:t>
      </w:r>
    </w:p>
    <w:p w14:paraId="4A698B34">
      <w:pPr>
        <w:spacing w:before="0" w:after="0" w:line="312" w:lineRule="auto"/>
        <w:ind w:firstLine="420"/>
        <w:jc w:val="both"/>
      </w:pPr>
      <w:r>
        <w:rPr>
          <w:rFonts w:hint="eastAsia" w:ascii="Times New Roman" w:hAnsi="Times New Roman" w:eastAsia="宋体"/>
          <w:b w:val="0"/>
          <w:sz w:val="21"/>
        </w:rPr>
        <w:t>制造业样本占比较高且补贴政策覆盖面广，将其单独保留有助于排除跨行业结构差异对主结论的干扰。</w:t>
      </w:r>
    </w:p>
    <w:bookmarkEnd w:id="74"/>
    <w:p w14:paraId="618ABCAF">
      <w:pPr>
        <w:pStyle w:val="28"/>
        <w:spacing w:before="0" w:after="0" w:line="312" w:lineRule="auto"/>
        <w:ind w:firstLine="420"/>
        <w:jc w:val="left"/>
      </w:pPr>
      <w:bookmarkStart w:id="78" w:name="更严格固定效应设定"/>
      <w:r>
        <w:rPr>
          <w:rFonts w:ascii="Times New Roman" w:hAnsi="Times New Roman" w:eastAsia="宋体"/>
          <w:b w:val="0"/>
          <w:sz w:val="24"/>
        </w:rPr>
        <w:t xml:space="preserve">4.5.4 </w:t>
      </w:r>
      <w:r>
        <w:rPr>
          <w:rFonts w:hint="eastAsia" w:ascii="Times New Roman" w:hAnsi="Times New Roman" w:eastAsia="宋体"/>
          <w:b w:val="0"/>
          <w:sz w:val="24"/>
        </w:rPr>
        <w:t>更严格固定效应设定</w:t>
      </w:r>
    </w:p>
    <w:p w14:paraId="6590CEE7">
      <w:pPr>
        <w:spacing w:before="0" w:after="0" w:line="312" w:lineRule="auto"/>
        <w:ind w:firstLine="420"/>
        <w:jc w:val="both"/>
      </w:pPr>
      <w:r>
        <w:rPr>
          <w:rFonts w:hint="eastAsia" w:ascii="Times New Roman" w:hAnsi="Times New Roman" w:eastAsia="宋体"/>
          <w:b w:val="0"/>
          <w:sz w:val="21"/>
        </w:rPr>
        <w:t>在基准回归样本与变量口径保持不变的前提下，将固定效应进一步收紧为“公司固定效应</w:t>
      </w:r>
      <w:r>
        <w:rPr>
          <w:rFonts w:ascii="Times New Roman" w:hAnsi="Times New Roman" w:eastAsia="宋体"/>
          <w:b w:val="0"/>
          <w:sz w:val="21"/>
        </w:rPr>
        <w:t xml:space="preserve"> + </w:t>
      </w:r>
      <w:r>
        <w:rPr>
          <w:rFonts w:hint="eastAsia" w:ascii="Times New Roman" w:hAnsi="Times New Roman" w:eastAsia="宋体"/>
          <w:b w:val="0"/>
          <w:sz w:val="21"/>
        </w:rPr>
        <w:t>行业×年份固定效应”后，补贴系数仍为0.0082，并在5%的统计层面上显著为正。这说明基准回归中的正向关系并非单纯由行业年度景气波动带出。</w:t>
      </w:r>
    </w:p>
    <w:p w14:paraId="54D31B37">
      <w:pPr>
        <w:spacing w:before="0" w:after="0" w:line="312" w:lineRule="auto"/>
        <w:ind w:firstLine="420"/>
        <w:jc w:val="both"/>
      </w:pPr>
      <w:r>
        <w:rPr>
          <w:rFonts w:hint="eastAsia" w:ascii="Times New Roman" w:hAnsi="Times New Roman" w:eastAsia="宋体"/>
          <w:b w:val="0"/>
          <w:sz w:val="21"/>
        </w:rPr>
        <w:t>综合四项检验，在已获补贴企业内部这一强度效应设定下，补贴系数始终保持正向并达到常用显著性标准。据此，H1在新的基准回归口径下获得了较一致的经验支撑；结合前述</w:t>
      </w:r>
      <w:r>
        <w:rPr>
          <w:rFonts w:ascii="Times New Roman" w:hAnsi="Times New Roman" w:eastAsia="宋体"/>
          <w:b w:val="0"/>
          <w:sz w:val="21"/>
        </w:rPr>
        <w:t xml:space="preserve"> Heckman </w:t>
      </w:r>
      <w:r>
        <w:rPr>
          <w:rFonts w:hint="eastAsia" w:ascii="Times New Roman" w:hAnsi="Times New Roman" w:eastAsia="宋体"/>
          <w:b w:val="0"/>
          <w:sz w:val="21"/>
        </w:rPr>
        <w:t>校正与事件动态检验，这种一致性更适合理解为识别边界收紧后的稳健条件相关，而不是强因果层面的稳健。</w:t>
      </w:r>
    </w:p>
    <w:bookmarkEnd w:id="75"/>
    <w:bookmarkEnd w:id="76"/>
    <w:p w14:paraId="2CF296FB">
      <w:pPr>
        <w:pStyle w:val="3"/>
        <w:spacing w:before="0" w:after="0" w:line="312" w:lineRule="auto"/>
        <w:ind w:firstLine="0"/>
        <w:jc w:val="left"/>
      </w:pPr>
      <w:bookmarkStart w:id="79" w:name="_TocAuto0022"/>
      <w:bookmarkStart w:id="80" w:name="基于机器学习方法的补充验证"/>
      <w:r>
        <w:rPr>
          <w:rFonts w:ascii="Times New Roman" w:hAnsi="Times New Roman" w:eastAsia="黑体"/>
          <w:b w:val="0"/>
          <w:sz w:val="28"/>
        </w:rPr>
        <w:t xml:space="preserve">4.6 </w:t>
      </w:r>
      <w:r>
        <w:rPr>
          <w:rFonts w:hint="eastAsia" w:ascii="Times New Roman" w:hAnsi="Times New Roman" w:eastAsia="黑体"/>
          <w:b w:val="0"/>
          <w:sz w:val="28"/>
        </w:rPr>
        <w:t>基于机器学习方法的补充验证</w:t>
      </w:r>
      <w:bookmarkEnd w:id="79"/>
    </w:p>
    <w:p w14:paraId="079B8C43">
      <w:pPr>
        <w:spacing w:before="0" w:after="0" w:line="312" w:lineRule="auto"/>
        <w:ind w:firstLine="420"/>
        <w:jc w:val="both"/>
      </w:pPr>
      <w:r>
        <w:rPr>
          <w:rFonts w:hint="eastAsia" w:ascii="Times New Roman" w:hAnsi="Times New Roman" w:eastAsia="宋体"/>
          <w:b w:val="0"/>
          <w:sz w:val="21"/>
        </w:rPr>
        <w:t>本节围绕表4-5的</w:t>
      </w:r>
      <w:r>
        <w:rPr>
          <w:rFonts w:ascii="Times New Roman" w:hAnsi="Times New Roman" w:eastAsia="宋体"/>
          <w:b w:val="0"/>
          <w:sz w:val="21"/>
        </w:rPr>
        <w:t xml:space="preserve"> OLS </w:t>
      </w:r>
      <w:r>
        <w:rPr>
          <w:rFonts w:hint="eastAsia" w:ascii="Times New Roman" w:hAnsi="Times New Roman" w:eastAsia="宋体"/>
          <w:b w:val="0"/>
          <w:sz w:val="21"/>
        </w:rPr>
        <w:t>基准回归结论展开补充验证。与前文中介检验不同，这里不再纳入管理层权力变量，而是直接沿用基准回归的43,417个公司—年度观测，仅保留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和</w:t>
      </w:r>
      <w:r>
        <w:rPr>
          <w:rFonts w:ascii="Times New Roman" w:hAnsi="Times New Roman" w:eastAsia="宋体"/>
          <w:b w:val="0"/>
          <w:sz w:val="21"/>
        </w:rPr>
        <w:t xml:space="preserve"> Top1 </w:t>
      </w:r>
      <w:r>
        <w:rPr>
          <w:rFonts w:hint="eastAsia" w:ascii="Times New Roman" w:hAnsi="Times New Roman" w:eastAsia="宋体"/>
          <w:b w:val="0"/>
          <w:sz w:val="21"/>
        </w:rPr>
        <w:t>四个输入变量。样本按公司分组，利用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以8:2比例划分为建模样本（34,818条）和保留样本（8,599条），确保同一公司的全部年度观测只落在一端。这样安排后，机器学习部分主要回答四个命题：财政补贴强度在树模型中的全局预测贡献是否仍位于前列、基于</w:t>
      </w:r>
      <w:r>
        <w:rPr>
          <w:rFonts w:ascii="Times New Roman" w:hAnsi="Times New Roman" w:eastAsia="宋体"/>
          <w:b w:val="0"/>
          <w:sz w:val="21"/>
        </w:rPr>
        <w:t xml:space="preserve"> SHAP </w:t>
      </w:r>
      <w:r>
        <w:rPr>
          <w:rFonts w:hint="eastAsia" w:ascii="Times New Roman" w:hAnsi="Times New Roman" w:eastAsia="宋体"/>
          <w:b w:val="0"/>
          <w:sz w:val="21"/>
        </w:rPr>
        <w:t>的边际贡献排序是否支持同样判断、财政补贴变量在正则化筛选下是否会被压缩为0，以及在更灵活的非线性模型中财政补贴的局部趋势是否仍表现为总体上升。</w:t>
      </w:r>
    </w:p>
    <w:p w14:paraId="1A0F809F">
      <w:pPr>
        <w:pStyle w:val="28"/>
        <w:spacing w:before="0" w:after="0" w:line="312" w:lineRule="auto"/>
        <w:ind w:firstLine="420"/>
        <w:jc w:val="left"/>
      </w:pPr>
      <w:bookmarkStart w:id="81" w:name="随机森林特征重要性验证"/>
      <w:r>
        <w:rPr>
          <w:rFonts w:ascii="Times New Roman" w:hAnsi="Times New Roman" w:eastAsia="宋体"/>
          <w:b w:val="0"/>
          <w:sz w:val="24"/>
        </w:rPr>
        <w:t xml:space="preserve">4.6.1 </w:t>
      </w:r>
      <w:r>
        <w:rPr>
          <w:rFonts w:hint="eastAsia" w:ascii="Times New Roman" w:hAnsi="Times New Roman" w:eastAsia="宋体"/>
          <w:b w:val="0"/>
          <w:sz w:val="24"/>
        </w:rPr>
        <w:t>随机森林特征重要性验证</w:t>
      </w:r>
    </w:p>
    <w:p w14:paraId="7F76A772">
      <w:pPr>
        <w:spacing w:before="0" w:after="0" w:line="312" w:lineRule="auto"/>
        <w:ind w:firstLine="420"/>
        <w:jc w:val="both"/>
      </w:pPr>
      <w:r>
        <w:rPr>
          <w:rFonts w:hint="eastAsia" w:ascii="Times New Roman" w:hAnsi="Times New Roman" w:eastAsia="宋体"/>
          <w:b w:val="0"/>
          <w:sz w:val="21"/>
        </w:rPr>
        <w:t>为进一步验证核心解释变量的信息含量，本文采用随机森林模型对各特征变量的重要性完成排序。随机森林这里采用基于基尼不纯度下降（Gini</w:t>
      </w:r>
      <w:r>
        <w:rPr>
          <w:rFonts w:ascii="Times New Roman" w:hAnsi="Times New Roman" w:eastAsia="宋体"/>
          <w:b w:val="0"/>
          <w:sz w:val="21"/>
        </w:rPr>
        <w:t xml:space="preserve"> Impurity </w:t>
      </w:r>
      <w:r>
        <w:rPr>
          <w:rFonts w:hint="eastAsia" w:ascii="Times New Roman" w:hAnsi="Times New Roman" w:eastAsia="宋体"/>
          <w:b w:val="0"/>
          <w:sz w:val="21"/>
        </w:rPr>
        <w:t>Decrease）的特征重要性指标，衡量每个变量在树模型分裂过程中对</w:t>
      </w:r>
      <w:r>
        <w:rPr>
          <w:rFonts w:ascii="Times New Roman" w:hAnsi="Times New Roman" w:eastAsia="宋体"/>
          <w:b w:val="0"/>
          <w:sz w:val="21"/>
        </w:rPr>
        <w:t xml:space="preserve"> Overpay </w:t>
      </w:r>
      <w:r>
        <w:rPr>
          <w:rFonts w:hint="eastAsia" w:ascii="Times New Roman" w:hAnsi="Times New Roman" w:eastAsia="宋体"/>
          <w:b w:val="0"/>
          <w:sz w:val="21"/>
        </w:rPr>
        <w:t>预测误差下降的平均贡献。某一变量的重要性数值越大，说明它在样本整体预测中提供的信息越多、对模型划分的贡献越高。但应注意，这种“重要性”衡量的是全局预测贡献，而不是</w:t>
      </w:r>
      <w:r>
        <w:rPr>
          <w:rFonts w:ascii="Times New Roman" w:hAnsi="Times New Roman" w:eastAsia="宋体"/>
          <w:b w:val="0"/>
          <w:sz w:val="21"/>
        </w:rPr>
        <w:t xml:space="preserve"> OLS </w:t>
      </w:r>
      <w:r>
        <w:rPr>
          <w:rFonts w:hint="eastAsia" w:ascii="Times New Roman" w:hAnsi="Times New Roman" w:eastAsia="宋体"/>
          <w:b w:val="0"/>
          <w:sz w:val="21"/>
        </w:rPr>
        <w:t>思路下的边际经济效应或因果带动。</w:t>
      </w:r>
    </w:p>
    <w:p w14:paraId="00D806EF">
      <w:pPr>
        <w:spacing w:before="0" w:after="0" w:line="312" w:lineRule="auto"/>
        <w:ind w:firstLine="0"/>
        <w:jc w:val="center"/>
      </w:pPr>
      <w:r>
        <w:rPr>
          <w:rFonts w:hint="eastAsia" w:ascii="Times New Roman" w:hAnsi="Times New Roman" w:eastAsia="宋体"/>
          <w:b/>
          <w:sz w:val="18"/>
        </w:rPr>
        <w:t>表4-9</w:t>
      </w:r>
      <w:r>
        <w:rPr>
          <w:rFonts w:ascii="Times New Roman" w:hAnsi="Times New Roman" w:eastAsia="宋体"/>
          <w:b/>
          <w:sz w:val="18"/>
        </w:rPr>
        <w:t xml:space="preserve"> </w:t>
      </w:r>
      <w:r>
        <w:rPr>
          <w:rFonts w:hint="eastAsia" w:ascii="Times New Roman" w:hAnsi="Times New Roman" w:eastAsia="宋体"/>
          <w:b/>
          <w:sz w:val="18"/>
        </w:rPr>
        <w:t>随机森林特征重要性排名</w:t>
      </w:r>
    </w:p>
    <w:p w14:paraId="0BA4590A">
      <w:pPr>
        <w:spacing w:before="0" w:after="0" w:line="240" w:lineRule="auto"/>
        <w:ind w:firstLine="0"/>
      </w:pPr>
      <w:r>
        <w:rPr>
          <w:rFonts w:ascii="Times New Roman" w:hAnsi="Times New Roman" w:eastAsia="宋体"/>
          <w:sz w:val="21"/>
        </w:rPr>
        <w:drawing>
          <wp:inline distT="0" distB="0" distL="114300" distR="114300">
            <wp:extent cx="5579745" cy="1221105"/>
            <wp:effectExtent l="0" t="0" r="0" b="0"/>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21"/>
                    <a:stretch>
                      <a:fillRect/>
                    </a:stretch>
                  </pic:blipFill>
                  <pic:spPr>
                    <a:xfrm>
                      <a:off x="0" y="0"/>
                      <a:ext cx="5579999" cy="1221399"/>
                    </a:xfrm>
                    <a:prstGeom prst="rect">
                      <a:avLst/>
                    </a:prstGeom>
                    <a:noFill/>
                    <a:ln w="9525">
                      <a:noFill/>
                    </a:ln>
                  </pic:spPr>
                </pic:pic>
              </a:graphicData>
            </a:graphic>
          </wp:inline>
        </w:drawing>
      </w:r>
    </w:p>
    <w:p w14:paraId="0608873C">
      <w:pPr>
        <w:spacing w:before="0" w:after="0" w:line="312" w:lineRule="auto"/>
        <w:ind w:firstLine="420"/>
        <w:jc w:val="both"/>
      </w:pPr>
      <w:r>
        <w:rPr>
          <w:rFonts w:hint="eastAsia" w:ascii="Times New Roman" w:hAnsi="Times New Roman" w:eastAsia="宋体"/>
          <w:b w:val="0"/>
          <w:sz w:val="21"/>
        </w:rPr>
        <w:t>排序估计显示，Roa</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Top1 </w:t>
      </w:r>
      <w:r>
        <w:rPr>
          <w:rFonts w:hint="eastAsia" w:ascii="Times New Roman" w:hAnsi="Times New Roman" w:eastAsia="宋体"/>
          <w:b w:val="0"/>
          <w:sz w:val="21"/>
        </w:rPr>
        <w:t>位列前两位，lnSubsidy_pos_l1</w:t>
      </w:r>
      <w:r>
        <w:rPr>
          <w:rFonts w:ascii="Times New Roman" w:hAnsi="Times New Roman" w:eastAsia="宋体"/>
          <w:b w:val="0"/>
          <w:sz w:val="21"/>
        </w:rPr>
        <w:t xml:space="preserve"> </w:t>
      </w:r>
      <w:r>
        <w:rPr>
          <w:rFonts w:hint="eastAsia" w:ascii="Times New Roman" w:hAnsi="Times New Roman" w:eastAsia="宋体"/>
          <w:b w:val="0"/>
          <w:sz w:val="21"/>
        </w:rPr>
        <w:t>排名第3，Lever</w:t>
      </w:r>
      <w:r>
        <w:rPr>
          <w:rFonts w:ascii="Times New Roman" w:hAnsi="Times New Roman" w:eastAsia="宋体"/>
          <w:b w:val="0"/>
          <w:sz w:val="21"/>
        </w:rPr>
        <w:t xml:space="preserve"> </w:t>
      </w:r>
      <w:r>
        <w:rPr>
          <w:rFonts w:hint="eastAsia" w:ascii="Times New Roman" w:hAnsi="Times New Roman" w:eastAsia="宋体"/>
          <w:b w:val="0"/>
          <w:sz w:val="21"/>
        </w:rPr>
        <w:t>排名第4。这不表示财政补贴没有传导，而是说明树模型在做全局预测时，会更早利用盈利表现和股权集中度这类方差更大、信息量更广的基本面变量完成样本划分。相比之下，财政补贴更接近政策冲击型变量，其经济关联更多体现为条件性、局部性的强度差异，因此在“预测贡献度”排序中位列第三，并不削弱其在</w:t>
      </w:r>
      <w:r>
        <w:rPr>
          <w:rFonts w:ascii="Times New Roman" w:hAnsi="Times New Roman" w:eastAsia="宋体"/>
          <w:b w:val="0"/>
          <w:sz w:val="21"/>
        </w:rPr>
        <w:t xml:space="preserve"> OLS </w:t>
      </w:r>
      <w:r>
        <w:rPr>
          <w:rFonts w:hint="eastAsia" w:ascii="Times New Roman" w:hAnsi="Times New Roman" w:eastAsia="宋体"/>
          <w:b w:val="0"/>
          <w:sz w:val="21"/>
        </w:rPr>
        <w:t>基准回归中体现出的独立经济含义。随机森林的重要性排名和计量回归中的显著系数，本来就在回答两类不同命题。</w:t>
      </w:r>
    </w:p>
    <w:p w14:paraId="5E6C70ED">
      <w:pPr>
        <w:spacing w:before="0" w:after="0" w:line="240" w:lineRule="auto"/>
        <w:ind w:firstLine="0"/>
      </w:pPr>
      <w:r>
        <w:rPr>
          <w:rFonts w:ascii="Times New Roman" w:hAnsi="Times New Roman" w:eastAsia="宋体"/>
          <w:sz w:val="21"/>
        </w:rPr>
        <w:drawing>
          <wp:inline distT="0" distB="0" distL="114300" distR="114300">
            <wp:extent cx="5753100" cy="3273425"/>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22"/>
                    <a:stretch>
                      <a:fillRect/>
                    </a:stretch>
                  </pic:blipFill>
                  <pic:spPr>
                    <a:xfrm>
                      <a:off x="0" y="0"/>
                      <a:ext cx="5753100" cy="3273649"/>
                    </a:xfrm>
                    <a:prstGeom prst="rect">
                      <a:avLst/>
                    </a:prstGeom>
                    <a:noFill/>
                    <a:ln w="9525">
                      <a:noFill/>
                    </a:ln>
                  </pic:spPr>
                </pic:pic>
              </a:graphicData>
            </a:graphic>
          </wp:inline>
        </w:drawing>
      </w:r>
    </w:p>
    <w:p w14:paraId="6B7903D5">
      <w:pPr>
        <w:spacing w:before="0" w:after="0" w:line="312" w:lineRule="auto"/>
        <w:ind w:firstLine="0"/>
        <w:jc w:val="center"/>
      </w:pPr>
      <w:r>
        <w:rPr>
          <w:rFonts w:hint="eastAsia" w:ascii="Times New Roman" w:hAnsi="Times New Roman" w:eastAsia="宋体"/>
          <w:b/>
          <w:sz w:val="18"/>
        </w:rPr>
        <w:t>图4-1</w:t>
      </w:r>
      <w:r>
        <w:rPr>
          <w:rFonts w:ascii="Times New Roman" w:hAnsi="Times New Roman" w:eastAsia="宋体"/>
          <w:b/>
          <w:sz w:val="18"/>
        </w:rPr>
        <w:t xml:space="preserve"> </w:t>
      </w:r>
      <w:r>
        <w:rPr>
          <w:rFonts w:hint="eastAsia" w:ascii="Times New Roman" w:hAnsi="Times New Roman" w:eastAsia="宋体"/>
          <w:b/>
          <w:sz w:val="18"/>
        </w:rPr>
        <w:t>随机森林特征重要性图</w:t>
      </w:r>
    </w:p>
    <w:p w14:paraId="324A3ECD">
      <w:pPr>
        <w:spacing w:before="0" w:after="0" w:line="312" w:lineRule="auto"/>
        <w:ind w:firstLine="420"/>
        <w:jc w:val="both"/>
      </w:pPr>
      <w:r>
        <w:rPr>
          <w:rFonts w:hint="eastAsia" w:ascii="Times New Roman" w:hAnsi="Times New Roman" w:eastAsia="宋体"/>
          <w:b w:val="0"/>
          <w:sz w:val="21"/>
        </w:rPr>
        <w:t>图4-1进一步直观展示了随机森林的重要性排序。结合表4-9可以看到，财政补贴强度并未被边缘化，而是排在四个特征中的前列。可以据此判断：在控制企业盈利表现、杠杆与股权监督等关键特征之后，财政补贴变量仍保有一定预测信息，这与第四章基准回归中其系数显著为正的结论并不矛盾。</w:t>
      </w:r>
    </w:p>
    <w:bookmarkEnd w:id="77"/>
    <w:p w14:paraId="5A521E1C">
      <w:pPr>
        <w:pStyle w:val="28"/>
        <w:spacing w:before="0" w:after="0" w:line="312" w:lineRule="auto"/>
        <w:ind w:firstLine="420"/>
        <w:jc w:val="left"/>
      </w:pPr>
      <w:bookmarkStart w:id="82" w:name="shap值解释分析"/>
      <w:r>
        <w:rPr>
          <w:rFonts w:ascii="Times New Roman" w:hAnsi="Times New Roman" w:eastAsia="宋体"/>
          <w:b w:val="0"/>
          <w:sz w:val="24"/>
        </w:rPr>
        <w:t xml:space="preserve">4.6.2 </w:t>
      </w:r>
      <w:r>
        <w:rPr>
          <w:rFonts w:hint="eastAsia" w:ascii="Times New Roman" w:hAnsi="Times New Roman" w:eastAsia="宋体"/>
          <w:b w:val="0"/>
          <w:sz w:val="24"/>
        </w:rPr>
        <w:t>SHAP值解释分析</w:t>
      </w:r>
    </w:p>
    <w:p w14:paraId="549AB144">
      <w:pPr>
        <w:spacing w:before="0" w:after="0" w:line="312" w:lineRule="auto"/>
        <w:ind w:firstLine="420"/>
        <w:jc w:val="both"/>
      </w:pPr>
      <w:r>
        <w:rPr>
          <w:rFonts w:hint="eastAsia" w:ascii="Times New Roman" w:hAnsi="Times New Roman" w:eastAsia="宋体"/>
          <w:b w:val="0"/>
          <w:sz w:val="21"/>
        </w:rPr>
        <w:t>随机森林基于基尼不纯度得到的重要性，只能反映变量对模型整体预测的贡献大小，难以直接刻画变量对预测值波动的边际影响强弱。为补足这一点，本文进一步引入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SHAP（SHapley</w:t>
      </w:r>
      <w:r>
        <w:rPr>
          <w:rFonts w:ascii="Times New Roman" w:hAnsi="Times New Roman" w:eastAsia="宋体"/>
          <w:b w:val="0"/>
          <w:sz w:val="21"/>
        </w:rPr>
        <w:t xml:space="preserve"> Additive </w:t>
      </w:r>
      <w:r>
        <w:rPr>
          <w:rFonts w:hint="eastAsia" w:ascii="Times New Roman" w:hAnsi="Times New Roman" w:eastAsia="宋体"/>
          <w:b w:val="0"/>
          <w:sz w:val="21"/>
        </w:rPr>
        <w:t>exPlanations）工具，对随机森林模型的预测值做解释。具体做法是在保留样本中随机抽取2,000条观测，计算各变量的</w:t>
      </w:r>
      <w:r>
        <w:rPr>
          <w:rFonts w:ascii="Times New Roman" w:hAnsi="Times New Roman" w:eastAsia="宋体"/>
          <w:b w:val="0"/>
          <w:sz w:val="21"/>
        </w:rPr>
        <w:t xml:space="preserve"> SHAP </w:t>
      </w:r>
      <w:r>
        <w:rPr>
          <w:rFonts w:hint="eastAsia" w:ascii="Times New Roman" w:hAnsi="Times New Roman" w:eastAsia="宋体"/>
          <w:b w:val="0"/>
          <w:sz w:val="21"/>
        </w:rPr>
        <w:t>值，并以平均绝对</w:t>
      </w:r>
      <w:r>
        <w:rPr>
          <w:rFonts w:ascii="Times New Roman" w:hAnsi="Times New Roman" w:eastAsia="宋体"/>
          <w:b w:val="0"/>
          <w:sz w:val="21"/>
        </w:rPr>
        <w:t xml:space="preserve"> SHAP </w:t>
      </w:r>
      <w:r>
        <w:rPr>
          <w:rFonts w:hint="eastAsia" w:ascii="Times New Roman" w:hAnsi="Times New Roman" w:eastAsia="宋体"/>
          <w:b w:val="0"/>
          <w:sz w:val="21"/>
        </w:rPr>
        <w:t>值衡量其对模型预测波动的平均边际贡献；平均绝对</w:t>
      </w:r>
      <w:r>
        <w:rPr>
          <w:rFonts w:ascii="Times New Roman" w:hAnsi="Times New Roman" w:eastAsia="宋体"/>
          <w:b w:val="0"/>
          <w:sz w:val="21"/>
        </w:rPr>
        <w:t xml:space="preserve"> SHAP </w:t>
      </w:r>
      <w:r>
        <w:rPr>
          <w:rFonts w:hint="eastAsia" w:ascii="Times New Roman" w:hAnsi="Times New Roman" w:eastAsia="宋体"/>
          <w:b w:val="0"/>
          <w:sz w:val="21"/>
        </w:rPr>
        <w:t>值越大，说明该变量对预测值的边际牵动越强。</w:t>
      </w:r>
    </w:p>
    <w:p w14:paraId="0D37BDD2">
      <w:pPr>
        <w:spacing w:before="0" w:after="0" w:line="312" w:lineRule="auto"/>
        <w:ind w:firstLine="0"/>
        <w:jc w:val="center"/>
      </w:pPr>
      <w:r>
        <w:rPr>
          <w:rFonts w:hint="eastAsia" w:ascii="Times New Roman" w:hAnsi="Times New Roman" w:eastAsia="宋体"/>
          <w:b/>
          <w:sz w:val="18"/>
        </w:rPr>
        <w:t>表4-10</w:t>
      </w:r>
      <w:r>
        <w:rPr>
          <w:rFonts w:ascii="Times New Roman" w:hAnsi="Times New Roman" w:eastAsia="宋体"/>
          <w:b/>
          <w:sz w:val="18"/>
        </w:rPr>
        <w:t xml:space="preserve"> </w:t>
      </w:r>
      <w:r>
        <w:rPr>
          <w:rFonts w:hint="eastAsia" w:ascii="Times New Roman" w:hAnsi="Times New Roman" w:eastAsia="宋体"/>
          <w:b/>
          <w:sz w:val="18"/>
        </w:rPr>
        <w:t>SHAP值重要性排名</w:t>
      </w:r>
    </w:p>
    <w:p w14:paraId="389B2E8D">
      <w:pPr>
        <w:spacing w:before="0" w:after="0" w:line="240" w:lineRule="auto"/>
        <w:ind w:firstLine="0"/>
      </w:pPr>
      <w:r>
        <w:rPr>
          <w:rFonts w:ascii="Times New Roman" w:hAnsi="Times New Roman" w:eastAsia="宋体"/>
          <w:sz w:val="21"/>
        </w:rPr>
        <w:drawing>
          <wp:inline distT="0" distB="0" distL="114300" distR="114300">
            <wp:extent cx="5579745" cy="1221105"/>
            <wp:effectExtent l="0" t="0" r="0" b="0"/>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23"/>
                    <a:stretch>
                      <a:fillRect/>
                    </a:stretch>
                  </pic:blipFill>
                  <pic:spPr>
                    <a:xfrm>
                      <a:off x="0" y="0"/>
                      <a:ext cx="5579999" cy="1221399"/>
                    </a:xfrm>
                    <a:prstGeom prst="rect">
                      <a:avLst/>
                    </a:prstGeom>
                    <a:noFill/>
                    <a:ln w="9525">
                      <a:noFill/>
                    </a:ln>
                  </pic:spPr>
                </pic:pic>
              </a:graphicData>
            </a:graphic>
          </wp:inline>
        </w:drawing>
      </w:r>
    </w:p>
    <w:p w14:paraId="4F141F65">
      <w:pPr>
        <w:spacing w:before="0" w:after="0" w:line="240" w:lineRule="auto"/>
        <w:ind w:firstLine="0"/>
      </w:pPr>
      <w:r>
        <w:rPr>
          <w:rFonts w:ascii="Times New Roman" w:hAnsi="Times New Roman" w:eastAsia="宋体"/>
          <w:sz w:val="21"/>
        </w:rPr>
        <w:drawing>
          <wp:inline distT="0" distB="0" distL="114300" distR="114300">
            <wp:extent cx="5753100" cy="3273425"/>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a:picLocks noChangeAspect="1" noChangeArrowheads="1"/>
                    </pic:cNvPicPr>
                  </pic:nvPicPr>
                  <pic:blipFill>
                    <a:blip r:embed="rId24"/>
                    <a:stretch>
                      <a:fillRect/>
                    </a:stretch>
                  </pic:blipFill>
                  <pic:spPr>
                    <a:xfrm>
                      <a:off x="0" y="0"/>
                      <a:ext cx="5753100" cy="3273649"/>
                    </a:xfrm>
                    <a:prstGeom prst="rect">
                      <a:avLst/>
                    </a:prstGeom>
                    <a:noFill/>
                    <a:ln w="9525">
                      <a:noFill/>
                    </a:ln>
                  </pic:spPr>
                </pic:pic>
              </a:graphicData>
            </a:graphic>
          </wp:inline>
        </w:drawing>
      </w:r>
    </w:p>
    <w:p w14:paraId="057530BF">
      <w:pPr>
        <w:spacing w:before="0" w:after="0" w:line="312" w:lineRule="auto"/>
        <w:ind w:firstLine="0"/>
        <w:jc w:val="center"/>
      </w:pPr>
      <w:r>
        <w:rPr>
          <w:rFonts w:hint="eastAsia" w:ascii="Times New Roman" w:hAnsi="Times New Roman" w:eastAsia="宋体"/>
          <w:b/>
          <w:sz w:val="18"/>
        </w:rPr>
        <w:t>图4-2</w:t>
      </w:r>
      <w:r>
        <w:rPr>
          <w:rFonts w:ascii="Times New Roman" w:hAnsi="Times New Roman" w:eastAsia="宋体"/>
          <w:b/>
          <w:sz w:val="18"/>
        </w:rPr>
        <w:t xml:space="preserve"> </w:t>
      </w:r>
      <w:r>
        <w:rPr>
          <w:rFonts w:hint="eastAsia" w:ascii="Times New Roman" w:hAnsi="Times New Roman" w:eastAsia="宋体"/>
          <w:b/>
          <w:sz w:val="18"/>
        </w:rPr>
        <w:t>SHAP值重要性图</w:t>
      </w:r>
    </w:p>
    <w:p w14:paraId="7F00E17D">
      <w:pPr>
        <w:spacing w:before="0" w:after="0" w:line="312" w:lineRule="auto"/>
        <w:ind w:firstLine="420"/>
        <w:jc w:val="both"/>
      </w:pPr>
      <w:r>
        <w:rPr>
          <w:rFonts w:hint="eastAsia" w:ascii="Times New Roman" w:hAnsi="Times New Roman" w:eastAsia="宋体"/>
          <w:b w:val="0"/>
          <w:sz w:val="21"/>
        </w:rPr>
        <w:t>表4-10和图4-2显示，基于平均绝对</w:t>
      </w:r>
      <w:r>
        <w:rPr>
          <w:rFonts w:ascii="Times New Roman" w:hAnsi="Times New Roman" w:eastAsia="宋体"/>
          <w:b w:val="0"/>
          <w:sz w:val="21"/>
        </w:rPr>
        <w:t xml:space="preserve"> SHAP </w:t>
      </w:r>
      <w:r>
        <w:rPr>
          <w:rFonts w:hint="eastAsia" w:ascii="Times New Roman" w:hAnsi="Times New Roman" w:eastAsia="宋体"/>
          <w:b w:val="0"/>
          <w:sz w:val="21"/>
        </w:rPr>
        <w:t>值得到的排序与随机森林基尼重要性排序完全一致：Roa</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Top1 </w:t>
      </w:r>
      <w:r>
        <w:rPr>
          <w:rFonts w:hint="eastAsia" w:ascii="Times New Roman" w:hAnsi="Times New Roman" w:eastAsia="宋体"/>
          <w:b w:val="0"/>
          <w:sz w:val="21"/>
        </w:rPr>
        <w:t>仍位列前两位，财政补贴位列第3，Lever</w:t>
      </w:r>
      <w:r>
        <w:rPr>
          <w:rFonts w:ascii="Times New Roman" w:hAnsi="Times New Roman" w:eastAsia="宋体"/>
          <w:b w:val="0"/>
          <w:sz w:val="21"/>
        </w:rPr>
        <w:t xml:space="preserve"> </w:t>
      </w:r>
      <w:r>
        <w:rPr>
          <w:rFonts w:hint="eastAsia" w:ascii="Times New Roman" w:hAnsi="Times New Roman" w:eastAsia="宋体"/>
          <w:b w:val="0"/>
          <w:sz w:val="21"/>
        </w:rPr>
        <w:t>位列第4。换一个解释口径，排序仍未变化，说明财政补贴变量的重要性并非某一种指标偶然给出的统计数值。可以把这一排序理解为：财政补贴强度虽然不是树模型中最强的全局预测变量，但它对</w:t>
      </w:r>
      <w:r>
        <w:rPr>
          <w:rFonts w:ascii="Times New Roman" w:hAnsi="Times New Roman" w:eastAsia="宋体"/>
          <w:b w:val="0"/>
          <w:sz w:val="21"/>
        </w:rPr>
        <w:t xml:space="preserve"> Overpay </w:t>
      </w:r>
      <w:r>
        <w:rPr>
          <w:rFonts w:hint="eastAsia" w:ascii="Times New Roman" w:hAnsi="Times New Roman" w:eastAsia="宋体"/>
          <w:b w:val="0"/>
          <w:sz w:val="21"/>
        </w:rPr>
        <w:t>的边际贡献仍处于前列，这与其作为基准回归核心解释变量的设定是一致的。</w:t>
      </w:r>
    </w:p>
    <w:bookmarkEnd w:id="78"/>
    <w:p w14:paraId="2C2AD7EE">
      <w:pPr>
        <w:pStyle w:val="28"/>
        <w:spacing w:before="0" w:after="0" w:line="312" w:lineRule="auto"/>
        <w:ind w:firstLine="420"/>
        <w:jc w:val="left"/>
      </w:pPr>
      <w:bookmarkStart w:id="83" w:name="lasso-系数保留与方向验证"/>
      <w:r>
        <w:rPr>
          <w:rFonts w:ascii="Times New Roman" w:hAnsi="Times New Roman" w:eastAsia="宋体"/>
          <w:b w:val="0"/>
          <w:sz w:val="24"/>
        </w:rPr>
        <w:t xml:space="preserve">4.6.3 Lasso </w:t>
      </w:r>
      <w:r>
        <w:rPr>
          <w:rFonts w:hint="eastAsia" w:ascii="Times New Roman" w:hAnsi="Times New Roman" w:eastAsia="宋体"/>
          <w:b w:val="0"/>
          <w:sz w:val="24"/>
        </w:rPr>
        <w:t>系数保留与方向验证</w:t>
      </w:r>
    </w:p>
    <w:p w14:paraId="6A953E40">
      <w:pPr>
        <w:spacing w:before="0" w:after="0" w:line="312" w:lineRule="auto"/>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回归属于采用</w:t>
      </w:r>
      <w:r>
        <w:rPr>
          <w:rFonts w:ascii="Times New Roman" w:hAnsi="Times New Roman" w:eastAsia="宋体"/>
          <w:b w:val="0"/>
          <w:sz w:val="21"/>
        </w:rPr>
        <w:t xml:space="preserve"> </w:t>
      </w:r>
      <m:oMath>
        <m:sSub>
          <m:sSubPr/>
          <m:e>
            <m:r>
              <m:rPr/>
              <m:t>L</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正则化手段的线性回归模型，其核心原理是在回归目标函数中加入惩罚项，把对模型贡献较低的变量系数压缩为零，以此实现特征筛选与模型简化。相较于普通最小二乘回归，Lasso</w:t>
      </w:r>
      <w:r>
        <w:rPr>
          <w:rFonts w:ascii="Times New Roman" w:hAnsi="Times New Roman" w:eastAsia="宋体"/>
          <w:b w:val="0"/>
          <w:sz w:val="21"/>
        </w:rPr>
        <w:t xml:space="preserve"> </w:t>
      </w:r>
      <w:r>
        <w:rPr>
          <w:rFonts w:hint="eastAsia" w:ascii="Times New Roman" w:hAnsi="Times New Roman" w:eastAsia="宋体"/>
          <w:b w:val="0"/>
          <w:sz w:val="21"/>
        </w:rPr>
        <w:t>还能够部分缓解多重共线性带来的估计不稳定议题，因此适合用于检验财政补贴变量在更严格筛选条件下是否仍会被模型保留下来。</w:t>
      </w:r>
    </w:p>
    <w:p w14:paraId="2908AA0C">
      <w:pPr>
        <w:spacing w:before="0" w:after="0" w:line="312" w:lineRule="auto"/>
        <w:ind w:firstLine="420"/>
        <w:jc w:val="both"/>
      </w:pPr>
      <w:r>
        <w:rPr>
          <w:rFonts w:hint="eastAsia" w:ascii="Times New Roman" w:hAnsi="Times New Roman" w:eastAsia="宋体"/>
          <w:b w:val="0"/>
          <w:sz w:val="21"/>
        </w:rPr>
        <w:t>在当前4变量设定下，最优惩罚参数约为</w:t>
      </w:r>
      <w:r>
        <w:rPr>
          <w:rFonts w:ascii="Times New Roman" w:hAnsi="Times New Roman" w:eastAsia="宋体"/>
          <w:b w:val="0"/>
          <w:sz w:val="21"/>
        </w:rPr>
        <w:t xml:space="preserve"> </w:t>
      </w:r>
      <m:oMath>
        <m:sSup>
          <m:sSupPr/>
          <m:e>
            <m:r>
              <m:rPr/>
              <m:t>λ</m:t>
            </m:r>
          </m:e>
          <m:sup>
            <m:r>
              <m:rPr>
                <m:sty m:val="p"/>
              </m:rPr>
              <m:t>∗</m:t>
            </m:r>
          </m:sup>
        </m:sSup>
        <m:r>
          <m:rPr>
            <m:sty m:val="p"/>
          </m:rPr>
          <m:t>=</m:t>
        </m:r>
        <m:r>
          <m:rPr/>
          <m:t>0.000265</m:t>
        </m:r>
      </m:oMath>
      <w:r>
        <w:rPr>
          <w:rFonts w:hint="eastAsia" w:ascii="Times New Roman" w:hAnsi="Times New Roman" w:eastAsia="宋体"/>
          <w:b w:val="0"/>
          <w:sz w:val="21"/>
        </w:rPr>
        <w:t>。估计显示，4个候选特征均未被压缩为0，其中</w:t>
      </w:r>
      <w:r>
        <w:rPr>
          <w:rFonts w:ascii="Times New Roman" w:hAnsi="Times New Roman" w:eastAsia="宋体"/>
          <w:b w:val="0"/>
          <w:sz w:val="21"/>
        </w:rPr>
        <w:t xml:space="preserve"> lnSubsidy_pos_l1 </w:t>
      </w:r>
      <w:r>
        <w:rPr>
          <w:rFonts w:hint="eastAsia" w:ascii="Times New Roman" w:hAnsi="Times New Roman" w:eastAsia="宋体"/>
          <w:b w:val="0"/>
          <w:sz w:val="21"/>
        </w:rPr>
        <w:t>的系数为0.0685，方向为正；Roa、Lever</w:t>
      </w:r>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Top1 </w:t>
      </w:r>
      <w:r>
        <w:rPr>
          <w:rFonts w:hint="eastAsia" w:ascii="Times New Roman" w:hAnsi="Times New Roman" w:eastAsia="宋体"/>
          <w:b w:val="0"/>
          <w:sz w:val="21"/>
        </w:rPr>
        <w:t>的系数分别为-0.0197、-0.0595和-0.0615。由于Lasso回归前已对特征做零均值单位方差标准化，上述系数反映的是标准化尺度上的相对贡献，不宜与</w:t>
      </w:r>
      <w:r>
        <w:rPr>
          <w:rFonts w:ascii="Times New Roman" w:hAnsi="Times New Roman" w:eastAsia="宋体"/>
          <w:b w:val="0"/>
          <w:sz w:val="21"/>
        </w:rPr>
        <w:t xml:space="preserve"> OLS </w:t>
      </w:r>
      <w:r>
        <w:rPr>
          <w:rFonts w:hint="eastAsia" w:ascii="Times New Roman" w:hAnsi="Times New Roman" w:eastAsia="宋体"/>
          <w:b w:val="0"/>
          <w:sz w:val="21"/>
        </w:rPr>
        <w:t>原始系数直接比较大小，但可以用于判断变量是否被保留以及方向是否发生反转。这里最关键的信息是：财政补贴变量在更严格的正则化筛选下并未被删除，且方向仍与</w:t>
      </w:r>
      <w:r>
        <w:rPr>
          <w:rFonts w:ascii="Times New Roman" w:hAnsi="Times New Roman" w:eastAsia="宋体"/>
          <w:b w:val="0"/>
          <w:sz w:val="21"/>
        </w:rPr>
        <w:t xml:space="preserve"> OLS </w:t>
      </w:r>
      <w:r>
        <w:rPr>
          <w:rFonts w:hint="eastAsia" w:ascii="Times New Roman" w:hAnsi="Times New Roman" w:eastAsia="宋体"/>
          <w:b w:val="0"/>
          <w:sz w:val="21"/>
        </w:rPr>
        <w:t>基准回归中的正向系数保持一致。</w:t>
      </w:r>
    </w:p>
    <w:p w14:paraId="3BAE0F0B">
      <w:pPr>
        <w:spacing w:before="0" w:after="0" w:line="240" w:lineRule="auto"/>
        <w:ind w:firstLine="0"/>
      </w:pPr>
      <w:r>
        <w:rPr>
          <w:rFonts w:ascii="Times New Roman" w:hAnsi="Times New Roman" w:eastAsia="宋体"/>
          <w:sz w:val="21"/>
        </w:rPr>
        <w:drawing>
          <wp:inline distT="0" distB="0" distL="114300" distR="114300">
            <wp:extent cx="5753100" cy="3273425"/>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a:picLocks noChangeAspect="1" noChangeArrowheads="1"/>
                    </pic:cNvPicPr>
                  </pic:nvPicPr>
                  <pic:blipFill>
                    <a:blip r:embed="rId25"/>
                    <a:stretch>
                      <a:fillRect/>
                    </a:stretch>
                  </pic:blipFill>
                  <pic:spPr>
                    <a:xfrm>
                      <a:off x="0" y="0"/>
                      <a:ext cx="5753100" cy="3273649"/>
                    </a:xfrm>
                    <a:prstGeom prst="rect">
                      <a:avLst/>
                    </a:prstGeom>
                    <a:noFill/>
                    <a:ln w="9525">
                      <a:noFill/>
                    </a:ln>
                  </pic:spPr>
                </pic:pic>
              </a:graphicData>
            </a:graphic>
          </wp:inline>
        </w:drawing>
      </w:r>
    </w:p>
    <w:p w14:paraId="4B02C1C3">
      <w:pPr>
        <w:spacing w:before="0" w:after="0" w:line="312" w:lineRule="auto"/>
        <w:ind w:firstLine="0"/>
        <w:jc w:val="center"/>
      </w:pPr>
      <w:r>
        <w:rPr>
          <w:rFonts w:hint="eastAsia" w:ascii="Times New Roman" w:hAnsi="Times New Roman" w:eastAsia="宋体"/>
          <w:b/>
          <w:sz w:val="18"/>
        </w:rPr>
        <w:t>图4-3</w:t>
      </w:r>
      <w:r>
        <w:rPr>
          <w:rFonts w:ascii="Times New Roman" w:hAnsi="Times New Roman" w:eastAsia="宋体"/>
          <w:b/>
          <w:sz w:val="18"/>
        </w:rPr>
        <w:t xml:space="preserve"> </w:t>
      </w:r>
      <w:r>
        <w:rPr>
          <w:rFonts w:hint="eastAsia" w:ascii="Times New Roman" w:hAnsi="Times New Roman" w:eastAsia="宋体"/>
          <w:b/>
          <w:sz w:val="18"/>
        </w:rPr>
        <w:t>Lasso系数收缩图</w:t>
      </w:r>
    </w:p>
    <w:p w14:paraId="1B5C253E">
      <w:pPr>
        <w:spacing w:before="0" w:after="0" w:line="312" w:lineRule="auto"/>
        <w:ind w:firstLine="420"/>
        <w:jc w:val="both"/>
      </w:pPr>
      <w:r>
        <w:rPr>
          <w:rFonts w:hint="eastAsia" w:ascii="Times New Roman" w:hAnsi="Times New Roman" w:eastAsia="宋体"/>
          <w:b w:val="0"/>
          <w:sz w:val="21"/>
        </w:rPr>
        <w:t>图4-3展示了随着惩罚参数增大，各特征系数逐步向零收缩的路径。可以看到，lnSubsidy_pos_l1</w:t>
      </w:r>
      <w:r>
        <w:rPr>
          <w:rFonts w:ascii="Times New Roman" w:hAnsi="Times New Roman" w:eastAsia="宋体"/>
          <w:b w:val="0"/>
          <w:sz w:val="21"/>
        </w:rPr>
        <w:t xml:space="preserve"> </w:t>
      </w:r>
      <w:r>
        <w:rPr>
          <w:rFonts w:hint="eastAsia" w:ascii="Times New Roman" w:hAnsi="Times New Roman" w:eastAsia="宋体"/>
          <w:b w:val="0"/>
          <w:sz w:val="21"/>
        </w:rPr>
        <w:t>在最优参数附近仍保持正向系数，并未被压缩掉。也就是说，财政补贴变量没有在更严格的筛选下消失，仍保有稳定信息含量。</w:t>
      </w:r>
    </w:p>
    <w:bookmarkEnd w:id="80"/>
    <w:p w14:paraId="7AB83947">
      <w:pPr>
        <w:pStyle w:val="28"/>
        <w:spacing w:before="0" w:after="0" w:line="312" w:lineRule="auto"/>
        <w:ind w:firstLine="420"/>
        <w:jc w:val="left"/>
      </w:pPr>
      <w:bookmarkStart w:id="84" w:name="xgboost-特征重要性与部分依赖验证"/>
      <w:r>
        <w:rPr>
          <w:rFonts w:ascii="Times New Roman" w:hAnsi="Times New Roman" w:eastAsia="宋体"/>
          <w:b w:val="0"/>
          <w:sz w:val="24"/>
        </w:rPr>
        <w:t xml:space="preserve">4.6.4 XGBoost </w:t>
      </w:r>
      <w:r>
        <w:rPr>
          <w:rFonts w:hint="eastAsia" w:ascii="Times New Roman" w:hAnsi="Times New Roman" w:eastAsia="宋体"/>
          <w:b w:val="0"/>
          <w:sz w:val="24"/>
        </w:rPr>
        <w:t>特征重要性与部分依赖验证</w:t>
      </w:r>
    </w:p>
    <w:p w14:paraId="342B123F">
      <w:pPr>
        <w:spacing w:before="0" w:after="0" w:line="312" w:lineRule="auto"/>
        <w:ind w:firstLine="420"/>
        <w:jc w:val="both"/>
      </w:pPr>
      <w:r>
        <w:rPr>
          <w:rFonts w:hint="eastAsia" w:ascii="Times New Roman" w:hAnsi="Times New Roman" w:eastAsia="宋体"/>
          <w:b w:val="0"/>
          <w:sz w:val="21"/>
        </w:rPr>
        <w:t>为进一步验证核心变量在非线性模型中的表现，本文采用</w:t>
      </w:r>
      <w:r>
        <w:rPr>
          <w:rFonts w:ascii="Times New Roman" w:hAnsi="Times New Roman" w:eastAsia="宋体"/>
          <w:b w:val="0"/>
          <w:sz w:val="21"/>
        </w:rPr>
        <w:t xml:space="preserve"> XGBoost </w:t>
      </w:r>
      <w:r>
        <w:rPr>
          <w:rFonts w:hint="eastAsia" w:ascii="Times New Roman" w:hAnsi="Times New Roman" w:eastAsia="宋体"/>
          <w:b w:val="0"/>
          <w:sz w:val="21"/>
        </w:rPr>
        <w:t>模型实施两项补充检验：其一，考察财政补贴与控制变量在更灵活树模型中的特征重要性排序；其二，通过部分依赖图（Partial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PDP）刻画财政补贴对超额薪酬的局部关联趋势。</w:t>
      </w:r>
    </w:p>
    <w:p w14:paraId="3A23EC65">
      <w:pPr>
        <w:spacing w:before="0" w:after="0" w:line="312" w:lineRule="auto"/>
        <w:ind w:firstLine="420"/>
        <w:jc w:val="both"/>
      </w:pPr>
      <w:r>
        <w:rPr>
          <w:rFonts w:hint="eastAsia" w:ascii="Times New Roman" w:hAnsi="Times New Roman" w:eastAsia="宋体"/>
          <w:b w:val="0"/>
          <w:sz w:val="21"/>
        </w:rPr>
        <w:t>从特征重要性排序估计来看，在</w:t>
      </w:r>
      <w:r>
        <w:rPr>
          <w:rFonts w:ascii="Times New Roman" w:hAnsi="Times New Roman" w:eastAsia="宋体"/>
          <w:b w:val="0"/>
          <w:sz w:val="21"/>
        </w:rPr>
        <w:t xml:space="preserve"> XGBoost </w:t>
      </w:r>
      <w:r>
        <w:rPr>
          <w:rFonts w:hint="eastAsia" w:ascii="Times New Roman" w:hAnsi="Times New Roman" w:eastAsia="宋体"/>
          <w:b w:val="0"/>
          <w:sz w:val="21"/>
        </w:rPr>
        <w:t>模型中，Roa</w:t>
      </w:r>
      <w:r>
        <w:rPr>
          <w:rFonts w:ascii="Times New Roman" w:hAnsi="Times New Roman" w:eastAsia="宋体"/>
          <w:b w:val="0"/>
          <w:sz w:val="21"/>
        </w:rPr>
        <w:t xml:space="preserve"> </w:t>
      </w:r>
      <w:r>
        <w:rPr>
          <w:rFonts w:hint="eastAsia" w:ascii="Times New Roman" w:hAnsi="Times New Roman" w:eastAsia="宋体"/>
          <w:b w:val="0"/>
          <w:sz w:val="21"/>
        </w:rPr>
        <w:t>位列第1，lnSubsidy_pos_l1</w:t>
      </w:r>
      <w:r>
        <w:rPr>
          <w:rFonts w:ascii="Times New Roman" w:hAnsi="Times New Roman" w:eastAsia="宋体"/>
          <w:b w:val="0"/>
          <w:sz w:val="21"/>
        </w:rPr>
        <w:t xml:space="preserve"> </w:t>
      </w:r>
      <w:r>
        <w:rPr>
          <w:rFonts w:hint="eastAsia" w:ascii="Times New Roman" w:hAnsi="Times New Roman" w:eastAsia="宋体"/>
          <w:b w:val="0"/>
          <w:sz w:val="21"/>
        </w:rPr>
        <w:t>排名第2，Top1</w:t>
      </w:r>
      <w:r>
        <w:rPr>
          <w:rFonts w:ascii="Times New Roman" w:hAnsi="Times New Roman" w:eastAsia="宋体"/>
          <w:b w:val="0"/>
          <w:sz w:val="21"/>
        </w:rPr>
        <w:t xml:space="preserve"> </w:t>
      </w:r>
      <w:r>
        <w:rPr>
          <w:rFonts w:hint="eastAsia" w:ascii="Times New Roman" w:hAnsi="Times New Roman" w:eastAsia="宋体"/>
          <w:b w:val="0"/>
          <w:sz w:val="21"/>
        </w:rPr>
        <w:t>排名第3，Lever</w:t>
      </w:r>
      <w:r>
        <w:rPr>
          <w:rFonts w:ascii="Times New Roman" w:hAnsi="Times New Roman" w:eastAsia="宋体"/>
          <w:b w:val="0"/>
          <w:sz w:val="21"/>
        </w:rPr>
        <w:t xml:space="preserve"> </w:t>
      </w:r>
      <w:r>
        <w:rPr>
          <w:rFonts w:hint="eastAsia" w:ascii="Times New Roman" w:hAnsi="Times New Roman" w:eastAsia="宋体"/>
          <w:b w:val="0"/>
          <w:sz w:val="21"/>
        </w:rPr>
        <w:t>排名第4。这说明即使在允许更复杂非线性关系的树模型中，财政补贴仍是对</w:t>
      </w:r>
      <w:r>
        <w:rPr>
          <w:rFonts w:ascii="Times New Roman" w:hAnsi="Times New Roman" w:eastAsia="宋体"/>
          <w:b w:val="0"/>
          <w:sz w:val="21"/>
        </w:rPr>
        <w:t xml:space="preserve"> Overpay </w:t>
      </w:r>
      <w:r>
        <w:rPr>
          <w:rFonts w:hint="eastAsia" w:ascii="Times New Roman" w:hAnsi="Times New Roman" w:eastAsia="宋体"/>
          <w:b w:val="0"/>
          <w:sz w:val="21"/>
        </w:rPr>
        <w:t>具有较高解释贡献的关键特征，其重要性排序与</w:t>
      </w:r>
      <w:r>
        <w:rPr>
          <w:rFonts w:ascii="Times New Roman" w:hAnsi="Times New Roman" w:eastAsia="宋体"/>
          <w:b w:val="0"/>
          <w:sz w:val="21"/>
        </w:rPr>
        <w:t xml:space="preserve"> OLS </w:t>
      </w:r>
      <w:r>
        <w:rPr>
          <w:rFonts w:hint="eastAsia" w:ascii="Times New Roman" w:hAnsi="Times New Roman" w:eastAsia="宋体"/>
          <w:b w:val="0"/>
          <w:sz w:val="21"/>
        </w:rPr>
        <w:t>基准回归的核心变量设定保持一致。</w:t>
      </w:r>
    </w:p>
    <w:p w14:paraId="66184C3D">
      <w:pPr>
        <w:spacing w:before="0" w:after="0" w:line="240" w:lineRule="auto"/>
        <w:ind w:firstLine="0"/>
      </w:pPr>
      <w:r>
        <w:rPr>
          <w:rFonts w:ascii="Times New Roman" w:hAnsi="Times New Roman" w:eastAsia="宋体"/>
          <w:sz w:val="21"/>
        </w:rPr>
        <w:drawing>
          <wp:inline distT="0" distB="0" distL="114300" distR="114300">
            <wp:extent cx="5753100" cy="1784985"/>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a:picLocks noChangeAspect="1" noChangeArrowheads="1"/>
                    </pic:cNvPicPr>
                  </pic:nvPicPr>
                  <pic:blipFill>
                    <a:blip r:embed="rId26"/>
                    <a:stretch>
                      <a:fillRect/>
                    </a:stretch>
                  </pic:blipFill>
                  <pic:spPr>
                    <a:xfrm>
                      <a:off x="0" y="0"/>
                      <a:ext cx="5753100" cy="1785254"/>
                    </a:xfrm>
                    <a:prstGeom prst="rect">
                      <a:avLst/>
                    </a:prstGeom>
                    <a:noFill/>
                    <a:ln w="9525">
                      <a:noFill/>
                    </a:ln>
                  </pic:spPr>
                </pic:pic>
              </a:graphicData>
            </a:graphic>
          </wp:inline>
        </w:drawing>
      </w:r>
    </w:p>
    <w:p w14:paraId="0F6C0FBB">
      <w:pPr>
        <w:spacing w:before="0" w:after="0" w:line="312" w:lineRule="auto"/>
        <w:ind w:firstLine="0"/>
        <w:jc w:val="center"/>
      </w:pPr>
      <w:r>
        <w:rPr>
          <w:rFonts w:hint="eastAsia" w:ascii="Times New Roman" w:hAnsi="Times New Roman" w:eastAsia="宋体"/>
          <w:b/>
          <w:sz w:val="18"/>
        </w:rPr>
        <w:t>图4-4</w:t>
      </w:r>
      <w:r>
        <w:rPr>
          <w:rFonts w:ascii="Times New Roman" w:hAnsi="Times New Roman" w:eastAsia="宋体"/>
          <w:b/>
          <w:sz w:val="18"/>
        </w:rPr>
        <w:t xml:space="preserve"> </w:t>
      </w:r>
      <w:r>
        <w:rPr>
          <w:rFonts w:hint="eastAsia" w:ascii="Times New Roman" w:hAnsi="Times New Roman" w:eastAsia="宋体"/>
          <w:b/>
          <w:sz w:val="18"/>
        </w:rPr>
        <w:t>XGBoost特征重要性与财政补贴部分依赖图</w:t>
      </w:r>
    </w:p>
    <w:p w14:paraId="33BD059F">
      <w:pPr>
        <w:spacing w:before="0" w:after="0" w:line="312" w:lineRule="auto"/>
        <w:ind w:firstLine="420"/>
        <w:jc w:val="both"/>
      </w:pPr>
      <w:r>
        <w:rPr>
          <w:rFonts w:hint="eastAsia" w:ascii="Times New Roman" w:hAnsi="Times New Roman" w:eastAsia="宋体"/>
          <w:b w:val="0"/>
          <w:sz w:val="21"/>
        </w:rPr>
        <w:t>图4-4右侧的部分依赖图显示的是：在其他变量处于平均取值时，财政补贴变化如何影响模型预测的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Overpay。它反映的是</w:t>
      </w:r>
      <w:r>
        <w:rPr>
          <w:rFonts w:ascii="Times New Roman" w:hAnsi="Times New Roman" w:eastAsia="宋体"/>
          <w:b w:val="0"/>
          <w:sz w:val="21"/>
        </w:rPr>
        <w:t xml:space="preserve"> XGBoost </w:t>
      </w:r>
      <w:r>
        <w:rPr>
          <w:rFonts w:hint="eastAsia" w:ascii="Times New Roman" w:hAnsi="Times New Roman" w:eastAsia="宋体"/>
          <w:b w:val="0"/>
          <w:sz w:val="21"/>
        </w:rPr>
        <w:t>模型下的条件关联模式，不是计量经济学层面上的边际因果效应。从图形走势看，财政补贴的部分依赖关系呈现明显的非线性和非单调特征：低补贴区间内，曲线长期停留在负值附近并伴随小幅波动；进入较高补贴区间后，曲线由负转正并明显抬升，整体上是先平缓、后上升。这显示财政补贴对超额薪酬的关联并非线性均匀展开，在较高补贴区间会出现更明显的正向预测关联。</w:t>
      </w:r>
    </w:p>
    <w:p w14:paraId="6CBFB932">
      <w:pPr>
        <w:spacing w:before="0" w:after="0" w:line="312" w:lineRule="auto"/>
        <w:ind w:firstLine="420"/>
        <w:jc w:val="both"/>
      </w:pPr>
      <w:r>
        <w:rPr>
          <w:rFonts w:hint="eastAsia" w:ascii="Times New Roman" w:hAnsi="Times New Roman" w:eastAsia="宋体"/>
          <w:b w:val="0"/>
          <w:sz w:val="21"/>
        </w:rPr>
        <w:t>综合随机森林、SHAP、Lasso</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XGBoost </w:t>
      </w:r>
      <w:r>
        <w:rPr>
          <w:rFonts w:hint="eastAsia" w:ascii="Times New Roman" w:hAnsi="Times New Roman" w:eastAsia="宋体"/>
          <w:b w:val="0"/>
          <w:sz w:val="21"/>
        </w:rPr>
        <w:t>的四项检验，可以对机器学习补充验证做出如下整体判断。财政补贴强度在四种不同路径中均未被边缘化：在随机森林和SHAP中排名第3，在XGBoost中排名第2，在Lasso中未被压缩为零且方向为正，说明补贴变量在预测层面保留了相对稳定的信息含量。四种处理方式给出的方向与OLS基准回归相互呼应；Lasso</w:t>
      </w:r>
      <w:r>
        <w:rPr>
          <w:rFonts w:ascii="Times New Roman" w:hAnsi="Times New Roman" w:eastAsia="宋体"/>
          <w:b w:val="0"/>
          <w:sz w:val="21"/>
        </w:rPr>
        <w:t xml:space="preserve"> </w:t>
      </w:r>
      <w:r>
        <w:rPr>
          <w:rFonts w:hint="eastAsia" w:ascii="Times New Roman" w:hAnsi="Times New Roman" w:eastAsia="宋体"/>
          <w:b w:val="0"/>
          <w:sz w:val="21"/>
        </w:rPr>
        <w:t>保留正系数，XGBoost</w:t>
      </w:r>
      <w:r>
        <w:rPr>
          <w:rFonts w:ascii="Times New Roman" w:hAnsi="Times New Roman" w:eastAsia="宋体"/>
          <w:b w:val="0"/>
          <w:sz w:val="21"/>
        </w:rPr>
        <w:t xml:space="preserve"> </w:t>
      </w:r>
      <w:r>
        <w:rPr>
          <w:rFonts w:hint="eastAsia" w:ascii="Times New Roman" w:hAnsi="Times New Roman" w:eastAsia="宋体"/>
          <w:b w:val="0"/>
          <w:sz w:val="21"/>
        </w:rPr>
        <w:t>部分依赖图也呈总体上升形态，说明在更灵活的模型中，补贴强度与超额薪酬的正向联系仍能被观察到。XGBoost部分依赖图揭示的”低补贴区间平缓、高补贴区间明显抬升”的非线性特征，提供了OLS线性系数无法直接捕捉的补充信息：补贴效应并非沿全区间均匀展开，而是在较高强度下才显著加速，这与财政补贴超过一定阈值后更容易突破治理约束的理论推断相吻合。</w:t>
      </w:r>
    </w:p>
    <w:p w14:paraId="4F49B8ED">
      <w:pPr>
        <w:spacing w:before="0" w:after="0" w:line="312" w:lineRule="auto"/>
        <w:ind w:firstLine="420"/>
        <w:jc w:val="both"/>
      </w:pPr>
      <w:r>
        <w:rPr>
          <w:rFonts w:hint="eastAsia" w:ascii="Times New Roman" w:hAnsi="Times New Roman" w:eastAsia="宋体"/>
          <w:b w:val="0"/>
          <w:sz w:val="21"/>
        </w:rPr>
        <w:t>机器学习部分没有改变第四章已经写明的边界——中介效应经济幅度有限、因果解释仍需谨慎；它提供的是从预测角度对基准回归核心变量地位的独立确认。</w:t>
      </w:r>
    </w:p>
    <w:bookmarkEnd w:id="81"/>
    <w:bookmarkEnd w:id="82"/>
    <w:p w14:paraId="5F16D319">
      <w:pPr>
        <w:pStyle w:val="3"/>
        <w:spacing w:before="0" w:after="0" w:line="312" w:lineRule="auto"/>
        <w:ind w:firstLine="0"/>
        <w:jc w:val="left"/>
      </w:pPr>
      <w:bookmarkStart w:id="85" w:name="_TocAuto0023"/>
      <w:bookmarkStart w:id="86" w:name="中介效应分析"/>
      <w:r>
        <w:rPr>
          <w:rFonts w:ascii="Times New Roman" w:hAnsi="Times New Roman" w:eastAsia="黑体"/>
          <w:b w:val="0"/>
          <w:sz w:val="28"/>
        </w:rPr>
        <w:t xml:space="preserve">4.7 </w:t>
      </w:r>
      <w:r>
        <w:rPr>
          <w:rFonts w:hint="eastAsia" w:ascii="Times New Roman" w:hAnsi="Times New Roman" w:eastAsia="黑体"/>
          <w:b w:val="0"/>
          <w:sz w:val="28"/>
        </w:rPr>
        <w:t>中介效应分析</w:t>
      </w:r>
      <w:bookmarkEnd w:id="85"/>
    </w:p>
    <w:p w14:paraId="24FFB5A1">
      <w:pPr>
        <w:spacing w:before="0" w:after="0" w:line="312" w:lineRule="auto"/>
        <w:ind w:firstLine="420"/>
        <w:jc w:val="both"/>
      </w:pPr>
      <w:r>
        <w:rPr>
          <w:rFonts w:ascii="Times New Roman" w:hAnsi="Times New Roman" w:eastAsia="宋体"/>
          <w:b w:val="0"/>
          <w:sz w:val="21"/>
        </w:rPr>
        <w:t xml:space="preserve">Baron &amp; </w:t>
      </w:r>
      <w:r>
        <w:rPr>
          <w:rFonts w:hint="eastAsia" w:ascii="Times New Roman" w:hAnsi="Times New Roman" w:eastAsia="宋体"/>
          <w:b w:val="0"/>
          <w:sz w:val="21"/>
        </w:rPr>
        <w:t>Kenny（1986）</w:t>
      </w:r>
      <w:r>
        <w:rPr>
          <w:rFonts w:ascii="Times New Roman" w:hAnsi="Times New Roman" w:eastAsia="宋体"/>
          <w:b w:val="0"/>
          <w:sz w:val="21"/>
          <w:vertAlign w:val="superscript"/>
        </w:rPr>
        <w:t>[1]</w:t>
      </w:r>
      <w:r>
        <w:rPr>
          <w:rFonts w:hint="eastAsia" w:ascii="Times New Roman" w:hAnsi="Times New Roman" w:eastAsia="宋体"/>
          <w:b w:val="0"/>
          <w:sz w:val="21"/>
        </w:rPr>
        <w:t>的经典设定通常先观察总效应（其模型局限可参见</w:t>
      </w:r>
      <w:r>
        <w:rPr>
          <w:rFonts w:ascii="Times New Roman" w:hAnsi="Times New Roman" w:eastAsia="宋体"/>
          <w:b w:val="0"/>
          <w:sz w:val="21"/>
        </w:rPr>
        <w:t xml:space="preserve"> Zhao、Lynch </w:t>
      </w:r>
      <w:r>
        <w:rPr>
          <w:rFonts w:hint="eastAsia" w:ascii="Times New Roman" w:hAnsi="Times New Roman" w:eastAsia="宋体"/>
          <w:b w:val="0"/>
          <w:sz w:val="21"/>
        </w:rPr>
        <w:t>和</w:t>
      </w:r>
      <w:r>
        <w:rPr>
          <w:rFonts w:ascii="Times New Roman" w:hAnsi="Times New Roman" w:eastAsia="宋体"/>
          <w:b w:val="0"/>
          <w:sz w:val="21"/>
        </w:rPr>
        <w:t xml:space="preserve"> </w:t>
      </w:r>
      <w:r>
        <w:rPr>
          <w:rFonts w:hint="eastAsia" w:ascii="Times New Roman" w:hAnsi="Times New Roman" w:eastAsia="宋体"/>
          <w:b w:val="0"/>
          <w:sz w:val="21"/>
        </w:rPr>
        <w:t>Chen（2010）</w:t>
      </w:r>
      <w:r>
        <w:rPr>
          <w:rFonts w:ascii="Times New Roman" w:hAnsi="Times New Roman" w:eastAsia="宋体"/>
          <w:b w:val="0"/>
          <w:sz w:val="21"/>
          <w:vertAlign w:val="superscript"/>
        </w:rPr>
        <w:t>[15]</w:t>
      </w:r>
      <w:r>
        <w:rPr>
          <w:rFonts w:hint="eastAsia" w:ascii="Times New Roman" w:hAnsi="Times New Roman" w:eastAsia="宋体"/>
          <w:b w:val="0"/>
          <w:sz w:val="21"/>
        </w:rPr>
        <w:t>的讨论），再讨论中介路径。尽管新的总效应已经显著，本节仍将相关证据定位为探索性路径检验，而非严格层面上的因果中介证据，因为管理层权力指标本身仍属于经验性综合测度。</w:t>
      </w:r>
    </w:p>
    <w:p w14:paraId="72C6FA0A">
      <w:pPr>
        <w:pStyle w:val="28"/>
        <w:spacing w:before="0" w:after="0" w:line="312" w:lineRule="auto"/>
        <w:ind w:firstLine="420"/>
        <w:jc w:val="left"/>
      </w:pPr>
      <w:bookmarkStart w:id="87" w:name="中介变量构成与测度说明"/>
      <w:r>
        <w:rPr>
          <w:rFonts w:ascii="Times New Roman" w:hAnsi="Times New Roman" w:eastAsia="宋体"/>
          <w:b w:val="0"/>
          <w:sz w:val="24"/>
        </w:rPr>
        <w:t xml:space="preserve">4.7.1 </w:t>
      </w:r>
      <w:r>
        <w:rPr>
          <w:rFonts w:hint="eastAsia" w:ascii="Times New Roman" w:hAnsi="Times New Roman" w:eastAsia="宋体"/>
          <w:b w:val="0"/>
          <w:sz w:val="24"/>
        </w:rPr>
        <w:t>中介变量构成与测度说明</w:t>
      </w:r>
    </w:p>
    <w:p w14:paraId="0A358685">
      <w:pPr>
        <w:spacing w:before="0" w:after="0" w:line="312" w:lineRule="auto"/>
        <w:ind w:firstLine="420"/>
        <w:jc w:val="both"/>
      </w:pPr>
      <w:r>
        <w:rPr>
          <w:rFonts w:hint="eastAsia" w:ascii="Times New Roman" w:hAnsi="Times New Roman" w:eastAsia="宋体"/>
          <w:b w:val="0"/>
          <w:sz w:val="21"/>
        </w:rPr>
        <w:t>为检验财政补贴是否会经由管理层权力带动高管超额薪酬，将管理层权力指标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作为中介变量纳入经验结构。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层面：两职合一反映高管是否同时掌握董事会与经理层议程；董事会规模和内部董事比例反映董事会对高管的有效监督程度；高管持股比例则代表高管在所有权层面的正式权力基础。</w:t>
      </w:r>
    </w:p>
    <w:p w14:paraId="420615EE">
      <w:pPr>
        <w:spacing w:before="0" w:after="0" w:line="312" w:lineRule="auto"/>
        <w:ind w:firstLine="420"/>
        <w:jc w:val="both"/>
      </w:pPr>
      <w:r>
        <w:rPr>
          <w:rFonts w:hint="eastAsia" w:ascii="Times New Roman" w:hAnsi="Times New Roman" w:eastAsia="宋体"/>
          <w:b w:val="0"/>
          <w:sz w:val="21"/>
        </w:rPr>
        <w:t>在测度做法上，正文采用主成分拆解法（PCA）提取前两个主成分，并按方差贡献率加权形成综合权力指数</w:t>
      </w:r>
      <w:r>
        <w:rPr>
          <w:rFonts w:ascii="Times New Roman" w:hAnsi="Times New Roman" w:eastAsia="宋体"/>
          <w:b w:val="0"/>
          <w:sz w:val="21"/>
        </w:rPr>
        <w:t xml:space="preserve"> Power。PCA </w:t>
      </w:r>
      <w:r>
        <w:rPr>
          <w:rFonts w:hint="eastAsia" w:ascii="Times New Roman" w:hAnsi="Times New Roman" w:eastAsia="宋体"/>
          <w:b w:val="0"/>
          <w:sz w:val="21"/>
        </w:rPr>
        <w:t>直接以四项治理指标的共同变异信息为基础提取综合得分，在不额外设定潜在结构的前提下压缩多维治理特征；按方差贡献率加权，则是为了让解释力更高的主成分在综合指数中占据更大权重，避免简单平均造成的信息损失。</w:t>
      </w:r>
    </w:p>
    <w:p w14:paraId="6E35FA66">
      <w:pPr>
        <w:spacing w:before="0" w:after="0" w:line="312" w:lineRule="auto"/>
        <w:ind w:firstLine="420"/>
        <w:jc w:val="both"/>
      </w:pPr>
      <w:r>
        <w:rPr>
          <w:rFonts w:hint="eastAsia" w:ascii="Times New Roman" w:hAnsi="Times New Roman" w:eastAsia="宋体"/>
          <w:b w:val="0"/>
          <w:sz w:val="21"/>
        </w:rPr>
        <w:t>统计诊断上，PCA</w:t>
      </w:r>
      <w:r>
        <w:rPr>
          <w:rFonts w:ascii="Times New Roman" w:hAnsi="Times New Roman" w:eastAsia="宋体"/>
          <w:b w:val="0"/>
          <w:sz w:val="21"/>
        </w:rPr>
        <w:t xml:space="preserve"> </w:t>
      </w:r>
      <w:r>
        <w:rPr>
          <w:rFonts w:hint="eastAsia" w:ascii="Times New Roman" w:hAnsi="Times New Roman" w:eastAsia="宋体"/>
          <w:b w:val="0"/>
          <w:sz w:val="21"/>
        </w:rPr>
        <w:t>口径的整体</w:t>
      </w:r>
      <w:r>
        <w:rPr>
          <w:rFonts w:ascii="Times New Roman" w:hAnsi="Times New Roman" w:eastAsia="宋体"/>
          <w:b w:val="0"/>
          <w:sz w:val="21"/>
        </w:rPr>
        <w:t xml:space="preserve"> KMO </w:t>
      </w:r>
      <w:r>
        <w:rPr>
          <w:rFonts w:hint="eastAsia" w:ascii="Times New Roman" w:hAnsi="Times New Roman" w:eastAsia="宋体"/>
          <w:b w:val="0"/>
          <w:sz w:val="21"/>
        </w:rPr>
        <w:t>约为0.565，前两个主成分累计方差解释率约为69.08%。PC1（43.0%）主要载荷于</w:t>
      </w:r>
      <w:r>
        <w:rPr>
          <w:rFonts w:ascii="Times New Roman" w:hAnsi="Times New Roman" w:eastAsia="宋体"/>
          <w:b w:val="0"/>
          <w:sz w:val="21"/>
        </w:rPr>
        <w:t xml:space="preserve"> </w:t>
      </w:r>
      <w:r>
        <w:rPr>
          <w:rFonts w:hint="eastAsia" w:ascii="Times New Roman" w:hAnsi="Times New Roman" w:eastAsia="宋体"/>
          <w:b w:val="0"/>
          <w:sz w:val="21"/>
        </w:rPr>
        <w:t>Boardsize（0.615）与</w:t>
      </w:r>
      <w:r>
        <w:rPr>
          <w:rFonts w:ascii="Times New Roman" w:hAnsi="Times New Roman" w:eastAsia="宋体"/>
          <w:b w:val="0"/>
          <w:sz w:val="21"/>
        </w:rPr>
        <w:t xml:space="preserve"> </w:t>
      </w:r>
      <w:r>
        <w:rPr>
          <w:rFonts w:hint="eastAsia" w:ascii="Times New Roman" w:hAnsi="Times New Roman" w:eastAsia="宋体"/>
          <w:b w:val="0"/>
          <w:sz w:val="21"/>
        </w:rPr>
        <w:t>Insider（0.544），反映董事会结构权力维度；PC2（26.1%）主要载荷于</w:t>
      </w:r>
      <w:r>
        <w:rPr>
          <w:rFonts w:ascii="Times New Roman" w:hAnsi="Times New Roman" w:eastAsia="宋体"/>
          <w:b w:val="0"/>
          <w:sz w:val="21"/>
        </w:rPr>
        <w:t xml:space="preserve"> </w:t>
      </w:r>
      <w:r>
        <w:rPr>
          <w:rFonts w:hint="eastAsia" w:ascii="Times New Roman" w:hAnsi="Times New Roman" w:eastAsia="宋体"/>
          <w:b w:val="0"/>
          <w:sz w:val="21"/>
        </w:rPr>
        <w:t>Mgshder（0.584）、Dual（0.554）和</w:t>
      </w:r>
      <w:r>
        <w:rPr>
          <w:rFonts w:ascii="Times New Roman" w:hAnsi="Times New Roman" w:eastAsia="宋体"/>
          <w:b w:val="0"/>
          <w:sz w:val="21"/>
        </w:rPr>
        <w:t xml:space="preserve"> </w:t>
      </w:r>
      <w:r>
        <w:rPr>
          <w:rFonts w:hint="eastAsia" w:ascii="Times New Roman" w:hAnsi="Times New Roman" w:eastAsia="宋体"/>
          <w:b w:val="0"/>
          <w:sz w:val="21"/>
        </w:rPr>
        <w:t>Insider（0.517），反映所有权与职位权力维度。四项指标在样本中呈现出可识别的结构分化。KMO</w:t>
      </w:r>
      <w:r>
        <w:rPr>
          <w:rFonts w:ascii="Times New Roman" w:hAnsi="Times New Roman" w:eastAsia="宋体"/>
          <w:b w:val="0"/>
          <w:sz w:val="21"/>
        </w:rPr>
        <w:t xml:space="preserve"> </w:t>
      </w:r>
      <w:r>
        <w:rPr>
          <w:rFonts w:hint="eastAsia" w:ascii="Times New Roman" w:hAnsi="Times New Roman" w:eastAsia="宋体"/>
          <w:b w:val="0"/>
          <w:sz w:val="21"/>
        </w:rPr>
        <w:t>偏低，说明四项指标的共同变异不算强，潜在结构也不算紧密；不过，PCA</w:t>
      </w:r>
      <w:r>
        <w:rPr>
          <w:rFonts w:ascii="Times New Roman" w:hAnsi="Times New Roman" w:eastAsia="宋体"/>
          <w:b w:val="0"/>
          <w:sz w:val="21"/>
        </w:rPr>
        <w:t xml:space="preserve"> </w:t>
      </w:r>
      <w:r>
        <w:rPr>
          <w:rFonts w:hint="eastAsia" w:ascii="Times New Roman" w:hAnsi="Times New Roman" w:eastAsia="宋体"/>
          <w:b w:val="0"/>
          <w:sz w:val="21"/>
        </w:rPr>
        <w:t>的重点在于降维和信息压缩，只要前几个主成分能够覆盖样本中的主要方差信息，这一综合口径仍可作为经验测度使用。就本文而言，69.08%的累计方差解释率已经覆盖了多数信息，因此仍将其作为管理层权力的经验性综合指标，并在结论解释中保持审慎。</w:t>
      </w:r>
    </w:p>
    <w:bookmarkEnd w:id="83"/>
    <w:p w14:paraId="2CE1A2F7">
      <w:pPr>
        <w:pStyle w:val="28"/>
        <w:spacing w:before="0" w:after="0" w:line="312" w:lineRule="auto"/>
        <w:ind w:firstLine="420"/>
        <w:jc w:val="left"/>
      </w:pPr>
      <w:bookmarkStart w:id="88" w:name="中介效应检验结果"/>
      <w:r>
        <w:rPr>
          <w:rFonts w:ascii="Times New Roman" w:hAnsi="Times New Roman" w:eastAsia="宋体"/>
          <w:b w:val="0"/>
          <w:sz w:val="24"/>
        </w:rPr>
        <w:t xml:space="preserve">4.7.2 </w:t>
      </w:r>
      <w:r>
        <w:rPr>
          <w:rFonts w:hint="eastAsia" w:ascii="Times New Roman" w:hAnsi="Times New Roman" w:eastAsia="宋体"/>
          <w:b w:val="0"/>
          <w:sz w:val="24"/>
        </w:rPr>
        <w:t>中介效应检验结果</w:t>
      </w:r>
    </w:p>
    <w:p w14:paraId="632CAE8D">
      <w:pPr>
        <w:spacing w:before="0" w:after="0" w:line="312" w:lineRule="auto"/>
        <w:ind w:firstLine="420"/>
        <w:jc w:val="both"/>
      </w:pPr>
      <w:r>
        <w:rPr>
          <w:rFonts w:hint="eastAsia" w:ascii="Times New Roman" w:hAnsi="Times New Roman" w:eastAsia="宋体"/>
          <w:b w:val="0"/>
          <w:sz w:val="21"/>
        </w:rPr>
        <w:t>在完成选择偏差校正后，将基于</w:t>
      </w:r>
      <w:r>
        <w:rPr>
          <w:rFonts w:ascii="Times New Roman" w:hAnsi="Times New Roman" w:eastAsia="宋体"/>
          <w:b w:val="0"/>
          <w:sz w:val="21"/>
        </w:rPr>
        <w:t xml:space="preserve"> PCA </w:t>
      </w:r>
      <w:r>
        <w:rPr>
          <w:rFonts w:hint="eastAsia" w:ascii="Times New Roman" w:hAnsi="Times New Roman" w:eastAsia="宋体"/>
          <w:b w:val="0"/>
          <w:sz w:val="21"/>
        </w:rPr>
        <w:t>构造的管理层权力指标纳入中介效应分析结构。为保证模型3至模型5之间具有可比性，这一部分统一使用同时具备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与滞后一期正补助信息的41,186个样本，见表4-11。需注意，由于统一样本（41,186条）少于基准回归样本（43,417条），模型3中的总效应系数与表4-5的基准回归系数略有差异，这一变化主要来自样本组成调整，而非模型设定改变。</w:t>
      </w:r>
    </w:p>
    <w:p w14:paraId="17721F7D">
      <w:pPr>
        <w:spacing w:before="0" w:after="0" w:line="312" w:lineRule="auto"/>
        <w:ind w:firstLine="0"/>
        <w:jc w:val="center"/>
      </w:pPr>
      <w:r>
        <w:rPr>
          <w:rFonts w:hint="eastAsia" w:ascii="Times New Roman" w:hAnsi="Times New Roman" w:eastAsia="宋体"/>
          <w:b/>
          <w:sz w:val="18"/>
        </w:rPr>
        <w:t>表4-11</w:t>
      </w:r>
      <w:r>
        <w:rPr>
          <w:rFonts w:ascii="Times New Roman" w:hAnsi="Times New Roman" w:eastAsia="宋体"/>
          <w:b/>
          <w:sz w:val="18"/>
        </w:rPr>
        <w:t xml:space="preserve"> </w:t>
      </w:r>
      <w:r>
        <w:rPr>
          <w:rFonts w:hint="eastAsia" w:ascii="Times New Roman" w:hAnsi="Times New Roman" w:eastAsia="宋体"/>
          <w:b/>
          <w:sz w:val="18"/>
        </w:rPr>
        <w:t>管理层权力的中介效应检验结果（模型3至模型5，PCA口径）</w:t>
      </w:r>
    </w:p>
    <w:p w14:paraId="1C4321DC">
      <w:pPr>
        <w:spacing w:before="0" w:after="0" w:line="240" w:lineRule="auto"/>
        <w:ind w:firstLine="0"/>
      </w:pPr>
      <w:r>
        <w:rPr>
          <w:rFonts w:ascii="Times New Roman" w:hAnsi="Times New Roman" w:eastAsia="宋体"/>
          <w:sz w:val="21"/>
        </w:rPr>
        <w:drawing>
          <wp:inline distT="0" distB="0" distL="114300" distR="114300">
            <wp:extent cx="5579745" cy="1816100"/>
            <wp:effectExtent l="0" t="0" r="0" b="0"/>
            <wp:docPr id="1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a:picLocks noChangeAspect="1" noChangeArrowheads="1"/>
                    </pic:cNvPicPr>
                  </pic:nvPicPr>
                  <pic:blipFill>
                    <a:blip r:embed="rId27"/>
                    <a:stretch>
                      <a:fillRect/>
                    </a:stretch>
                  </pic:blipFill>
                  <pic:spPr>
                    <a:xfrm>
                      <a:off x="0" y="0"/>
                      <a:ext cx="5579999" cy="1816599"/>
                    </a:xfrm>
                    <a:prstGeom prst="rect">
                      <a:avLst/>
                    </a:prstGeom>
                    <a:noFill/>
                    <a:ln w="9525">
                      <a:noFill/>
                    </a:ln>
                  </pic:spPr>
                </pic:pic>
              </a:graphicData>
            </a:graphic>
          </wp:inline>
        </w:drawing>
      </w:r>
    </w:p>
    <w:p w14:paraId="484B20AD">
      <w:pPr>
        <w:spacing w:before="0" w:after="0" w:line="312" w:lineRule="auto"/>
        <w:ind w:firstLine="0"/>
        <w:jc w:val="left"/>
      </w:pPr>
      <w:r>
        <w:rPr>
          <w:rFonts w:hint="eastAsia" w:ascii="Times New Roman" w:hAnsi="Times New Roman" w:eastAsia="宋体"/>
          <w:b w:val="0"/>
          <w:sz w:val="21"/>
        </w:rPr>
        <w:t>注：</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分别表示在1%、5%、10%的统计层面上显著。标准误为公司层面聚类稳健标准误，对应回归均控制</w:t>
      </w:r>
      <w:r>
        <w:rPr>
          <w:rFonts w:ascii="Times New Roman" w:hAnsi="Times New Roman" w:eastAsia="宋体"/>
          <w:b w:val="0"/>
          <w:sz w:val="21"/>
        </w:rPr>
        <w:t xml:space="preserve"> Roa、Lever、Top1 </w:t>
      </w:r>
      <w:r>
        <w:rPr>
          <w:rFonts w:hint="eastAsia" w:ascii="Times New Roman" w:hAnsi="Times New Roman" w:eastAsia="宋体"/>
          <w:b w:val="0"/>
          <w:sz w:val="21"/>
        </w:rPr>
        <w:t>以及公司和年份固定效应。</w:t>
      </w:r>
    </w:p>
    <w:p w14:paraId="77D32AA5">
      <w:pPr>
        <w:spacing w:before="0" w:after="0" w:line="312" w:lineRule="auto"/>
        <w:ind w:firstLine="420"/>
        <w:jc w:val="both"/>
      </w:pPr>
      <w:r>
        <w:rPr>
          <w:rFonts w:hint="eastAsia" w:ascii="Times New Roman" w:hAnsi="Times New Roman" w:eastAsia="宋体"/>
          <w:b w:val="0"/>
          <w:sz w:val="21"/>
        </w:rPr>
        <w:t>表4-11显示，PCA</w:t>
      </w:r>
      <w:r>
        <w:rPr>
          <w:rFonts w:ascii="Times New Roman" w:hAnsi="Times New Roman" w:eastAsia="宋体"/>
          <w:b w:val="0"/>
          <w:sz w:val="21"/>
        </w:rPr>
        <w:t xml:space="preserve"> </w:t>
      </w:r>
      <w:r>
        <w:rPr>
          <w:rFonts w:hint="eastAsia" w:ascii="Times New Roman" w:hAnsi="Times New Roman" w:eastAsia="宋体"/>
          <w:b w:val="0"/>
          <w:sz w:val="21"/>
        </w:rPr>
        <w:t>口径下中介链条的三步路径均达到显著性标准。统一样本上的总效应（模型3）系数为0.0092，并在1%的统计层面上显著；路径</w:t>
      </w:r>
      <w:r>
        <w:rPr>
          <w:rFonts w:ascii="Times New Roman" w:hAnsi="Times New Roman" w:eastAsia="宋体"/>
          <w:b w:val="0"/>
          <w:sz w:val="21"/>
        </w:rPr>
        <w:t xml:space="preserve"> </w:t>
      </w:r>
      <m:oMath>
        <m:r>
          <m:rPr/>
          <m:t>a</m:t>
        </m:r>
      </m:oMath>
      <w:r>
        <w:rPr>
          <w:rFonts w:ascii="Times New Roman" w:hAnsi="Times New Roman" w:eastAsia="宋体"/>
          <w:b w:val="0"/>
          <w:sz w:val="21"/>
        </w:rPr>
        <w:t xml:space="preserve"> </w:t>
      </w:r>
      <w:r>
        <w:rPr>
          <w:rFonts w:hint="eastAsia" w:ascii="Times New Roman" w:hAnsi="Times New Roman" w:eastAsia="宋体"/>
          <w:b w:val="0"/>
          <w:sz w:val="21"/>
        </w:rPr>
        <w:t>的系数为0.0146，也在1%的统计层面上显著（p</w:t>
      </w:r>
      <w:r>
        <w:rPr>
          <w:rFonts w:ascii="Times New Roman" w:hAnsi="Times New Roman" w:eastAsia="宋体"/>
          <w:b w:val="0"/>
          <w:sz w:val="21"/>
        </w:rPr>
        <w:t xml:space="preserve"> = </w:t>
      </w:r>
      <w:r>
        <w:rPr>
          <w:rFonts w:hint="eastAsia" w:ascii="Times New Roman" w:hAnsi="Times New Roman" w:eastAsia="宋体"/>
          <w:b w:val="0"/>
          <w:sz w:val="21"/>
        </w:rPr>
        <w:t>0.005），说明补贴强度上升与管理层权力抬升相伴随；模型5中，Power</w:t>
      </w:r>
      <w:r>
        <w:rPr>
          <w:rFonts w:ascii="Times New Roman" w:hAnsi="Times New Roman" w:eastAsia="宋体"/>
          <w:b w:val="0"/>
          <w:sz w:val="21"/>
        </w:rPr>
        <w:t xml:space="preserve"> </w:t>
      </w:r>
      <w:r>
        <w:rPr>
          <w:rFonts w:hint="eastAsia" w:ascii="Times New Roman" w:hAnsi="Times New Roman" w:eastAsia="宋体"/>
          <w:b w:val="0"/>
          <w:sz w:val="21"/>
        </w:rPr>
        <w:t>的系数为0.0173，在5%的统计层面上显著（p</w:t>
      </w:r>
      <w:r>
        <w:rPr>
          <w:rFonts w:ascii="Times New Roman" w:hAnsi="Times New Roman" w:eastAsia="宋体"/>
          <w:b w:val="0"/>
          <w:sz w:val="21"/>
        </w:rPr>
        <w:t xml:space="preserve"> = </w:t>
      </w:r>
      <w:r>
        <w:rPr>
          <w:rFonts w:hint="eastAsia" w:ascii="Times New Roman" w:hAnsi="Times New Roman" w:eastAsia="宋体"/>
          <w:b w:val="0"/>
          <w:sz w:val="21"/>
        </w:rPr>
        <w:t>0.011），提示在控制补贴强度后，管理层权力仍与超额薪酬存在正向关联；补贴的直接效应</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为0.0089，仍在1%的统计层面上显著（p</w:t>
      </w:r>
      <w:r>
        <w:rPr>
          <w:rFonts w:ascii="Times New Roman" w:hAnsi="Times New Roman" w:eastAsia="宋体"/>
          <w:b w:val="0"/>
          <w:sz w:val="21"/>
        </w:rPr>
        <w:t xml:space="preserve"> = </w:t>
      </w:r>
      <w:r>
        <w:rPr>
          <w:rFonts w:hint="eastAsia" w:ascii="Times New Roman" w:hAnsi="Times New Roman" w:eastAsia="宋体"/>
          <w:b w:val="0"/>
          <w:sz w:val="21"/>
        </w:rPr>
        <w:t>0.009），说明补贴对超额薪酬的牵动有一部分经由管理层权力传导，另一部分仍保留在直接路径上。Bootstrap</w:t>
      </w:r>
      <w:r>
        <w:rPr>
          <w:rFonts w:ascii="Times New Roman" w:hAnsi="Times New Roman" w:eastAsia="宋体"/>
          <w:b w:val="0"/>
          <w:sz w:val="21"/>
        </w:rPr>
        <w:t xml:space="preserve"> </w:t>
      </w:r>
      <w:r>
        <w:rPr>
          <w:rFonts w:hint="eastAsia" w:ascii="Times New Roman" w:hAnsi="Times New Roman" w:eastAsia="宋体"/>
          <w:b w:val="0"/>
          <w:sz w:val="21"/>
        </w:rPr>
        <w:t>检验（300次重复抽样）的间接效应95%置信区间为[0.000034,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0.000609]，不包含零，对应</w:t>
      </w:r>
      <w:r>
        <w:rPr>
          <w:rFonts w:ascii="Times New Roman" w:hAnsi="Times New Roman" w:eastAsia="宋体"/>
          <w:b w:val="0"/>
          <w:sz w:val="21"/>
        </w:rPr>
        <w:t xml:space="preserve"> p = </w:t>
      </w:r>
      <w:r>
        <w:rPr>
          <w:rFonts w:hint="eastAsia" w:ascii="Times New Roman" w:hAnsi="Times New Roman" w:eastAsia="宋体"/>
          <w:b w:val="0"/>
          <w:sz w:val="21"/>
        </w:rPr>
        <w:t>0.007，与三步回归的方向一致。Sobel</w:t>
      </w:r>
      <w:r>
        <w:rPr>
          <w:rFonts w:ascii="Times New Roman" w:hAnsi="Times New Roman" w:eastAsia="宋体"/>
          <w:b w:val="0"/>
          <w:sz w:val="21"/>
        </w:rPr>
        <w:t xml:space="preserve"> </w:t>
      </w:r>
      <w:r>
        <w:rPr>
          <w:rFonts w:hint="eastAsia" w:ascii="Times New Roman" w:hAnsi="Times New Roman" w:eastAsia="宋体"/>
          <w:b w:val="0"/>
          <w:sz w:val="21"/>
        </w:rPr>
        <w:t>检验的</w:t>
      </w:r>
      <w:r>
        <w:rPr>
          <w:rFonts w:ascii="Times New Roman" w:hAnsi="Times New Roman" w:eastAsia="宋体"/>
          <w:b w:val="0"/>
          <w:sz w:val="21"/>
        </w:rPr>
        <w:t xml:space="preserve"> p </w:t>
      </w:r>
      <w:r>
        <w:rPr>
          <w:rFonts w:hint="eastAsia" w:ascii="Times New Roman" w:hAnsi="Times New Roman" w:eastAsia="宋体"/>
          <w:b w:val="0"/>
          <w:sz w:val="21"/>
        </w:rPr>
        <w:t>值为0.059，仅处于边际显著性标准。考虑到</w:t>
      </w:r>
      <w:r>
        <w:rPr>
          <w:rFonts w:ascii="Times New Roman" w:hAnsi="Times New Roman" w:eastAsia="宋体"/>
          <w:b w:val="0"/>
          <w:sz w:val="21"/>
        </w:rPr>
        <w:t xml:space="preserve"> Sobel </w:t>
      </w:r>
      <w:r>
        <w:rPr>
          <w:rFonts w:hint="eastAsia" w:ascii="Times New Roman" w:hAnsi="Times New Roman" w:eastAsia="宋体"/>
          <w:b w:val="0"/>
          <w:sz w:val="21"/>
        </w:rPr>
        <w:t>对间接效应正态性的假设更强，文中仍以</w:t>
      </w:r>
      <w:r>
        <w:rPr>
          <w:rFonts w:ascii="Times New Roman" w:hAnsi="Times New Roman" w:eastAsia="宋体"/>
          <w:b w:val="0"/>
          <w:sz w:val="21"/>
        </w:rPr>
        <w:t xml:space="preserve"> Bootstrap </w:t>
      </w:r>
      <w:r>
        <w:rPr>
          <w:rFonts w:hint="eastAsia" w:ascii="Times New Roman" w:hAnsi="Times New Roman" w:eastAsia="宋体"/>
          <w:b w:val="0"/>
          <w:sz w:val="21"/>
        </w:rPr>
        <w:t>结论作为主要参考。</w:t>
      </w:r>
    </w:p>
    <w:p w14:paraId="26055AF3">
      <w:pPr>
        <w:spacing w:before="0" w:after="0" w:line="312" w:lineRule="auto"/>
        <w:ind w:firstLine="420"/>
        <w:jc w:val="both"/>
      </w:pPr>
      <w:r>
        <w:rPr>
          <w:rFonts w:hint="eastAsia" w:ascii="Times New Roman" w:hAnsi="Times New Roman" w:eastAsia="宋体"/>
          <w:b w:val="0"/>
          <w:sz w:val="21"/>
        </w:rPr>
        <w:t>综合来看，PCA</w:t>
      </w:r>
      <w:r>
        <w:rPr>
          <w:rFonts w:ascii="Times New Roman" w:hAnsi="Times New Roman" w:eastAsia="宋体"/>
          <w:b w:val="0"/>
          <w:sz w:val="21"/>
        </w:rPr>
        <w:t xml:space="preserve"> </w:t>
      </w:r>
      <w:r>
        <w:rPr>
          <w:rFonts w:hint="eastAsia" w:ascii="Times New Roman" w:hAnsi="Times New Roman" w:eastAsia="宋体"/>
          <w:b w:val="0"/>
          <w:sz w:val="21"/>
        </w:rPr>
        <w:t>口径下管理层权力在补贴强度与超额薪酬之间发挥了部分中介角色，H2</w:t>
      </w:r>
      <w:r>
        <w:rPr>
          <w:rFonts w:ascii="Times New Roman" w:hAnsi="Times New Roman" w:eastAsia="宋体"/>
          <w:b w:val="0"/>
          <w:sz w:val="21"/>
        </w:rPr>
        <w:t xml:space="preserve"> </w:t>
      </w:r>
      <w:r>
        <w:rPr>
          <w:rFonts w:hint="eastAsia" w:ascii="Times New Roman" w:hAnsi="Times New Roman" w:eastAsia="宋体"/>
          <w:b w:val="0"/>
          <w:sz w:val="21"/>
        </w:rPr>
        <w:t>获得支持。从经济含义来看，间接效应（</w:t>
      </w:r>
      <m:oMath>
        <m:r>
          <m:rPr/>
          <m:t>a</m:t>
        </m:r>
        <m:r>
          <m:rPr>
            <m:sty m:val="p"/>
          </m:rPr>
          <m:t>×</m:t>
        </m:r>
        <m:r>
          <m:rPr/>
          <m:t>b</m:t>
        </m:r>
        <m:r>
          <m:rPr>
            <m:sty m:val="p"/>
          </m:rPr>
          <m:t>=</m:t>
        </m:r>
        <m:r>
          <m:rPr/>
          <m:t>0.0146</m:t>
        </m:r>
        <m:r>
          <m:rPr>
            <m:sty m:val="p"/>
          </m:rPr>
          <m:t>×</m:t>
        </m:r>
        <m:r>
          <m:rPr/>
          <m:t>0.0173</m:t>
        </m:r>
        <m:r>
          <m:rPr>
            <m:sty m:val="p"/>
          </m:rPr>
          <m:t>≈</m:t>
        </m:r>
        <m:r>
          <m:rPr/>
          <m:t>0.00025</m:t>
        </m:r>
      </m:oMath>
      <w:r>
        <w:rPr>
          <w:rFonts w:hint="eastAsia" w:ascii="Times New Roman" w:hAnsi="Times New Roman" w:eastAsia="宋体"/>
          <w:b w:val="0"/>
          <w:sz w:val="21"/>
        </w:rPr>
        <w:t>）仅占总效应（0.0092）的约3%，说明补贴强度对超额薪酬的牵动绝大部分通过直接路径传导，经由管理层权力中介的部分非常有限。这一证据的可能解释是：补贴资源对超额薪酬的直接推动（如改善账面业绩后被纳入绩效薪酬基数、放松董事会的支付约束等）远强于通过改变权力结构形成的间接传导。管理层权力作为中介变量的传导虽在统计上成立，但在经济规模上受到两个因素的制约：从测度上看，Power本身是基于可观测治理特征构造的经验性综合测度，难以完整捕捉真实的权力变动；从估计结构看，公司固定效应思路下的</w:t>
      </w:r>
      <w:r>
        <w:rPr>
          <w:rFonts w:ascii="Times New Roman" w:hAnsi="Times New Roman" w:eastAsia="宋体"/>
          <w:b w:val="0"/>
          <w:sz w:val="21"/>
        </w:rPr>
        <w:t xml:space="preserve"> Power </w:t>
      </w:r>
      <w:r>
        <w:rPr>
          <w:rFonts w:hint="eastAsia" w:ascii="Times New Roman" w:hAnsi="Times New Roman" w:eastAsia="宋体"/>
          <w:b w:val="0"/>
          <w:sz w:val="21"/>
        </w:rPr>
        <w:t>组内变异主要来自治理结构的缓慢调整，这部分变异本身就较小。因此，相关证据更适合理解为“传导力度有限，但权力渠道存在”。</w:t>
      </w:r>
    </w:p>
    <w:bookmarkEnd w:id="84"/>
    <w:bookmarkEnd w:id="86"/>
    <w:p w14:paraId="029E4670">
      <w:pPr>
        <w:pStyle w:val="3"/>
        <w:spacing w:before="0" w:after="0" w:line="312" w:lineRule="auto"/>
        <w:ind w:firstLine="0"/>
        <w:jc w:val="left"/>
      </w:pPr>
      <w:bookmarkStart w:id="89" w:name="_TocAuto0024"/>
      <w:bookmarkStart w:id="90" w:name="异质性分析"/>
      <w:r>
        <w:rPr>
          <w:rFonts w:ascii="Times New Roman" w:hAnsi="Times New Roman" w:eastAsia="黑体"/>
          <w:b w:val="0"/>
          <w:sz w:val="28"/>
        </w:rPr>
        <w:t xml:space="preserve">4.8 </w:t>
      </w:r>
      <w:r>
        <w:rPr>
          <w:rFonts w:hint="eastAsia" w:ascii="Times New Roman" w:hAnsi="Times New Roman" w:eastAsia="黑体"/>
          <w:b w:val="0"/>
          <w:sz w:val="28"/>
        </w:rPr>
        <w:t>异质性分析</w:t>
      </w:r>
      <w:bookmarkEnd w:id="89"/>
    </w:p>
    <w:p w14:paraId="26FEC779">
      <w:pPr>
        <w:pStyle w:val="28"/>
        <w:spacing w:before="0" w:after="0" w:line="312" w:lineRule="auto"/>
        <w:ind w:firstLine="420"/>
        <w:jc w:val="left"/>
      </w:pPr>
      <w:bookmarkStart w:id="91" w:name="产权性质差异"/>
      <w:r>
        <w:rPr>
          <w:rFonts w:ascii="Times New Roman" w:hAnsi="Times New Roman" w:eastAsia="宋体"/>
          <w:b w:val="0"/>
          <w:sz w:val="24"/>
        </w:rPr>
        <w:t xml:space="preserve">4.8.1 </w:t>
      </w:r>
      <w:r>
        <w:rPr>
          <w:rFonts w:hint="eastAsia" w:ascii="Times New Roman" w:hAnsi="Times New Roman" w:eastAsia="宋体"/>
          <w:b w:val="0"/>
          <w:sz w:val="24"/>
        </w:rPr>
        <w:t>产权性质差异</w:t>
      </w:r>
    </w:p>
    <w:p w14:paraId="746A29D6">
      <w:pPr>
        <w:spacing w:before="0" w:after="0" w:line="312" w:lineRule="auto"/>
        <w:ind w:firstLine="420"/>
        <w:jc w:val="both"/>
      </w:pPr>
      <w:r>
        <w:rPr>
          <w:rFonts w:hint="eastAsia" w:ascii="Times New Roman" w:hAnsi="Times New Roman" w:eastAsia="宋体"/>
          <w:b w:val="0"/>
          <w:sz w:val="21"/>
        </w:rPr>
        <w:t>产权性质依据CSMAR数据库中“企业属性”字段划分，国有企业包括中央国有和地方国有，私营企业为实际控制人性质明确标记为民营的样本。由于基准回归已经限定为上一年已获补贴的公司年度，分组回归的样本边界与表4-5保持一致，只是在各组内分别重复估计同一基准回归模型，对应估计见表4-12。</w:t>
      </w:r>
    </w:p>
    <w:p w14:paraId="263E5C5A">
      <w:pPr>
        <w:spacing w:before="0" w:after="0" w:line="312" w:lineRule="auto"/>
        <w:ind w:firstLine="0"/>
        <w:jc w:val="center"/>
      </w:pPr>
      <w:r>
        <w:rPr>
          <w:rFonts w:hint="eastAsia" w:ascii="Times New Roman" w:hAnsi="Times New Roman" w:eastAsia="宋体"/>
          <w:b/>
          <w:sz w:val="18"/>
        </w:rPr>
        <w:t>表4-12</w:t>
      </w:r>
      <w:r>
        <w:rPr>
          <w:rFonts w:ascii="Times New Roman" w:hAnsi="Times New Roman" w:eastAsia="宋体"/>
          <w:b/>
          <w:sz w:val="18"/>
        </w:rPr>
        <w:t xml:space="preserve"> </w:t>
      </w:r>
      <w:r>
        <w:rPr>
          <w:rFonts w:hint="eastAsia" w:ascii="Times New Roman" w:hAnsi="Times New Roman" w:eastAsia="宋体"/>
          <w:b/>
          <w:sz w:val="18"/>
        </w:rPr>
        <w:t>产权性质分组基准回归结果（模型2）</w:t>
      </w:r>
    </w:p>
    <w:p w14:paraId="65FEF0AF">
      <w:pPr>
        <w:spacing w:before="0" w:after="0" w:line="240" w:lineRule="auto"/>
        <w:ind w:firstLine="0"/>
      </w:pPr>
      <w:r>
        <w:rPr>
          <w:rFonts w:ascii="Times New Roman" w:hAnsi="Times New Roman" w:eastAsia="宋体"/>
          <w:sz w:val="21"/>
        </w:rPr>
        <w:drawing>
          <wp:inline distT="0" distB="0" distL="114300" distR="114300">
            <wp:extent cx="5579745" cy="2039620"/>
            <wp:effectExtent l="0" t="0" r="0" b="0"/>
            <wp:docPr id="1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a:picLocks noChangeAspect="1" noChangeArrowheads="1"/>
                    </pic:cNvPicPr>
                  </pic:nvPicPr>
                  <pic:blipFill>
                    <a:blip r:embed="rId28"/>
                    <a:stretch>
                      <a:fillRect/>
                    </a:stretch>
                  </pic:blipFill>
                  <pic:spPr>
                    <a:xfrm>
                      <a:off x="0" y="0"/>
                      <a:ext cx="5579999" cy="2039799"/>
                    </a:xfrm>
                    <a:prstGeom prst="rect">
                      <a:avLst/>
                    </a:prstGeom>
                    <a:noFill/>
                    <a:ln w="9525">
                      <a:noFill/>
                    </a:ln>
                  </pic:spPr>
                </pic:pic>
              </a:graphicData>
            </a:graphic>
          </wp:inline>
        </w:drawing>
      </w:r>
    </w:p>
    <w:p w14:paraId="242A49F0">
      <w:pPr>
        <w:spacing w:before="0" w:after="0" w:line="312" w:lineRule="auto"/>
        <w:ind w:firstLine="0"/>
        <w:jc w:val="left"/>
      </w:pPr>
      <w:r>
        <w:rPr>
          <w:rFonts w:hint="eastAsia" w:ascii="Times New Roman" w:hAnsi="Times New Roman" w:eastAsia="宋体"/>
          <w:b w:val="0"/>
          <w:sz w:val="21"/>
        </w:rPr>
        <w:t>注：括号内为</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值；</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分别表示在1%、5%、10%的统计层面上显著，标准误为公司层面聚类稳健标准误。</w:t>
      </w:r>
    </w:p>
    <w:p w14:paraId="3E7127AC">
      <w:pPr>
        <w:spacing w:before="0" w:after="0" w:line="312" w:lineRule="auto"/>
        <w:ind w:firstLine="420"/>
        <w:jc w:val="both"/>
      </w:pPr>
      <w:r>
        <w:rPr>
          <w:rFonts w:hint="eastAsia" w:ascii="Times New Roman" w:hAnsi="Times New Roman" w:eastAsia="宋体"/>
          <w:b w:val="0"/>
          <w:sz w:val="21"/>
        </w:rPr>
        <w:t>产权性质分组的核心信息已经比较清楚：国有企业组的补贴强度系数虽为正（0.0046），但未达到常见显著性标准（t</w:t>
      </w:r>
      <w:r>
        <w:rPr>
          <w:rFonts w:ascii="Times New Roman" w:hAnsi="Times New Roman" w:eastAsia="宋体"/>
          <w:b w:val="0"/>
          <w:sz w:val="21"/>
        </w:rPr>
        <w:t xml:space="preserve"> = </w:t>
      </w:r>
      <w:r>
        <w:rPr>
          <w:rFonts w:hint="eastAsia" w:ascii="Times New Roman" w:hAnsi="Times New Roman" w:eastAsia="宋体"/>
          <w:b w:val="0"/>
          <w:sz w:val="21"/>
        </w:rPr>
        <w:t>1.04）；私营企业组的系数为0.0135，并在1%的统计层面上显著为正。这说明在新的基准回归口径下，补贴强度与超额薪酬之间的正向关联主要集中在私营企业，而在国有企业中并未形成稳健证据。</w:t>
      </w:r>
    </w:p>
    <w:p w14:paraId="2DB4BC23">
      <w:pPr>
        <w:spacing w:before="0" w:after="0" w:line="312" w:lineRule="auto"/>
        <w:ind w:firstLine="420"/>
        <w:jc w:val="both"/>
      </w:pPr>
      <w:r>
        <w:rPr>
          <w:rFonts w:hint="eastAsia" w:ascii="Times New Roman" w:hAnsi="Times New Roman" w:eastAsia="宋体"/>
          <w:b w:val="0"/>
          <w:sz w:val="21"/>
        </w:rPr>
        <w:t>这一差异可以从以下几个层面加以理解。制度约束的刚性不同，是首要解释。2015年国务院出台的《中央管理企业负责人薪酬制度改革方案》对国有企业高管薪酬设定了明确上限，并要求薪酬与企业经营业绩和职工收入挂钩。在此类行政限薪路线下，即便国有企业获得了较高额度的财政补贴，高管薪酬的上调空间也受到制度天花板的严格约束，补贴资源难以直接转化为高管的额外报酬。相比之下，私营企业的薪酬安排更多依赖市场通道和董事会内部谈判，行政限薪的外部硬约束相对缺位，补贴带来的资源扩张更容易转化为高管在薪酬谈判中的议价筹码。</w:t>
      </w:r>
    </w:p>
    <w:p w14:paraId="6FC26A39">
      <w:pPr>
        <w:spacing w:before="0" w:after="0" w:line="312" w:lineRule="auto"/>
        <w:ind w:firstLine="420"/>
        <w:jc w:val="both"/>
      </w:pPr>
      <w:r>
        <w:rPr>
          <w:rFonts w:hint="eastAsia" w:ascii="Times New Roman" w:hAnsi="Times New Roman" w:eastAsia="宋体"/>
          <w:b w:val="0"/>
          <w:sz w:val="21"/>
        </w:rPr>
        <w:t>另一处差异来自委托代理链条。国有企业通常面临多层委托代理结构：国资委、党委会、董事会和经理层之间形成多重监督关系。党委会在”三重一大”决策逻辑中对高管薪酬具有实质性审议权，国资委的年度经营考核也会对薪酬总额形成约束。这些多层嵌套的监督约束客观上压缩了管理层利用补贴资源抬高薪酬的空间。私营企业的委托代理链条相对简单，虽然大股东在理论上可以发挥监督功能，但当实际控制人与高管身份重叠或关系密切时，内部制衡的有效性会显著下降。</w:t>
      </w:r>
    </w:p>
    <w:p w14:paraId="6AFAF416">
      <w:pPr>
        <w:spacing w:before="0" w:after="0" w:line="312" w:lineRule="auto"/>
        <w:ind w:firstLine="420"/>
        <w:jc w:val="both"/>
      </w:pPr>
      <w:r>
        <w:rPr>
          <w:rFonts w:hint="eastAsia" w:ascii="Times New Roman" w:hAnsi="Times New Roman" w:eastAsia="宋体"/>
          <w:b w:val="0"/>
          <w:sz w:val="21"/>
        </w:rPr>
        <w:t>从模型拟合角度看，国有企业组的R²（0.0041）远低于私营企业组（0.0365），说明在国有企业内部，当前模型所纳入的市场化治理变量（Roa、Lever、Top1）对超额薪酬变动的解释力明显不足。这也从侧面反映出，国有企业高管薪酬的形成安排更多受行政体制和组织安排驱动，而非单纯由市场化的财务变量所决定。</w:t>
      </w:r>
    </w:p>
    <w:p w14:paraId="38237C73">
      <w:pPr>
        <w:spacing w:before="0" w:after="0" w:line="312" w:lineRule="auto"/>
        <w:ind w:firstLine="420"/>
        <w:jc w:val="both"/>
      </w:pPr>
      <w:r>
        <w:rPr>
          <w:rFonts w:hint="eastAsia" w:ascii="Times New Roman" w:hAnsi="Times New Roman" w:eastAsia="宋体"/>
          <w:b w:val="0"/>
          <w:sz w:val="21"/>
        </w:rPr>
        <w:t>此外，在国有企业内部进一步区分央企与地方国企后，两组补贴强度系数均未达到统计显著标准，说明产权差异主要停留在国有与私营这一层面，不存在央地国企之间的进一步分化。这一回归估计提示，限薪令和多层监督链条对央企和地方国企的约束效力大致相当，产权性质差异的核心分野在于国有与私营之间的制度鸿沟。</w:t>
      </w:r>
    </w:p>
    <w:bookmarkEnd w:id="87"/>
    <w:p w14:paraId="7AA5C012">
      <w:pPr>
        <w:pStyle w:val="28"/>
        <w:spacing w:before="0" w:after="0" w:line="312" w:lineRule="auto"/>
        <w:ind w:firstLine="420"/>
        <w:jc w:val="left"/>
      </w:pPr>
      <w:bookmarkStart w:id="92" w:name="行业管制强度差异"/>
      <w:r>
        <w:rPr>
          <w:rFonts w:ascii="Times New Roman" w:hAnsi="Times New Roman" w:eastAsia="宋体"/>
          <w:b w:val="0"/>
          <w:sz w:val="24"/>
        </w:rPr>
        <w:t xml:space="preserve">4.8.2 </w:t>
      </w:r>
      <w:r>
        <w:rPr>
          <w:rFonts w:hint="eastAsia" w:ascii="Times New Roman" w:hAnsi="Times New Roman" w:eastAsia="宋体"/>
          <w:b w:val="0"/>
          <w:sz w:val="24"/>
        </w:rPr>
        <w:t>行业管制强度差异</w:t>
      </w:r>
    </w:p>
    <w:p w14:paraId="530A7D40">
      <w:pPr>
        <w:spacing w:before="0" w:after="0" w:line="312" w:lineRule="auto"/>
        <w:ind w:firstLine="420"/>
        <w:jc w:val="both"/>
      </w:pPr>
      <w:r>
        <w:rPr>
          <w:rFonts w:hint="eastAsia" w:ascii="Times New Roman" w:hAnsi="Times New Roman" w:eastAsia="宋体"/>
          <w:b w:val="0"/>
          <w:sz w:val="21"/>
        </w:rPr>
        <w:t>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新的基准回归模型，对应估计见表4-13。</w:t>
      </w:r>
    </w:p>
    <w:p w14:paraId="514C25FE">
      <w:pPr>
        <w:spacing w:before="0" w:after="0" w:line="312" w:lineRule="auto"/>
        <w:ind w:firstLine="0"/>
        <w:jc w:val="center"/>
      </w:pPr>
      <w:r>
        <w:rPr>
          <w:rFonts w:hint="eastAsia" w:ascii="Times New Roman" w:hAnsi="Times New Roman" w:eastAsia="宋体"/>
          <w:b/>
          <w:sz w:val="18"/>
        </w:rPr>
        <w:t>表4-13</w:t>
      </w:r>
      <w:r>
        <w:rPr>
          <w:rFonts w:ascii="Times New Roman" w:hAnsi="Times New Roman" w:eastAsia="宋体"/>
          <w:b/>
          <w:sz w:val="18"/>
        </w:rPr>
        <w:t xml:space="preserve"> </w:t>
      </w:r>
      <w:r>
        <w:rPr>
          <w:rFonts w:hint="eastAsia" w:ascii="Times New Roman" w:hAnsi="Times New Roman" w:eastAsia="宋体"/>
          <w:b/>
          <w:sz w:val="18"/>
        </w:rPr>
        <w:t>行业管制强度分组基准回归结果（模型2）</w:t>
      </w:r>
    </w:p>
    <w:p w14:paraId="195140BB">
      <w:pPr>
        <w:spacing w:before="0" w:after="0" w:line="240" w:lineRule="auto"/>
        <w:ind w:firstLine="0"/>
      </w:pPr>
      <w:r>
        <w:rPr>
          <w:rFonts w:ascii="Times New Roman" w:hAnsi="Times New Roman" w:eastAsia="宋体"/>
          <w:sz w:val="21"/>
        </w:rPr>
        <w:drawing>
          <wp:inline distT="0" distB="0" distL="114300" distR="114300">
            <wp:extent cx="5579745" cy="2039620"/>
            <wp:effectExtent l="0" t="0" r="0" b="0"/>
            <wp:docPr id="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a:picLocks noChangeAspect="1" noChangeArrowheads="1"/>
                    </pic:cNvPicPr>
                  </pic:nvPicPr>
                  <pic:blipFill>
                    <a:blip r:embed="rId29"/>
                    <a:stretch>
                      <a:fillRect/>
                    </a:stretch>
                  </pic:blipFill>
                  <pic:spPr>
                    <a:xfrm>
                      <a:off x="0" y="0"/>
                      <a:ext cx="5579999" cy="2039799"/>
                    </a:xfrm>
                    <a:prstGeom prst="rect">
                      <a:avLst/>
                    </a:prstGeom>
                    <a:noFill/>
                    <a:ln w="9525">
                      <a:noFill/>
                    </a:ln>
                  </pic:spPr>
                </pic:pic>
              </a:graphicData>
            </a:graphic>
          </wp:inline>
        </w:drawing>
      </w:r>
    </w:p>
    <w:p w14:paraId="2C2CE799">
      <w:pPr>
        <w:spacing w:before="0" w:after="0" w:line="312" w:lineRule="auto"/>
        <w:ind w:firstLine="0"/>
        <w:jc w:val="left"/>
      </w:pPr>
      <w:r>
        <w:rPr>
          <w:rFonts w:hint="eastAsia" w:ascii="Times New Roman" w:hAnsi="Times New Roman" w:eastAsia="宋体"/>
          <w:b w:val="0"/>
          <w:sz w:val="21"/>
        </w:rPr>
        <w:t>注：括号内为</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值；</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分别表示在1%、5%、10%的统计层面上显著，标准误为公司层面聚类稳健标准误。</w:t>
      </w:r>
    </w:p>
    <w:p w14:paraId="54EF9F5A">
      <w:pPr>
        <w:spacing w:before="0" w:after="0" w:line="312" w:lineRule="auto"/>
        <w:ind w:firstLine="420"/>
        <w:jc w:val="both"/>
      </w:pPr>
      <w:r>
        <w:rPr>
          <w:rFonts w:hint="eastAsia" w:ascii="Times New Roman" w:hAnsi="Times New Roman" w:eastAsia="宋体"/>
          <w:b w:val="0"/>
          <w:sz w:val="21"/>
        </w:rPr>
        <w:t>行业管制分组下，非管制行业组的补贴强度系数为0.0110，并在1%的统计层面上显著为正；管制行业组系数为−0.0020，为负但远未达到显著性标准（t</w:t>
      </w:r>
      <w:r>
        <w:rPr>
          <w:rFonts w:ascii="Times New Roman" w:hAnsi="Times New Roman" w:eastAsia="宋体"/>
          <w:b w:val="0"/>
          <w:sz w:val="21"/>
        </w:rPr>
        <w:t xml:space="preserve"> = </w:t>
      </w:r>
      <w:r>
        <w:rPr>
          <w:rFonts w:hint="eastAsia" w:ascii="Times New Roman" w:hAnsi="Times New Roman" w:eastAsia="宋体"/>
          <w:b w:val="0"/>
          <w:sz w:val="21"/>
        </w:rPr>
        <w:t>−0.36）。这说明补贴强度与超额薪酬的正向关联主要出现在非管制行业，在管制行业中这一传导路径基本不成立。</w:t>
      </w:r>
    </w:p>
    <w:p w14:paraId="22452E36">
      <w:pPr>
        <w:spacing w:before="0" w:after="0" w:line="312" w:lineRule="auto"/>
        <w:ind w:firstLine="420"/>
        <w:jc w:val="both"/>
      </w:pPr>
      <w:r>
        <w:rPr>
          <w:rFonts w:hint="eastAsia" w:ascii="Times New Roman" w:hAnsi="Times New Roman" w:eastAsia="宋体"/>
          <w:b w:val="0"/>
          <w:sz w:val="21"/>
        </w:rPr>
        <w:t>两组统计信息的差异可以从以下几个维度深入理解。管制行业面对更严格的补贴用途约束。采掘业、电力热力燃气及水的生产和供应业、交通运输等行业通常带有公共事业属性，其获得的财政补贴往往附带明确的专项用途要求（如基础设施建设、价格稳定补贴等），补贴资金的挪用空间较小。相比之下，非管制行业的补贴更多以研发补助、产业扶持等形式发放，资金使用的自由裁量权更大，管理层在补贴分配中的话语权也更强，补贴资源更容易在内部转化为薪酬议价的筹码。</w:t>
      </w:r>
    </w:p>
    <w:p w14:paraId="55DD07F3">
      <w:pPr>
        <w:spacing w:before="0" w:after="0" w:line="312" w:lineRule="auto"/>
        <w:ind w:firstLine="420"/>
        <w:jc w:val="both"/>
      </w:pPr>
      <w:r>
        <w:rPr>
          <w:rFonts w:hint="eastAsia" w:ascii="Times New Roman" w:hAnsi="Times New Roman" w:eastAsia="宋体"/>
          <w:b w:val="0"/>
          <w:sz w:val="21"/>
        </w:rPr>
        <w:t>外部监管频率和深度也不同。价格管制通道、行业准入审批、定期的监管核查和信息披露要求，使得管制行业企业的经营和财务状况长期处于较高的外部关注之下。这种持续性的监管压力对高管薪酬安排形成了有效的外部制衡，削弱了补贴资源向超额薪酬传导的可能性。而非管制行业的企业在薪酬制定上享有更大的市场化空间，外部监管的介入相对有限，补贴与薪酬之间的联动因而更容易形成。</w:t>
      </w:r>
    </w:p>
    <w:p w14:paraId="08516D1D">
      <w:pPr>
        <w:spacing w:before="0" w:after="0" w:line="312" w:lineRule="auto"/>
        <w:ind w:firstLine="420"/>
        <w:jc w:val="both"/>
      </w:pPr>
      <w:r>
        <w:rPr>
          <w:rFonts w:hint="eastAsia" w:ascii="Times New Roman" w:hAnsi="Times New Roman" w:eastAsia="宋体"/>
          <w:b w:val="0"/>
          <w:sz w:val="21"/>
        </w:rPr>
        <w:t>管制行业组的Top1系数（−0.0052，1%显著）明显大于非管制行业组（−0.0019，5%显著），说明在管制行业中大股东监督对超额薪酬的抑制效应更强。管制行业中国有资本占比通常较高，大股东（往往是国资机构）对薪酬安排的约束力度更大。这也解释了为什么管制行业的R²（0.0644）反而高于非管制行业（0.0184）：在管制行业中，财务杠杆和股权监督等控制变量对超额薪酬的解释力更强，说明这些行业的薪酬安排受制度约束和外部监督牵动更为明显，模型的解释力相应提升。</w:t>
      </w:r>
    </w:p>
    <w:p w14:paraId="1DA43D0F">
      <w:pPr>
        <w:spacing w:before="0" w:after="0" w:line="312" w:lineRule="auto"/>
        <w:ind w:firstLine="420"/>
        <w:jc w:val="both"/>
      </w:pPr>
      <w:r>
        <w:rPr>
          <w:rFonts w:hint="eastAsia" w:ascii="Times New Roman" w:hAnsi="Times New Roman" w:eastAsia="宋体"/>
          <w:b w:val="0"/>
          <w:sz w:val="21"/>
        </w:rPr>
        <w:t>综合产权性质和行业管制两个维度的异质性估计，可以得到一个较为清晰的格局：补贴强度与超额薪酬的正向关联，主要出现在制度约束较弱、市场化程度较高的企业群体中（私营企业、非管制行业），而在制度约束较强的企业（国有企业、管制行业）中并不显著。这一格局与第二章理论考察中“治理约束强度调节补贴—薪酬传导”的推断高度一致，也为差异化监管政策的制定提供了经验参考。</w:t>
      </w:r>
    </w:p>
    <w:bookmarkEnd w:id="88"/>
    <w:bookmarkEnd w:id="90"/>
    <w:bookmarkEnd w:id="91"/>
    <w:p w14:paraId="2DEF563A">
      <w:pPr>
        <w:pStyle w:val="2"/>
        <w:pageBreakBefore/>
        <w:spacing w:before="0" w:after="0" w:line="312" w:lineRule="auto"/>
        <w:ind w:firstLine="0"/>
        <w:jc w:val="center"/>
      </w:pPr>
      <w:bookmarkStart w:id="93" w:name="_TocAuto0025"/>
      <w:bookmarkStart w:id="94" w:name="第五章-结论"/>
      <w:r>
        <w:rPr>
          <w:rFonts w:hint="eastAsia" w:ascii="Times New Roman" w:hAnsi="Times New Roman" w:eastAsia="黑体"/>
          <w:b/>
          <w:sz w:val="32"/>
        </w:rPr>
        <w:t>第五章</w:t>
      </w:r>
      <w:r>
        <w:rPr>
          <w:rFonts w:ascii="Times New Roman" w:hAnsi="Times New Roman" w:eastAsia="黑体"/>
          <w:b/>
          <w:sz w:val="32"/>
        </w:rPr>
        <w:t xml:space="preserve"> </w:t>
      </w:r>
      <w:r>
        <w:rPr>
          <w:rFonts w:hint="eastAsia" w:ascii="Times New Roman" w:hAnsi="Times New Roman" w:eastAsia="黑体"/>
          <w:b/>
          <w:sz w:val="32"/>
        </w:rPr>
        <w:t>结论</w:t>
      </w:r>
      <w:bookmarkEnd w:id="93"/>
    </w:p>
    <w:p w14:paraId="491201D5">
      <w:pPr>
        <w:pStyle w:val="3"/>
        <w:spacing w:before="0" w:after="0" w:line="312" w:lineRule="auto"/>
        <w:ind w:firstLine="0"/>
        <w:jc w:val="left"/>
      </w:pPr>
      <w:bookmarkStart w:id="95" w:name="_TocAuto0026"/>
      <w:bookmarkStart w:id="96" w:name="研究结论"/>
      <w:r>
        <w:rPr>
          <w:rFonts w:ascii="Times New Roman" w:hAnsi="Times New Roman" w:eastAsia="黑体"/>
          <w:b w:val="0"/>
          <w:sz w:val="28"/>
        </w:rPr>
        <w:t xml:space="preserve">5.1 </w:t>
      </w:r>
      <w:r>
        <w:rPr>
          <w:rFonts w:hint="eastAsia" w:ascii="Times New Roman" w:hAnsi="Times New Roman" w:eastAsia="黑体"/>
          <w:b w:val="0"/>
          <w:sz w:val="28"/>
        </w:rPr>
        <w:t>研究结论</w:t>
      </w:r>
      <w:bookmarkEnd w:id="95"/>
    </w:p>
    <w:p w14:paraId="28B321A9">
      <w:pPr>
        <w:spacing w:before="0" w:after="0" w:line="312" w:lineRule="auto"/>
        <w:ind w:firstLine="420"/>
        <w:jc w:val="both"/>
      </w:pPr>
      <w:r>
        <w:rPr>
          <w:rFonts w:hint="eastAsia" w:ascii="Times New Roman" w:hAnsi="Times New Roman" w:eastAsia="宋体"/>
          <w:b w:val="0"/>
          <w:sz w:val="21"/>
        </w:rPr>
        <w:t>本文以2003—2024年沪深A股上市公司（剔除金融行业及特殊处理样本）为样本，在管理者权力理论和代理理论安排下，考察财政补贴、高管超额薪酬与管理层权力之间的关系。与旧的全样本平均效应思路不同，本文将核心疑问收束为“已获得财政补贴的上市公司内部，补贴强度是否伴随更高的高管超额薪酬”。全文大体形成五点认识。整体上，财政补贴与高管超额薪酬之间存在较一致的条件相关。</w:t>
      </w:r>
    </w:p>
    <w:p w14:paraId="7D1344D1">
      <w:pPr>
        <w:spacing w:before="0" w:after="0" w:line="312" w:lineRule="auto"/>
        <w:ind w:firstLine="420"/>
        <w:jc w:val="both"/>
      </w:pPr>
      <w:r>
        <w:rPr>
          <w:rFonts w:hint="eastAsia" w:ascii="Times New Roman" w:hAnsi="Times New Roman" w:eastAsia="宋体"/>
          <w:b w:val="0"/>
          <w:sz w:val="21"/>
        </w:rPr>
        <w:t>（1）</w:t>
      </w:r>
      <w:r>
        <w:rPr>
          <w:rFonts w:hint="eastAsia" w:ascii="Times New Roman" w:hAnsi="Times New Roman" w:eastAsia="宋体"/>
          <w:b w:val="0"/>
          <w:bCs/>
          <w:sz w:val="21"/>
        </w:rPr>
        <w:t>在“上一年已获得补贴”的公司年度中，滞后一期补贴强度与高管超额薪酬之间存在显著正向关联。</w:t>
      </w:r>
      <w:r>
        <w:rPr>
          <w:rFonts w:ascii="Times New Roman" w:hAnsi="Times New Roman" w:eastAsia="宋体"/>
          <w:b w:val="0"/>
          <w:sz w:val="21"/>
        </w:rPr>
        <w:t xml:space="preserve"> </w:t>
      </w:r>
      <w:r>
        <w:rPr>
          <w:rFonts w:hint="eastAsia" w:ascii="Times New Roman" w:hAnsi="Times New Roman" w:eastAsia="宋体"/>
          <w:b w:val="0"/>
          <w:sz w:val="21"/>
        </w:rPr>
        <w:t>基准回归中，lnSubsidy_pos_l1</w:t>
      </w:r>
      <w:r>
        <w:rPr>
          <w:rFonts w:ascii="Times New Roman" w:hAnsi="Times New Roman" w:eastAsia="宋体"/>
          <w:b w:val="0"/>
          <w:sz w:val="21"/>
        </w:rPr>
        <w:t xml:space="preserve"> </w:t>
      </w:r>
      <w:r>
        <w:rPr>
          <w:rFonts w:hint="eastAsia" w:ascii="Times New Roman" w:hAnsi="Times New Roman" w:eastAsia="宋体"/>
          <w:b w:val="0"/>
          <w:sz w:val="21"/>
        </w:rPr>
        <w:t>的系数为0.0094（p</w:t>
      </w:r>
      <w:r>
        <w:rPr>
          <w:rFonts w:ascii="Times New Roman" w:hAnsi="Times New Roman" w:eastAsia="宋体"/>
          <w:b w:val="0"/>
          <w:sz w:val="21"/>
        </w:rPr>
        <w:t xml:space="preserve"> = </w:t>
      </w:r>
      <w:r>
        <w:rPr>
          <w:rFonts w:hint="eastAsia" w:ascii="Times New Roman" w:hAnsi="Times New Roman" w:eastAsia="宋体"/>
          <w:b w:val="0"/>
          <w:sz w:val="21"/>
        </w:rPr>
        <w:t>0.005）。也就是说，在已获补贴企业内部，补贴拿得更多，后续超额薪酬也更高。与旧的全样本</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口径相比，这一基准回归把“是否获得补贴”和“获得补贴后的强弱差异”拆开处理，更贴近本文真正要回答的命题。从经济幅度看，该系数对应约0.016个标准差的残差变化，统计上稳健，经济规模有限。这与财政补贴作为条件性政策冲击的性质是一致的：补贴并非企业的主要收入来源，其对高管薪酬的边际效应通常小于企业盈利和规模等核心驱动力。</w:t>
      </w:r>
    </w:p>
    <w:p w14:paraId="143782E0">
      <w:pPr>
        <w:spacing w:before="0" w:after="0" w:line="312" w:lineRule="auto"/>
        <w:ind w:firstLine="420"/>
        <w:jc w:val="both"/>
      </w:pPr>
      <w:r>
        <w:rPr>
          <w:rFonts w:hint="eastAsia" w:ascii="Times New Roman" w:hAnsi="Times New Roman" w:eastAsia="宋体"/>
          <w:b w:val="0"/>
          <w:sz w:val="21"/>
        </w:rPr>
        <w:t>（2）</w:t>
      </w:r>
      <w:r>
        <w:rPr>
          <w:rFonts w:hint="eastAsia" w:ascii="Times New Roman" w:hAnsi="Times New Roman" w:eastAsia="宋体"/>
          <w:b w:val="0"/>
          <w:bCs/>
          <w:sz w:val="21"/>
        </w:rPr>
        <w:t>基准回归在多种稳健性设定下保持正向显著，异质性格局也较为清晰。</w:t>
      </w:r>
      <w:r>
        <w:rPr>
          <w:rFonts w:ascii="Times New Roman" w:hAnsi="Times New Roman" w:eastAsia="宋体"/>
          <w:b w:val="0"/>
          <w:sz w:val="21"/>
        </w:rPr>
        <w:t xml:space="preserve"> </w:t>
      </w:r>
      <w:r>
        <w:rPr>
          <w:rFonts w:hint="eastAsia" w:ascii="Times New Roman" w:hAnsi="Times New Roman" w:eastAsia="宋体"/>
          <w:b w:val="0"/>
          <w:sz w:val="21"/>
        </w:rPr>
        <w:t>将因变量替换为高管前三名薪酬对数后，补贴强度系数为0.0331（p</w:t>
      </w:r>
      <w:r>
        <w:rPr>
          <w:rFonts w:ascii="Times New Roman" w:hAnsi="Times New Roman" w:eastAsia="宋体"/>
          <w:b w:val="0"/>
          <w:sz w:val="21"/>
        </w:rPr>
        <w:t xml:space="preserve"> &lt; </w:t>
      </w:r>
      <w:r>
        <w:rPr>
          <w:rFonts w:hint="eastAsia" w:ascii="Times New Roman" w:hAnsi="Times New Roman" w:eastAsia="宋体"/>
          <w:b w:val="0"/>
          <w:sz w:val="21"/>
        </w:rPr>
        <w:t>0.001）；样本期缩短至2010—2020年后，系数为0.0120（p</w:t>
      </w:r>
      <w:r>
        <w:rPr>
          <w:rFonts w:ascii="Times New Roman" w:hAnsi="Times New Roman" w:eastAsia="宋体"/>
          <w:b w:val="0"/>
          <w:sz w:val="21"/>
        </w:rPr>
        <w:t xml:space="preserve"> = </w:t>
      </w:r>
      <w:r>
        <w:rPr>
          <w:rFonts w:hint="eastAsia" w:ascii="Times New Roman" w:hAnsi="Times New Roman" w:eastAsia="宋体"/>
          <w:b w:val="0"/>
          <w:sz w:val="21"/>
        </w:rPr>
        <w:t>0.003）；仅保留制造业样本后，系数为0.0099（p</w:t>
      </w:r>
      <w:r>
        <w:rPr>
          <w:rFonts w:ascii="Times New Roman" w:hAnsi="Times New Roman" w:eastAsia="宋体"/>
          <w:b w:val="0"/>
          <w:sz w:val="21"/>
        </w:rPr>
        <w:t xml:space="preserve"> = </w:t>
      </w:r>
      <w:r>
        <w:rPr>
          <w:rFonts w:hint="eastAsia" w:ascii="Times New Roman" w:hAnsi="Times New Roman" w:eastAsia="宋体"/>
          <w:b w:val="0"/>
          <w:sz w:val="21"/>
        </w:rPr>
        <w:t>0.023）；引入行业×年份固定效应后，系数仍为0.0082（p</w:t>
      </w:r>
      <w:r>
        <w:rPr>
          <w:rFonts w:ascii="Times New Roman" w:hAnsi="Times New Roman" w:eastAsia="宋体"/>
          <w:b w:val="0"/>
          <w:sz w:val="21"/>
        </w:rPr>
        <w:t xml:space="preserve"> = </w:t>
      </w:r>
      <w:r>
        <w:rPr>
          <w:rFonts w:hint="eastAsia" w:ascii="Times New Roman" w:hAnsi="Times New Roman" w:eastAsia="宋体"/>
          <w:b w:val="0"/>
          <w:sz w:val="21"/>
        </w:rPr>
        <w:t>0.013）。产权与行业分组说明，正向关联主要集中在私营企业（0.0135，p</w:t>
      </w:r>
      <w:r>
        <w:rPr>
          <w:rFonts w:ascii="Times New Roman" w:hAnsi="Times New Roman" w:eastAsia="宋体"/>
          <w:b w:val="0"/>
          <w:sz w:val="21"/>
        </w:rPr>
        <w:t xml:space="preserve"> = </w:t>
      </w:r>
      <w:r>
        <w:rPr>
          <w:rFonts w:hint="eastAsia" w:ascii="Times New Roman" w:hAnsi="Times New Roman" w:eastAsia="宋体"/>
          <w:b w:val="0"/>
          <w:sz w:val="21"/>
        </w:rPr>
        <w:t>0.004）和非管制行业（0.0110，p</w:t>
      </w:r>
      <w:r>
        <w:rPr>
          <w:rFonts w:ascii="Times New Roman" w:hAnsi="Times New Roman" w:eastAsia="宋体"/>
          <w:b w:val="0"/>
          <w:sz w:val="21"/>
        </w:rPr>
        <w:t xml:space="preserve"> = </w:t>
      </w:r>
      <w:r>
        <w:rPr>
          <w:rFonts w:hint="eastAsia" w:ascii="Times New Roman" w:hAnsi="Times New Roman" w:eastAsia="宋体"/>
          <w:b w:val="0"/>
          <w:sz w:val="21"/>
        </w:rPr>
        <w:t>0.004），国有企业、管制行业以及央地国企内部都未形成稳健显著估计。这一格局与制度背景大体一致：国有企业受行政限薪和组织考核约束更强，管制行业也面临更多外部约束；私营企业和非管制行业的薪酬形成更依赖市场逻辑和内部谈判，补贴带来的资源扩张更容易转化为高管议价空间。</w:t>
      </w:r>
    </w:p>
    <w:p w14:paraId="37022B64">
      <w:pPr>
        <w:spacing w:before="0" w:after="0" w:line="312" w:lineRule="auto"/>
        <w:ind w:firstLine="420"/>
        <w:jc w:val="both"/>
      </w:pPr>
      <w:r>
        <w:rPr>
          <w:rFonts w:hint="eastAsia" w:ascii="Times New Roman" w:hAnsi="Times New Roman" w:eastAsia="宋体"/>
          <w:b w:val="0"/>
          <w:sz w:val="21"/>
        </w:rPr>
        <w:t>（3）</w:t>
      </w:r>
      <w:r>
        <w:rPr>
          <w:rFonts w:hint="eastAsia" w:ascii="Times New Roman" w:hAnsi="Times New Roman" w:eastAsia="宋体"/>
          <w:b w:val="0"/>
          <w:bCs/>
          <w:sz w:val="21"/>
        </w:rPr>
        <w:t>选择偏差校正和事件动态检验均未改变基准回归方向，因果解释仍需保持谨慎。</w:t>
      </w:r>
      <w:r>
        <w:rPr>
          <w:rFonts w:ascii="Times New Roman" w:hAnsi="Times New Roman" w:eastAsia="宋体"/>
          <w:b w:val="0"/>
          <w:sz w:val="21"/>
        </w:rPr>
        <w:t xml:space="preserve"> </w:t>
      </w:r>
      <w:r>
        <w:rPr>
          <w:rFonts w:hint="eastAsia" w:ascii="Times New Roman" w:hAnsi="Times New Roman" w:eastAsia="宋体"/>
          <w:b w:val="0"/>
          <w:sz w:val="21"/>
        </w:rPr>
        <w:t>基准回归口径下，Heckman</w:t>
      </w:r>
      <w:r>
        <w:rPr>
          <w:rFonts w:ascii="Times New Roman" w:hAnsi="Times New Roman" w:eastAsia="宋体"/>
          <w:b w:val="0"/>
          <w:sz w:val="21"/>
        </w:rPr>
        <w:t xml:space="preserve"> </w:t>
      </w:r>
      <w:r>
        <w:rPr>
          <w:rFonts w:hint="eastAsia" w:ascii="Times New Roman" w:hAnsi="Times New Roman" w:eastAsia="宋体"/>
          <w:b w:val="0"/>
          <w:sz w:val="21"/>
        </w:rPr>
        <w:t>两步法中的逆米尔斯比率显著（p</w:t>
      </w:r>
      <w:r>
        <w:rPr>
          <w:rFonts w:ascii="Times New Roman" w:hAnsi="Times New Roman" w:eastAsia="宋体"/>
          <w:b w:val="0"/>
          <w:sz w:val="21"/>
        </w:rPr>
        <w:t xml:space="preserve"> = </w:t>
      </w:r>
      <w:r>
        <w:rPr>
          <w:rFonts w:hint="eastAsia" w:ascii="Times New Roman" w:hAnsi="Times New Roman" w:eastAsia="宋体"/>
          <w:b w:val="0"/>
          <w:sz w:val="21"/>
        </w:rPr>
        <w:t>0.0056），校正后的补贴系数仍为0.0093（p</w:t>
      </w:r>
      <w:r>
        <w:rPr>
          <w:rFonts w:ascii="Times New Roman" w:hAnsi="Times New Roman" w:eastAsia="宋体"/>
          <w:b w:val="0"/>
          <w:sz w:val="21"/>
        </w:rPr>
        <w:t xml:space="preserve"> = </w:t>
      </w:r>
      <w:r>
        <w:rPr>
          <w:rFonts w:hint="eastAsia" w:ascii="Times New Roman" w:hAnsi="Times New Roman" w:eastAsia="宋体"/>
          <w:b w:val="0"/>
          <w:sz w:val="21"/>
        </w:rPr>
        <w:t>0.008），说明主估计不宜简单归因于样本选择。进一步看，事件研究中的前趋势联合检验</w:t>
      </w:r>
      <w:r>
        <w:rPr>
          <w:rFonts w:ascii="Times New Roman" w:hAnsi="Times New Roman" w:eastAsia="宋体"/>
          <w:b w:val="0"/>
          <w:sz w:val="21"/>
        </w:rPr>
        <w:t xml:space="preserve"> p </w:t>
      </w:r>
      <w:r>
        <w:rPr>
          <w:rFonts w:hint="eastAsia" w:ascii="Times New Roman" w:hAnsi="Times New Roman" w:eastAsia="宋体"/>
          <w:b w:val="0"/>
          <w:sz w:val="21"/>
        </w:rPr>
        <w:t>值为0.669，事件当期及随后1至3期的系数分别为0.0235（p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0.034）、0.0268（p</w:t>
      </w:r>
      <w:r>
        <w:rPr>
          <w:rFonts w:ascii="Times New Roman" w:hAnsi="Times New Roman" w:eastAsia="宋体"/>
          <w:b w:val="0"/>
          <w:sz w:val="21"/>
        </w:rPr>
        <w:t xml:space="preserve"> = </w:t>
      </w:r>
      <w:r>
        <w:rPr>
          <w:rFonts w:hint="eastAsia" w:ascii="Times New Roman" w:hAnsi="Times New Roman" w:eastAsia="宋体"/>
          <w:b w:val="0"/>
          <w:sz w:val="21"/>
        </w:rPr>
        <w:t>0.018）、0.0256（p</w:t>
      </w:r>
      <w:r>
        <w:rPr>
          <w:rFonts w:ascii="Times New Roman" w:hAnsi="Times New Roman" w:eastAsia="宋体"/>
          <w:b w:val="0"/>
          <w:sz w:val="21"/>
        </w:rPr>
        <w:t xml:space="preserve"> = </w:t>
      </w:r>
      <w:r>
        <w:rPr>
          <w:rFonts w:hint="eastAsia" w:ascii="Times New Roman" w:hAnsi="Times New Roman" w:eastAsia="宋体"/>
          <w:b w:val="0"/>
          <w:sz w:val="21"/>
        </w:rPr>
        <w:t>0.031）和0.0305（p</w:t>
      </w:r>
      <w:r>
        <w:rPr>
          <w:rFonts w:ascii="Times New Roman" w:hAnsi="Times New Roman" w:eastAsia="宋体"/>
          <w:b w:val="0"/>
          <w:sz w:val="21"/>
        </w:rPr>
        <w:t xml:space="preserve"> = </w:t>
      </w:r>
      <w:r>
        <w:rPr>
          <w:rFonts w:hint="eastAsia" w:ascii="Times New Roman" w:hAnsi="Times New Roman" w:eastAsia="宋体"/>
          <w:b w:val="0"/>
          <w:sz w:val="21"/>
        </w:rPr>
        <w:t>0.007），指向高补贴事件发生前未观察到显著预趋势，事件之后超额薪酬则出现持续上行。表4-5的正向结论在识别边界收紧后仍然存在，正文仍把它解释为较稳健的条件相关，而非无条件强因果效应。</w:t>
      </w:r>
    </w:p>
    <w:p w14:paraId="647FCDA1">
      <w:pPr>
        <w:spacing w:before="0" w:after="0" w:line="312" w:lineRule="auto"/>
        <w:ind w:firstLine="420"/>
        <w:jc w:val="both"/>
      </w:pPr>
      <w:r>
        <w:rPr>
          <w:rFonts w:hint="eastAsia" w:ascii="Times New Roman" w:hAnsi="Times New Roman" w:eastAsia="宋体"/>
          <w:b w:val="0"/>
          <w:sz w:val="21"/>
        </w:rPr>
        <w:t>（4）</w:t>
      </w:r>
      <w:r>
        <w:rPr>
          <w:rFonts w:ascii="Times New Roman" w:hAnsi="Times New Roman" w:eastAsia="宋体"/>
          <w:b w:val="0"/>
          <w:bCs/>
          <w:sz w:val="21"/>
        </w:rPr>
        <w:t xml:space="preserve">PCA </w:t>
      </w:r>
      <w:r>
        <w:rPr>
          <w:rFonts w:hint="eastAsia" w:ascii="Times New Roman" w:hAnsi="Times New Roman" w:eastAsia="宋体"/>
          <w:b w:val="0"/>
          <w:bCs/>
          <w:sz w:val="21"/>
        </w:rPr>
        <w:t>口径下，管理层权力在补贴强度与超额薪酬之间发挥了部分中介角色，H2</w:t>
      </w:r>
      <w:r>
        <w:rPr>
          <w:rFonts w:ascii="Times New Roman" w:hAnsi="Times New Roman" w:eastAsia="宋体"/>
          <w:b w:val="0"/>
          <w:bCs/>
          <w:sz w:val="21"/>
        </w:rPr>
        <w:t xml:space="preserve"> </w:t>
      </w:r>
      <w:r>
        <w:rPr>
          <w:rFonts w:hint="eastAsia" w:ascii="Times New Roman" w:hAnsi="Times New Roman" w:eastAsia="宋体"/>
          <w:b w:val="0"/>
          <w:bCs/>
          <w:sz w:val="21"/>
        </w:rPr>
        <w:t>获得支持，经济幅度较小。</w:t>
      </w:r>
      <w:r>
        <w:rPr>
          <w:rFonts w:ascii="Times New Roman" w:hAnsi="Times New Roman" w:eastAsia="宋体"/>
          <w:b w:val="0"/>
          <w:sz w:val="21"/>
        </w:rPr>
        <w:t xml:space="preserve"> </w:t>
      </w:r>
      <w:r>
        <w:rPr>
          <w:rFonts w:hint="eastAsia" w:ascii="Times New Roman" w:hAnsi="Times New Roman" w:eastAsia="宋体"/>
          <w:b w:val="0"/>
          <w:sz w:val="21"/>
        </w:rPr>
        <w:t>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（补贴强度</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管理层权力）为正且显著（0.0146，p</w:t>
      </w:r>
      <w:r>
        <w:rPr>
          <w:rFonts w:ascii="Times New Roman" w:hAnsi="Times New Roman" w:eastAsia="宋体"/>
          <w:b w:val="0"/>
          <w:sz w:val="21"/>
        </w:rPr>
        <w:t xml:space="preserve"> = </w:t>
      </w:r>
      <w:r>
        <w:rPr>
          <w:rFonts w:hint="eastAsia" w:ascii="Times New Roman" w:hAnsi="Times New Roman" w:eastAsia="宋体"/>
          <w:b w:val="0"/>
          <w:sz w:val="21"/>
        </w:rPr>
        <w:t>0.005），路径</w:t>
      </w:r>
      <w:r>
        <w:rPr>
          <w:rFonts w:ascii="Times New Roman" w:hAnsi="Times New Roman" w:eastAsia="宋体"/>
          <w:b w:val="0"/>
          <w:sz w:val="21"/>
        </w:rPr>
        <w:t xml:space="preserve"> </w:t>
      </w:r>
      <m:oMath>
        <m:r>
          <m:rPr/>
          <m:t>b</m:t>
        </m:r>
      </m:oMath>
      <w:r>
        <w:rPr>
          <w:rFonts w:hint="eastAsia" w:ascii="Times New Roman" w:hAnsi="Times New Roman" w:eastAsia="宋体"/>
          <w:b w:val="0"/>
          <w:sz w:val="21"/>
        </w:rPr>
        <w:t>（管理层权力</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超额薪酬）同样显著为正（0.0173，p</w:t>
      </w:r>
      <w:r>
        <w:rPr>
          <w:rFonts w:ascii="Times New Roman" w:hAnsi="Times New Roman" w:eastAsia="宋体"/>
          <w:b w:val="0"/>
          <w:sz w:val="21"/>
        </w:rPr>
        <w:t xml:space="preserve"> = </w:t>
      </w:r>
      <w:r>
        <w:rPr>
          <w:rFonts w:hint="eastAsia" w:ascii="Times New Roman" w:hAnsi="Times New Roman" w:eastAsia="宋体"/>
          <w:b w:val="0"/>
          <w:sz w:val="21"/>
        </w:rPr>
        <w:t>0.011），直接效应</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仍在1%层面显著（0.0089，p</w:t>
      </w:r>
      <w:r>
        <w:rPr>
          <w:rFonts w:ascii="Times New Roman" w:hAnsi="Times New Roman" w:eastAsia="宋体"/>
          <w:b w:val="0"/>
          <w:sz w:val="21"/>
        </w:rPr>
        <w:t xml:space="preserve"> = </w:t>
      </w:r>
      <w:r>
        <w:rPr>
          <w:rFonts w:hint="eastAsia" w:ascii="Times New Roman" w:hAnsi="Times New Roman" w:eastAsia="宋体"/>
          <w:b w:val="0"/>
          <w:sz w:val="21"/>
        </w:rPr>
        <w:t>0.009）。Bootstrap</w:t>
      </w:r>
      <w:r>
        <w:rPr>
          <w:rFonts w:ascii="Times New Roman" w:hAnsi="Times New Roman" w:eastAsia="宋体"/>
          <w:b w:val="0"/>
          <w:sz w:val="21"/>
        </w:rPr>
        <w:t xml:space="preserve"> </w:t>
      </w:r>
      <w:r>
        <w:rPr>
          <w:rFonts w:hint="eastAsia" w:ascii="Times New Roman" w:hAnsi="Times New Roman" w:eastAsia="宋体"/>
          <w:b w:val="0"/>
          <w:sz w:val="21"/>
        </w:rPr>
        <w:t>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0.000609]，不包含零（p</w:t>
      </w:r>
      <w:r>
        <w:rPr>
          <w:rFonts w:ascii="Times New Roman" w:hAnsi="Times New Roman" w:eastAsia="宋体"/>
          <w:b w:val="0"/>
          <w:sz w:val="21"/>
        </w:rPr>
        <w:t xml:space="preserve"> = </w:t>
      </w:r>
      <w:r>
        <w:rPr>
          <w:rFonts w:hint="eastAsia" w:ascii="Times New Roman" w:hAnsi="Times New Roman" w:eastAsia="宋体"/>
          <w:b w:val="0"/>
          <w:sz w:val="21"/>
        </w:rPr>
        <w:t>0.007），说明经由管理层权力的间接传导路径在统计上成立。间接效应仅占总效应的约3%，因此相关证据更适合理解为“传导力度有限，但权力渠道存在”。</w:t>
      </w:r>
    </w:p>
    <w:p w14:paraId="68E19A06">
      <w:pPr>
        <w:spacing w:before="0" w:after="0" w:line="312" w:lineRule="auto"/>
        <w:ind w:firstLine="420"/>
        <w:jc w:val="both"/>
      </w:pPr>
      <w:r>
        <w:rPr>
          <w:rFonts w:hint="eastAsia" w:ascii="Times New Roman" w:hAnsi="Times New Roman" w:eastAsia="宋体"/>
          <w:b w:val="0"/>
          <w:sz w:val="21"/>
        </w:rPr>
        <w:t>（5）</w:t>
      </w:r>
      <w:r>
        <w:rPr>
          <w:rFonts w:hint="eastAsia" w:ascii="Times New Roman" w:hAnsi="Times New Roman" w:eastAsia="宋体"/>
          <w:b w:val="0"/>
          <w:bCs/>
          <w:sz w:val="21"/>
        </w:rPr>
        <w:t>机器学习补充验证在与基准回归一致的43,417条样本上，为基准回归提供了辅助线索。</w:t>
      </w:r>
      <w:r>
        <w:rPr>
          <w:rFonts w:ascii="Times New Roman" w:hAnsi="Times New Roman" w:eastAsia="宋体"/>
          <w:b w:val="0"/>
          <w:sz w:val="21"/>
        </w:rPr>
        <w:t xml:space="preserve"> </w:t>
      </w:r>
      <w:r>
        <w:rPr>
          <w:rFonts w:hint="eastAsia" w:ascii="Times New Roman" w:hAnsi="Times New Roman" w:eastAsia="宋体"/>
          <w:b w:val="0"/>
          <w:sz w:val="21"/>
        </w:rPr>
        <w:t>随机森林中，lnSubsidy_pos_l1</w:t>
      </w:r>
      <w:r>
        <w:rPr>
          <w:rFonts w:ascii="Times New Roman" w:hAnsi="Times New Roman" w:eastAsia="宋体"/>
          <w:b w:val="0"/>
          <w:sz w:val="21"/>
        </w:rPr>
        <w:t xml:space="preserve"> </w:t>
      </w:r>
      <w:r>
        <w:rPr>
          <w:rFonts w:hint="eastAsia" w:ascii="Times New Roman" w:hAnsi="Times New Roman" w:eastAsia="宋体"/>
          <w:b w:val="0"/>
          <w:sz w:val="21"/>
        </w:rPr>
        <w:t>在4个输入特征中排名第3；基于随机森林计算的平均绝对SHAP值中，lnSubsidy_pos_l1</w:t>
      </w:r>
      <w:r>
        <w:rPr>
          <w:rFonts w:ascii="Times New Roman" w:hAnsi="Times New Roman" w:eastAsia="宋体"/>
          <w:b w:val="0"/>
          <w:sz w:val="21"/>
        </w:rPr>
        <w:t xml:space="preserve"> </w:t>
      </w:r>
      <w:r>
        <w:rPr>
          <w:rFonts w:hint="eastAsia" w:ascii="Times New Roman" w:hAnsi="Times New Roman" w:eastAsia="宋体"/>
          <w:b w:val="0"/>
          <w:sz w:val="21"/>
        </w:rPr>
        <w:t>同样排名第3；Lasso</w:t>
      </w:r>
      <w:r>
        <w:rPr>
          <w:rFonts w:ascii="Times New Roman" w:hAnsi="Times New Roman" w:eastAsia="宋体"/>
          <w:b w:val="0"/>
          <w:sz w:val="21"/>
        </w:rPr>
        <w:t xml:space="preserve"> </w:t>
      </w:r>
      <w:r>
        <w:rPr>
          <w:rFonts w:hint="eastAsia" w:ascii="Times New Roman" w:hAnsi="Times New Roman" w:eastAsia="宋体"/>
          <w:b w:val="0"/>
          <w:sz w:val="21"/>
        </w:rPr>
        <w:t>估计显示</w:t>
      </w:r>
      <w:r>
        <w:rPr>
          <w:rFonts w:ascii="Times New Roman" w:hAnsi="Times New Roman" w:eastAsia="宋体"/>
          <w:b w:val="0"/>
          <w:sz w:val="21"/>
        </w:rPr>
        <w:t xml:space="preserve"> lnSubsidy_pos_l1 </w:t>
      </w:r>
      <w:r>
        <w:rPr>
          <w:rFonts w:hint="eastAsia" w:ascii="Times New Roman" w:hAnsi="Times New Roman" w:eastAsia="宋体"/>
          <w:b w:val="0"/>
          <w:sz w:val="21"/>
        </w:rPr>
        <w:t>未被压缩为0，且系数为正；XGBoost</w:t>
      </w:r>
      <w:r>
        <w:rPr>
          <w:rFonts w:ascii="Times New Roman" w:hAnsi="Times New Roman" w:eastAsia="宋体"/>
          <w:b w:val="0"/>
          <w:sz w:val="21"/>
        </w:rPr>
        <w:t xml:space="preserve"> </w:t>
      </w:r>
      <w:r>
        <w:rPr>
          <w:rFonts w:hint="eastAsia" w:ascii="Times New Roman" w:hAnsi="Times New Roman" w:eastAsia="宋体"/>
          <w:b w:val="0"/>
          <w:sz w:val="21"/>
        </w:rPr>
        <w:t>的特征重要性中</w:t>
      </w:r>
      <w:r>
        <w:rPr>
          <w:rFonts w:ascii="Times New Roman" w:hAnsi="Times New Roman" w:eastAsia="宋体"/>
          <w:b w:val="0"/>
          <w:sz w:val="21"/>
        </w:rPr>
        <w:t xml:space="preserve"> lnSubsidy_pos_l1 </w:t>
      </w:r>
      <w:r>
        <w:rPr>
          <w:rFonts w:hint="eastAsia" w:ascii="Times New Roman" w:hAnsi="Times New Roman" w:eastAsia="宋体"/>
          <w:b w:val="0"/>
          <w:sz w:val="21"/>
        </w:rPr>
        <w:t>排名第2，财政补贴的部分依赖曲线整体呈上升趋势。这显示在严格匹配基准回归变量口径的前提下，财政补贴强度在预测层面的正向信息并未消失。机器学习检验本质上仍属于辅助验证，而非正式识别，不能替代计量回归中的显著性与因果识别结论。</w:t>
      </w:r>
    </w:p>
    <w:bookmarkEnd w:id="92"/>
    <w:p w14:paraId="36B37A0A">
      <w:pPr>
        <w:pStyle w:val="3"/>
        <w:spacing w:before="0" w:after="0" w:line="312" w:lineRule="auto"/>
        <w:ind w:firstLine="0"/>
        <w:jc w:val="left"/>
      </w:pPr>
      <w:bookmarkStart w:id="97" w:name="_TocAuto0027"/>
      <w:bookmarkStart w:id="98" w:name="政策建议"/>
      <w:r>
        <w:rPr>
          <w:rFonts w:ascii="Times New Roman" w:hAnsi="Times New Roman" w:eastAsia="黑体"/>
          <w:b w:val="0"/>
          <w:sz w:val="28"/>
        </w:rPr>
        <w:t xml:space="preserve">5.2 </w:t>
      </w:r>
      <w:r>
        <w:rPr>
          <w:rFonts w:hint="eastAsia" w:ascii="Times New Roman" w:hAnsi="Times New Roman" w:eastAsia="黑体"/>
          <w:b w:val="0"/>
          <w:sz w:val="28"/>
        </w:rPr>
        <w:t>政策建议</w:t>
      </w:r>
      <w:bookmarkEnd w:id="97"/>
    </w:p>
    <w:p w14:paraId="3971FAF7">
      <w:pPr>
        <w:spacing w:before="0" w:after="0" w:line="312" w:lineRule="auto"/>
        <w:ind w:firstLine="420"/>
        <w:jc w:val="both"/>
      </w:pPr>
      <w:r>
        <w:rPr>
          <w:rFonts w:hint="eastAsia" w:ascii="Times New Roman" w:hAnsi="Times New Roman" w:eastAsia="宋体"/>
          <w:b w:val="0"/>
          <w:sz w:val="21"/>
        </w:rPr>
        <w:t>基于上述全文结论，从财政补贴监管以及薪酬治理与信息披露两个维度给出政策建议。由于给出的是关于条件相关及其敏感性的证据，而非已被稳健识别的因果效应，下列建议更适合作为治理启示，而非直接的政策因果处方。</w:t>
      </w:r>
    </w:p>
    <w:p w14:paraId="29041F04">
      <w:pPr>
        <w:spacing w:before="0" w:after="0" w:line="312" w:lineRule="auto"/>
        <w:ind w:firstLine="420"/>
        <w:jc w:val="both"/>
      </w:pPr>
      <w:r>
        <w:rPr>
          <w:rFonts w:hint="eastAsia" w:ascii="Times New Roman" w:hAnsi="Times New Roman" w:eastAsia="宋体"/>
          <w:b w:val="0"/>
          <w:sz w:val="21"/>
        </w:rPr>
        <w:t>（1）</w:t>
      </w:r>
      <w:r>
        <w:rPr>
          <w:rFonts w:hint="eastAsia" w:ascii="Times New Roman" w:hAnsi="Times New Roman" w:eastAsia="宋体"/>
          <w:b w:val="0"/>
          <w:bCs/>
          <w:sz w:val="21"/>
        </w:rPr>
        <w:t>完善财政补贴项目的事后跟踪与信息对表约束。</w:t>
      </w:r>
      <w:r>
        <w:rPr>
          <w:rFonts w:ascii="Times New Roman" w:hAnsi="Times New Roman" w:eastAsia="宋体"/>
          <w:b w:val="0"/>
          <w:sz w:val="21"/>
        </w:rPr>
        <w:t xml:space="preserve"> </w:t>
      </w:r>
      <w:r>
        <w:rPr>
          <w:rFonts w:hint="eastAsia" w:ascii="Times New Roman" w:hAnsi="Times New Roman" w:eastAsia="宋体"/>
          <w:b w:val="0"/>
          <w:sz w:val="21"/>
        </w:rPr>
        <w:t>本文识别到的主要不是“全样本平均补贴效应”，而是已获补贴企业内部的强度效应。据此，监管重点不宜预设“补贴必然推高高管薪酬”，而更应关注补贴金额上升后，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14:paraId="0211745B">
      <w:pPr>
        <w:spacing w:before="0" w:after="0" w:line="312" w:lineRule="auto"/>
        <w:ind w:firstLine="420"/>
        <w:jc w:val="both"/>
      </w:pPr>
      <w:r>
        <w:rPr>
          <w:rFonts w:hint="eastAsia" w:ascii="Times New Roman" w:hAnsi="Times New Roman" w:eastAsia="宋体"/>
          <w:b w:val="0"/>
          <w:sz w:val="21"/>
        </w:rPr>
        <w:t>（2）</w:t>
      </w:r>
      <w:r>
        <w:rPr>
          <w:rFonts w:hint="eastAsia" w:ascii="Times New Roman" w:hAnsi="Times New Roman" w:eastAsia="宋体"/>
          <w:b w:val="0"/>
          <w:bCs/>
          <w:sz w:val="21"/>
        </w:rPr>
        <w:t>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监管机构可进一步要求上市公司清晰披露高管薪酬决定安排、绩效达标标准、薪酬委员会独立性评估证据，以及补贴是否纳入绩效考核基数。对补贴规模较大、财政补贴变量在机器学习补充验证中持续表现出较高重要性的企业，可把数据检验信息作为内部核查线索的补充参考，但不宜把机器学习图形或排序证据直接当作处罚和政策调整依据。监管重点应放在提高透明度、降低识别异常薪酬的成本，而不是把探索性模型输出误用为可靠证据。</w:t>
      </w:r>
    </w:p>
    <w:p w14:paraId="51675790">
      <w:pPr>
        <w:spacing w:before="0" w:after="0" w:line="312" w:lineRule="auto"/>
        <w:ind w:firstLine="420"/>
        <w:jc w:val="both"/>
      </w:pPr>
      <w:r>
        <w:rPr>
          <w:rFonts w:hint="eastAsia" w:ascii="Times New Roman" w:hAnsi="Times New Roman" w:eastAsia="宋体"/>
          <w:b w:val="0"/>
          <w:sz w:val="21"/>
        </w:rPr>
        <w:t>（3）</w:t>
      </w:r>
      <w:r>
        <w:rPr>
          <w:rFonts w:hint="eastAsia" w:ascii="Times New Roman" w:hAnsi="Times New Roman" w:eastAsia="宋体"/>
          <w:b w:val="0"/>
          <w:bCs/>
          <w:sz w:val="21"/>
        </w:rPr>
        <w:t>针对产权性质和行业特征实施差异化监管。</w:t>
      </w:r>
      <w:r>
        <w:rPr>
          <w:rFonts w:ascii="Times New Roman" w:hAnsi="Times New Roman" w:eastAsia="宋体"/>
          <w:b w:val="0"/>
          <w:sz w:val="21"/>
        </w:rPr>
        <w:t xml:space="preserve"> </w:t>
      </w:r>
      <w:r>
        <w:rPr>
          <w:rFonts w:hint="eastAsia" w:ascii="Times New Roman" w:hAnsi="Times New Roman" w:eastAsia="宋体"/>
          <w:b w:val="0"/>
          <w:sz w:val="21"/>
        </w:rPr>
        <w:t>异质性检验提示，补贴强度与超额薪酬的正向关联主要集中在私营企业和非管制行业，国有企业和管制行业则不显著。据此，监管部门在设计补贴后续监督链条时，可对私营企业和非管制行业适当加强薪酬信息披露要求和补贴使用核查力度；对国有企业，则可继续完善现有限薪设定下的补贴绩效对表通道，确保行政约束与市场激励协调互补。</w:t>
      </w:r>
    </w:p>
    <w:bookmarkEnd w:id="94"/>
    <w:p w14:paraId="45846CB0">
      <w:pPr>
        <w:pStyle w:val="3"/>
        <w:spacing w:before="0" w:after="0" w:line="312" w:lineRule="auto"/>
        <w:ind w:firstLine="0"/>
        <w:jc w:val="left"/>
      </w:pPr>
      <w:bookmarkStart w:id="99" w:name="_TocAuto0028"/>
      <w:bookmarkStart w:id="100" w:name="研究局限与展望"/>
      <w:r>
        <w:rPr>
          <w:rFonts w:ascii="Times New Roman" w:hAnsi="Times New Roman" w:eastAsia="黑体"/>
          <w:b w:val="0"/>
          <w:sz w:val="28"/>
        </w:rPr>
        <w:t xml:space="preserve">5.3 </w:t>
      </w:r>
      <w:r>
        <w:rPr>
          <w:rFonts w:hint="eastAsia" w:ascii="Times New Roman" w:hAnsi="Times New Roman" w:eastAsia="黑体"/>
          <w:b w:val="0"/>
          <w:sz w:val="28"/>
        </w:rPr>
        <w:t>研究局限与展望</w:t>
      </w:r>
      <w:bookmarkEnd w:id="99"/>
    </w:p>
    <w:p w14:paraId="5B367E75">
      <w:pPr>
        <w:spacing w:before="0" w:after="0" w:line="312" w:lineRule="auto"/>
        <w:ind w:firstLine="420"/>
        <w:jc w:val="both"/>
      </w:pPr>
      <w:r>
        <w:rPr>
          <w:rFonts w:hint="eastAsia" w:ascii="Times New Roman" w:hAnsi="Times New Roman" w:eastAsia="宋体"/>
          <w:b w:val="0"/>
          <w:sz w:val="21"/>
        </w:rPr>
        <w:t>本文已就财政补贴与高管超额薪酬之间的关系做了较为系统的检验，但受数据条件和识别做法限制，以下三个方向仍有待深化。</w:t>
      </w:r>
    </w:p>
    <w:p w14:paraId="31ABCE62">
      <w:pPr>
        <w:spacing w:before="0" w:after="0" w:line="312" w:lineRule="auto"/>
        <w:ind w:firstLine="420"/>
        <w:jc w:val="both"/>
      </w:pPr>
      <w:r>
        <w:rPr>
          <w:rFonts w:hint="eastAsia" w:ascii="Times New Roman" w:hAnsi="Times New Roman" w:eastAsia="宋体"/>
          <w:b w:val="0"/>
          <w:sz w:val="21"/>
        </w:rPr>
        <w:t>本文借助公司固定效应、行业×年份固定效应、事件动态检验以及针对正补助样本的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两步法，对内生性与选择偏差来源实施了较为系统的处理。尽管如此，这些工具更多是在当前样本边界内收紧识别，而非提供完全外生的政策冲击；而围绕当前基准样本统一重跑的传统留一法工具变量也未能提供稳定的一阶段支撑。未来考察仍有必要结合更具外生性的政策冲击，采用双重差分（DID）、断点回归（RDD）或其他准自然实验设计，以进一步提升因果识别的严谨性。此外，事件文献中高补贴事件的阈值目前固定为上四分位数，未来可检验替代阈值下动态检验结论的敏感性。</w:t>
      </w:r>
    </w:p>
    <w:p w14:paraId="690009F4">
      <w:pPr>
        <w:spacing w:before="0" w:after="0" w:line="312" w:lineRule="auto"/>
        <w:ind w:firstLine="420"/>
        <w:jc w:val="both"/>
      </w:pPr>
      <w:r>
        <w:rPr>
          <w:rFonts w:hint="eastAsia" w:ascii="Times New Roman" w:hAnsi="Times New Roman" w:eastAsia="宋体"/>
          <w:b w:val="0"/>
          <w:sz w:val="21"/>
        </w:rPr>
        <w:t>核心变量的测度精度也值得改进。本文将讨论重点放在已获补贴企业内部的补贴强度差异上，并主要依据可观测的治理特征刻画管理层权力，这有助于建立统一的实证结构，但对补贴类型差异、补贴进入样本之前的选择逻辑以及隐性权力来源的反映仍不够充分。未来检验可细分研发补贴、纾困补贴、税收返还等不同类型的政策支持，并结合高管履历、政治关联和年报文本等信息，构建更细致的变量测度体系。</w:t>
      </w:r>
    </w:p>
    <w:p w14:paraId="49049FCA">
      <w:pPr>
        <w:spacing w:before="0" w:after="0" w:line="312" w:lineRule="auto"/>
        <w:ind w:firstLine="420"/>
        <w:jc w:val="both"/>
      </w:pPr>
      <w:r>
        <w:rPr>
          <w:rFonts w:hint="eastAsia" w:ascii="Times New Roman" w:hAnsi="Times New Roman" w:eastAsia="宋体"/>
          <w:b w:val="0"/>
          <w:sz w:val="21"/>
        </w:rPr>
        <w:t>样本外验证与多源数据融合同样值得推进。机器学习部分虽然已经采用建模样本与保留样本划分，并结合按公司分组的交叉验证，但总体上仍局限于当前样本设定，年报、社会责任报告和媒体报道等文本信息的利用也相对有限，相关证据更多体现为对传统回归结论的补充验证。由于机器学习部分严格限制在与基准回归一致的样本和四变量设定之内，第四章中的这组检验更适合被理解为对“已获补贴企业内部的补贴强度效应”这一主线判断的辅助证据，而不宜机械外推至全部基础样本或更宽的特征空间。未来课题可借助滚动窗口、跨市场样本和多源文本信息融合等方式，检验模型在不同阶段和不同情境下的稳健性，以便更全面地揭示财政补贴与高管薪酬之间关系的边界条件。</w:t>
      </w:r>
    </w:p>
    <w:bookmarkEnd w:id="96"/>
    <w:bookmarkEnd w:id="98"/>
    <w:p w14:paraId="6AA33134">
      <w:pPr>
        <w:pStyle w:val="2"/>
        <w:pageBreakBefore/>
        <w:spacing w:before="0" w:after="0" w:line="312" w:lineRule="auto"/>
        <w:ind w:firstLine="0"/>
        <w:jc w:val="center"/>
      </w:pPr>
      <w:bookmarkStart w:id="101" w:name="_TocAuto0029"/>
      <w:bookmarkStart w:id="102" w:name="参考文献"/>
      <w:r>
        <w:rPr>
          <w:rFonts w:hint="eastAsia" w:ascii="Times New Roman" w:hAnsi="Times New Roman" w:eastAsia="黑体"/>
          <w:b/>
          <w:sz w:val="32"/>
        </w:rPr>
        <w:t>参考文献</w:t>
      </w:r>
      <w:bookmarkEnd w:id="101"/>
    </w:p>
    <w:p w14:paraId="5979A1C9">
      <w:pPr>
        <w:spacing w:before="0" w:after="0" w:line="312" w:lineRule="auto"/>
        <w:ind w:firstLine="0"/>
        <w:jc w:val="both"/>
      </w:pPr>
      <w:r>
        <w:rPr>
          <w:rFonts w:ascii="Times New Roman" w:hAnsi="Times New Roman" w:eastAsia="宋体"/>
          <w:b w:val="0"/>
          <w:sz w:val="21"/>
        </w:rPr>
        <w:t>[1]BARON R M, KENNY D A. The moderator-mediator variable distinction in social psychological research: Conceptual, strategic, and statistical considerations[J]. Journal of Personality and Social Psychology, 1986, 51(6): 1173–1182.</w:t>
      </w:r>
    </w:p>
    <w:p w14:paraId="6ADD7629">
      <w:pPr>
        <w:spacing w:before="0" w:after="0" w:line="312" w:lineRule="auto"/>
        <w:ind w:firstLine="0"/>
        <w:jc w:val="both"/>
      </w:pPr>
      <w:r>
        <w:rPr>
          <w:rFonts w:ascii="Times New Roman" w:hAnsi="Times New Roman" w:eastAsia="宋体"/>
          <w:b w:val="0"/>
          <w:sz w:val="21"/>
        </w:rPr>
        <w:t>[2]BEBCHUK L A, FRIED J M. Executive compensation as an agency problem[J]. Journal of Economic Perspectives, 2003, 17(3): 71–92.</w:t>
      </w:r>
    </w:p>
    <w:p w14:paraId="410C18D1">
      <w:pPr>
        <w:spacing w:before="0" w:after="0" w:line="312" w:lineRule="auto"/>
        <w:ind w:firstLine="0"/>
        <w:jc w:val="both"/>
      </w:pPr>
      <w:r>
        <w:rPr>
          <w:rFonts w:ascii="Times New Roman" w:hAnsi="Times New Roman" w:eastAsia="宋体"/>
          <w:b w:val="0"/>
          <w:sz w:val="21"/>
        </w:rPr>
        <w:t>[3]BHATTACHARYA I, MIĆKOVIĆ A. Accounting fraud detection using contextual language learning[J]. International Journal of Accounting Information Systems, 2024, 53: 100682.</w:t>
      </w:r>
    </w:p>
    <w:p w14:paraId="065D7D55">
      <w:pPr>
        <w:spacing w:before="0" w:after="0" w:line="312" w:lineRule="auto"/>
        <w:ind w:firstLine="0"/>
        <w:jc w:val="both"/>
      </w:pPr>
      <w:r>
        <w:rPr>
          <w:rFonts w:ascii="Times New Roman" w:hAnsi="Times New Roman" w:eastAsia="宋体"/>
          <w:b w:val="0"/>
          <w:sz w:val="21"/>
        </w:rPr>
        <w:t>[4]BU D, SHALCHIAN H, HUANG R, et al. Government subsidy, corporate pay-gap and firm’s financial performance: Evidence from China[J]. Accounting and Finance Research, 2019, 8(3): 86.</w:t>
      </w:r>
    </w:p>
    <w:p w14:paraId="05637710">
      <w:pPr>
        <w:spacing w:before="0" w:after="0" w:line="312" w:lineRule="auto"/>
        <w:ind w:firstLine="0"/>
        <w:jc w:val="both"/>
      </w:pPr>
      <w:r>
        <w:rPr>
          <w:rFonts w:ascii="Times New Roman" w:hAnsi="Times New Roman" w:eastAsia="宋体"/>
          <w:b w:val="0"/>
          <w:sz w:val="21"/>
        </w:rPr>
        <w:t>[5]CORE J E, HOLTHAUSEN R W, LARCKER D F. Corporate governance, CEO compensation, and firm performance[J]. Journal of Financial Economics, 1999, 51(3): 371–406.</w:t>
      </w:r>
    </w:p>
    <w:p w14:paraId="0F328BB7">
      <w:pPr>
        <w:spacing w:before="0" w:after="0" w:line="312" w:lineRule="auto"/>
        <w:ind w:firstLine="0"/>
        <w:jc w:val="both"/>
      </w:pPr>
      <w:r>
        <w:rPr>
          <w:rFonts w:ascii="Times New Roman" w:hAnsi="Times New Roman" w:eastAsia="宋体"/>
          <w:b w:val="0"/>
          <w:sz w:val="21"/>
        </w:rPr>
        <w:t>[6]FINKELSTEIN S. Power in top management teams: Dimensions, measurement, and validation[J]. Academy of Management Journal, 1992, 35(3): 505–538.</w:t>
      </w:r>
    </w:p>
    <w:p w14:paraId="139AEBCC">
      <w:pPr>
        <w:spacing w:before="0" w:after="0" w:line="312" w:lineRule="auto"/>
        <w:ind w:firstLine="0"/>
        <w:jc w:val="both"/>
      </w:pPr>
      <w:r>
        <w:rPr>
          <w:rFonts w:ascii="Times New Roman" w:hAnsi="Times New Roman" w:eastAsia="宋体"/>
          <w:b w:val="0"/>
          <w:sz w:val="21"/>
        </w:rPr>
        <w:t>[7]GU S, KELLY B, XIU D. Empirical asset pricing via machine learning[J]. The Review of Financial Studies, 2020, 33(5): 2223–2273.</w:t>
      </w:r>
    </w:p>
    <w:p w14:paraId="0A813912">
      <w:pPr>
        <w:spacing w:before="0" w:after="0" w:line="312" w:lineRule="auto"/>
        <w:ind w:firstLine="0"/>
        <w:jc w:val="both"/>
      </w:pPr>
      <w:r>
        <w:rPr>
          <w:rFonts w:ascii="Times New Roman" w:hAnsi="Times New Roman" w:eastAsia="宋体"/>
          <w:b w:val="0"/>
          <w:sz w:val="21"/>
        </w:rPr>
        <w:t>[8]JENSEN M C, MECKLING W H. Theory of the firm: Managerial behavior, agency costs and ownership structure[J]. Journal of Financial Economics, 1976, 3(4): 305–360.</w:t>
      </w:r>
    </w:p>
    <w:p w14:paraId="52C49B80">
      <w:pPr>
        <w:spacing w:before="0" w:after="0" w:line="312" w:lineRule="auto"/>
        <w:ind w:firstLine="0"/>
        <w:jc w:val="both"/>
      </w:pPr>
      <w:r>
        <w:rPr>
          <w:rFonts w:ascii="Times New Roman" w:hAnsi="Times New Roman" w:eastAsia="宋体"/>
          <w:b w:val="0"/>
          <w:sz w:val="21"/>
        </w:rPr>
        <w:t>[9]JIANG H, SU K, HABIB A. Government subsidies and managerial slack: Evidence from China[J]. Journal of Contemporary Accounting &amp; Economics, 2025, 21(2): 100473.</w:t>
      </w:r>
    </w:p>
    <w:p w14:paraId="44D98534">
      <w:pPr>
        <w:spacing w:before="0" w:after="0" w:line="312" w:lineRule="auto"/>
        <w:ind w:firstLine="0"/>
        <w:jc w:val="both"/>
      </w:pPr>
      <w:r>
        <w:rPr>
          <w:rFonts w:ascii="Times New Roman" w:hAnsi="Times New Roman" w:eastAsia="宋体"/>
          <w:b w:val="0"/>
          <w:sz w:val="21"/>
        </w:rPr>
        <w:t>[10]KETELAAR F, MIĆKOVIĆ A. Artificial Intelligence in fraud detection: textual analysis of 10-K filings[J]. Maandblad voor Accountancy en Bedrijfseconomie, 2025, 99(2): 61–71.</w:t>
      </w:r>
    </w:p>
    <w:p w14:paraId="481133A5">
      <w:pPr>
        <w:spacing w:before="0" w:after="0" w:line="312" w:lineRule="auto"/>
        <w:ind w:firstLine="0"/>
        <w:jc w:val="both"/>
      </w:pPr>
      <w:r>
        <w:rPr>
          <w:rFonts w:ascii="Times New Roman" w:hAnsi="Times New Roman" w:eastAsia="宋体"/>
          <w:b w:val="0"/>
          <w:sz w:val="21"/>
        </w:rPr>
        <w:t>[11]LI F. Annual report readability, current earnings, and earnings persistence[J]. Journal of Accounting and Economics, 2008, 45(2–3): 221–247.</w:t>
      </w:r>
    </w:p>
    <w:p w14:paraId="62401093">
      <w:pPr>
        <w:spacing w:before="0" w:after="0" w:line="312" w:lineRule="auto"/>
        <w:ind w:firstLine="0"/>
        <w:jc w:val="both"/>
      </w:pPr>
      <w:r>
        <w:rPr>
          <w:rFonts w:ascii="Times New Roman" w:hAnsi="Times New Roman" w:eastAsia="宋体"/>
          <w:b w:val="0"/>
          <w:sz w:val="21"/>
        </w:rPr>
        <w:t>[12]PEROLS J, BOWEN R M, ZIMMERMANN C, et al. Finding needles in a haystack: Using data analytics to improve fraud prediction[J]. The Accounting Review, 2017, 92(2): 221–245.</w:t>
      </w:r>
    </w:p>
    <w:p w14:paraId="1BF88891">
      <w:pPr>
        <w:spacing w:before="0" w:after="0" w:line="312" w:lineRule="auto"/>
        <w:ind w:firstLine="0"/>
        <w:jc w:val="both"/>
      </w:pPr>
      <w:r>
        <w:rPr>
          <w:rFonts w:ascii="Times New Roman" w:hAnsi="Times New Roman" w:eastAsia="宋体"/>
          <w:b w:val="0"/>
          <w:sz w:val="21"/>
        </w:rPr>
        <w:t>[13]RJIBA H, SAADI S, BOUBAKER S, et al. Annual report readability and the cost of equity capital[J]. Journal of Corporate Finance, 2021, 67: 101902.</w:t>
      </w:r>
    </w:p>
    <w:p w14:paraId="005B6071">
      <w:pPr>
        <w:spacing w:before="0" w:after="0" w:line="312" w:lineRule="auto"/>
        <w:ind w:firstLine="0"/>
        <w:jc w:val="both"/>
      </w:pPr>
      <w:r>
        <w:rPr>
          <w:rFonts w:ascii="Times New Roman" w:hAnsi="Times New Roman" w:eastAsia="宋体"/>
          <w:b w:val="0"/>
          <w:sz w:val="21"/>
        </w:rPr>
        <w:t>[14]SPENCE M. Job market signaling[J]. The Quarterly Journal of Economics, 1973, 87(3): 355–374.</w:t>
      </w:r>
    </w:p>
    <w:p w14:paraId="15EBB064">
      <w:pPr>
        <w:spacing w:before="0" w:after="0" w:line="312" w:lineRule="auto"/>
        <w:ind w:firstLine="0"/>
        <w:jc w:val="both"/>
      </w:pPr>
      <w:r>
        <w:rPr>
          <w:rFonts w:ascii="Times New Roman" w:hAnsi="Times New Roman" w:eastAsia="宋体"/>
          <w:b w:val="0"/>
          <w:sz w:val="21"/>
        </w:rPr>
        <w:t>[15]ZHAO Y, LYNCH J G, CHEN Q. Reconsidering Baron and Kenny: Myths and truths about mediation analysis[J]. Journal of Consumer Research, 2010, 37(2): 197–206.</w:t>
      </w:r>
    </w:p>
    <w:p w14:paraId="38886E4E">
      <w:pPr>
        <w:spacing w:before="0" w:after="0" w:line="312" w:lineRule="auto"/>
        <w:ind w:firstLine="0"/>
        <w:jc w:val="both"/>
      </w:pPr>
      <w:r>
        <w:rPr>
          <w:rFonts w:hint="eastAsia" w:ascii="Times New Roman" w:hAnsi="Times New Roman" w:eastAsia="宋体"/>
          <w:b w:val="0"/>
          <w:sz w:val="21"/>
        </w:rPr>
        <w:t>[16]步丹璐，王晓艳.</w:t>
      </w:r>
      <w:r>
        <w:rPr>
          <w:rFonts w:ascii="Times New Roman" w:hAnsi="Times New Roman" w:eastAsia="宋体"/>
          <w:b w:val="0"/>
          <w:sz w:val="21"/>
        </w:rPr>
        <w:t xml:space="preserve"> </w:t>
      </w:r>
      <w:r>
        <w:rPr>
          <w:rFonts w:hint="eastAsia" w:ascii="Times New Roman" w:hAnsi="Times New Roman" w:eastAsia="宋体"/>
          <w:b w:val="0"/>
          <w:sz w:val="21"/>
        </w:rPr>
        <w:t>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南开管理评论，2014，17(2):</w:t>
      </w:r>
      <w:r>
        <w:rPr>
          <w:rFonts w:ascii="Times New Roman" w:hAnsi="Times New Roman" w:eastAsia="宋体"/>
          <w:b w:val="0"/>
          <w:sz w:val="21"/>
        </w:rPr>
        <w:t xml:space="preserve"> 23–33.</w:t>
      </w:r>
    </w:p>
    <w:p w14:paraId="7CFF20A2">
      <w:pPr>
        <w:spacing w:before="0" w:after="0" w:line="312" w:lineRule="auto"/>
        <w:ind w:firstLine="0"/>
        <w:jc w:val="both"/>
      </w:pPr>
      <w:r>
        <w:rPr>
          <w:rFonts w:hint="eastAsia" w:ascii="Times New Roman" w:hAnsi="Times New Roman" w:eastAsia="宋体"/>
          <w:b w:val="0"/>
          <w:sz w:val="21"/>
        </w:rPr>
        <w:t>[17]陈冬华，陈信元，万华林.</w:t>
      </w:r>
      <w:r>
        <w:rPr>
          <w:rFonts w:ascii="Times New Roman" w:hAnsi="Times New Roman" w:eastAsia="宋体"/>
          <w:b w:val="0"/>
          <w:sz w:val="21"/>
        </w:rPr>
        <w:t xml:space="preserve"> </w:t>
      </w:r>
      <w:r>
        <w:rPr>
          <w:rFonts w:hint="eastAsia" w:ascii="Times New Roman" w:hAnsi="Times New Roman" w:eastAsia="宋体"/>
          <w:b w:val="0"/>
          <w:sz w:val="21"/>
        </w:rPr>
        <w:t>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经济研究，2005，40(2):</w:t>
      </w:r>
      <w:r>
        <w:rPr>
          <w:rFonts w:ascii="Times New Roman" w:hAnsi="Times New Roman" w:eastAsia="宋体"/>
          <w:b w:val="0"/>
          <w:sz w:val="21"/>
        </w:rPr>
        <w:t xml:space="preserve"> 92–101.</w:t>
      </w:r>
    </w:p>
    <w:p w14:paraId="32BFD6BB">
      <w:pPr>
        <w:spacing w:before="0" w:after="0" w:line="312" w:lineRule="auto"/>
        <w:ind w:firstLine="0"/>
        <w:jc w:val="both"/>
      </w:pPr>
      <w:r>
        <w:rPr>
          <w:rFonts w:hint="eastAsia" w:ascii="Times New Roman" w:hAnsi="Times New Roman" w:eastAsia="宋体"/>
          <w:b w:val="0"/>
          <w:sz w:val="21"/>
        </w:rPr>
        <w:t>[18]方军雄.</w:t>
      </w:r>
      <w:r>
        <w:rPr>
          <w:rFonts w:ascii="Times New Roman" w:hAnsi="Times New Roman" w:eastAsia="宋体"/>
          <w:b w:val="0"/>
          <w:sz w:val="21"/>
        </w:rPr>
        <w:t xml:space="preserve"> </w:t>
      </w:r>
      <w:r>
        <w:rPr>
          <w:rFonts w:hint="eastAsia" w:ascii="Times New Roman" w:hAnsi="Times New Roman" w:eastAsia="宋体"/>
          <w:b w:val="0"/>
          <w:sz w:val="21"/>
        </w:rPr>
        <w:t>我国上市公司高管薪酬存在粘性吗？[J].</w:t>
      </w:r>
      <w:r>
        <w:rPr>
          <w:rFonts w:ascii="Times New Roman" w:hAnsi="Times New Roman" w:eastAsia="宋体"/>
          <w:b w:val="0"/>
          <w:sz w:val="21"/>
        </w:rPr>
        <w:t xml:space="preserve"> </w:t>
      </w:r>
      <w:r>
        <w:rPr>
          <w:rFonts w:hint="eastAsia" w:ascii="Times New Roman" w:hAnsi="Times New Roman" w:eastAsia="宋体"/>
          <w:b w:val="0"/>
          <w:sz w:val="21"/>
        </w:rPr>
        <w:t>经济研究，2009，44(3):</w:t>
      </w:r>
      <w:r>
        <w:rPr>
          <w:rFonts w:ascii="Times New Roman" w:hAnsi="Times New Roman" w:eastAsia="宋体"/>
          <w:b w:val="0"/>
          <w:sz w:val="21"/>
        </w:rPr>
        <w:t xml:space="preserve"> 110–124.</w:t>
      </w:r>
    </w:p>
    <w:p w14:paraId="2EB935D5">
      <w:pPr>
        <w:spacing w:before="0" w:after="0" w:line="312" w:lineRule="auto"/>
        <w:ind w:firstLine="0"/>
        <w:jc w:val="both"/>
      </w:pPr>
      <w:r>
        <w:rPr>
          <w:rFonts w:hint="eastAsia" w:ascii="Times New Roman" w:hAnsi="Times New Roman" w:eastAsia="宋体"/>
          <w:b w:val="0"/>
          <w:sz w:val="21"/>
        </w:rPr>
        <w:t>[19]李哲，王文翰，王遥.</w:t>
      </w:r>
      <w:r>
        <w:rPr>
          <w:rFonts w:ascii="Times New Roman" w:hAnsi="Times New Roman" w:eastAsia="宋体"/>
          <w:b w:val="0"/>
          <w:sz w:val="21"/>
        </w:rPr>
        <w:t xml:space="preserve"> </w:t>
      </w:r>
      <w:r>
        <w:rPr>
          <w:rFonts w:hint="eastAsia" w:ascii="Times New Roman" w:hAnsi="Times New Roman" w:eastAsia="宋体"/>
          <w:b w:val="0"/>
          <w:sz w:val="21"/>
        </w:rPr>
        <w:t>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财经研究，2022，48(2):</w:t>
      </w:r>
      <w:r>
        <w:rPr>
          <w:rFonts w:ascii="Times New Roman" w:hAnsi="Times New Roman" w:eastAsia="宋体"/>
          <w:b w:val="0"/>
          <w:sz w:val="21"/>
        </w:rPr>
        <w:t xml:space="preserve"> 78–92.</w:t>
      </w:r>
    </w:p>
    <w:p w14:paraId="317FA424">
      <w:pPr>
        <w:spacing w:before="0" w:after="0" w:line="312" w:lineRule="auto"/>
        <w:ind w:firstLine="0"/>
        <w:jc w:val="both"/>
      </w:pPr>
      <w:r>
        <w:rPr>
          <w:rFonts w:hint="eastAsia" w:ascii="Times New Roman" w:hAnsi="Times New Roman" w:eastAsia="宋体"/>
          <w:b w:val="0"/>
          <w:sz w:val="21"/>
        </w:rPr>
        <w:t>[20]连君莎.</w:t>
      </w:r>
      <w:r>
        <w:rPr>
          <w:rFonts w:ascii="Times New Roman" w:hAnsi="Times New Roman" w:eastAsia="宋体"/>
          <w:b w:val="0"/>
          <w:sz w:val="21"/>
        </w:rPr>
        <w:t xml:space="preserve"> </w:t>
      </w:r>
      <w:r>
        <w:rPr>
          <w:rFonts w:hint="eastAsia" w:ascii="Times New Roman" w:hAnsi="Times New Roman" w:eastAsia="宋体"/>
          <w:b w:val="0"/>
          <w:sz w:val="21"/>
        </w:rPr>
        <w:t>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武汉：武汉理工大学，2020.</w:t>
      </w:r>
    </w:p>
    <w:p w14:paraId="3A8E1D94">
      <w:pPr>
        <w:spacing w:before="0" w:after="0" w:line="312" w:lineRule="auto"/>
        <w:ind w:firstLine="0"/>
        <w:jc w:val="both"/>
      </w:pPr>
      <w:r>
        <w:rPr>
          <w:rFonts w:hint="eastAsia" w:ascii="Times New Roman" w:hAnsi="Times New Roman" w:eastAsia="宋体"/>
          <w:b w:val="0"/>
          <w:sz w:val="21"/>
        </w:rPr>
        <w:t>[21]卢锐，柳建华，许宁.</w:t>
      </w:r>
      <w:r>
        <w:rPr>
          <w:rFonts w:ascii="Times New Roman" w:hAnsi="Times New Roman" w:eastAsia="宋体"/>
          <w:b w:val="0"/>
          <w:sz w:val="21"/>
        </w:rPr>
        <w:t xml:space="preserve"> </w:t>
      </w:r>
      <w:r>
        <w:rPr>
          <w:rFonts w:hint="eastAsia" w:ascii="Times New Roman" w:hAnsi="Times New Roman" w:eastAsia="宋体"/>
          <w:b w:val="0"/>
          <w:sz w:val="21"/>
        </w:rPr>
        <w:t>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会计研究，2011(10):</w:t>
      </w:r>
      <w:r>
        <w:rPr>
          <w:rFonts w:ascii="Times New Roman" w:hAnsi="Times New Roman" w:eastAsia="宋体"/>
          <w:b w:val="0"/>
          <w:sz w:val="21"/>
        </w:rPr>
        <w:t xml:space="preserve"> 42–48.</w:t>
      </w:r>
    </w:p>
    <w:p w14:paraId="199EAE3A">
      <w:pPr>
        <w:spacing w:before="0" w:after="0" w:line="312" w:lineRule="auto"/>
        <w:ind w:firstLine="0"/>
        <w:jc w:val="both"/>
      </w:pPr>
      <w:r>
        <w:rPr>
          <w:rFonts w:hint="eastAsia" w:ascii="Times New Roman" w:hAnsi="Times New Roman" w:eastAsia="宋体"/>
          <w:b w:val="0"/>
          <w:sz w:val="21"/>
        </w:rPr>
        <w:t>[22]陆瑶，张叶青，黎波，等.</w:t>
      </w:r>
      <w:r>
        <w:rPr>
          <w:rFonts w:ascii="Times New Roman" w:hAnsi="Times New Roman" w:eastAsia="宋体"/>
          <w:b w:val="0"/>
          <w:sz w:val="21"/>
        </w:rPr>
        <w:t xml:space="preserve"> </w:t>
      </w:r>
      <w:r>
        <w:rPr>
          <w:rFonts w:hint="eastAsia" w:ascii="Times New Roman" w:hAnsi="Times New Roman" w:eastAsia="宋体"/>
          <w:b w:val="0"/>
          <w:sz w:val="21"/>
        </w:rPr>
        <w:t>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管理科学学报，2020，23(2):</w:t>
      </w:r>
      <w:r>
        <w:rPr>
          <w:rFonts w:ascii="Times New Roman" w:hAnsi="Times New Roman" w:eastAsia="宋体"/>
          <w:b w:val="0"/>
          <w:sz w:val="21"/>
        </w:rPr>
        <w:t xml:space="preserve"> 120–140.</w:t>
      </w:r>
    </w:p>
    <w:p w14:paraId="67B65F0C">
      <w:pPr>
        <w:spacing w:before="0" w:after="0" w:line="312" w:lineRule="auto"/>
        <w:ind w:firstLine="0"/>
        <w:jc w:val="both"/>
      </w:pPr>
      <w:r>
        <w:rPr>
          <w:rFonts w:hint="eastAsia" w:ascii="Times New Roman" w:hAnsi="Times New Roman" w:eastAsia="宋体"/>
          <w:b w:val="0"/>
          <w:sz w:val="21"/>
        </w:rPr>
        <w:t>[23]罗进辉.</w:t>
      </w:r>
      <w:r>
        <w:rPr>
          <w:rFonts w:ascii="Times New Roman" w:hAnsi="Times New Roman" w:eastAsia="宋体"/>
          <w:b w:val="0"/>
          <w:sz w:val="21"/>
        </w:rPr>
        <w:t xml:space="preserve"> </w:t>
      </w:r>
      <w:r>
        <w:rPr>
          <w:rFonts w:hint="eastAsia" w:ascii="Times New Roman" w:hAnsi="Times New Roman" w:eastAsia="宋体"/>
          <w:b w:val="0"/>
          <w:sz w:val="21"/>
        </w:rPr>
        <w:t>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金融研究，2018(3):</w:t>
      </w:r>
      <w:r>
        <w:rPr>
          <w:rFonts w:ascii="Times New Roman" w:hAnsi="Times New Roman" w:eastAsia="宋体"/>
          <w:b w:val="0"/>
          <w:sz w:val="21"/>
        </w:rPr>
        <w:t xml:space="preserve"> 190–206.</w:t>
      </w:r>
    </w:p>
    <w:p w14:paraId="2AAF75CD">
      <w:pPr>
        <w:spacing w:before="0" w:after="0" w:line="312" w:lineRule="auto"/>
        <w:ind w:firstLine="0"/>
        <w:jc w:val="both"/>
      </w:pPr>
      <w:r>
        <w:rPr>
          <w:rFonts w:hint="eastAsia" w:ascii="Times New Roman" w:hAnsi="Times New Roman" w:eastAsia="宋体"/>
          <w:b w:val="0"/>
          <w:sz w:val="21"/>
        </w:rPr>
        <w:t>[24]罗昆，曹光宇.</w:t>
      </w:r>
      <w:r>
        <w:rPr>
          <w:rFonts w:ascii="Times New Roman" w:hAnsi="Times New Roman" w:eastAsia="宋体"/>
          <w:b w:val="0"/>
          <w:sz w:val="21"/>
        </w:rPr>
        <w:t xml:space="preserve"> </w:t>
      </w:r>
      <w:r>
        <w:rPr>
          <w:rFonts w:hint="eastAsia" w:ascii="Times New Roman" w:hAnsi="Times New Roman" w:eastAsia="宋体"/>
          <w:b w:val="0"/>
          <w:sz w:val="21"/>
        </w:rPr>
        <w:t>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华中农业大学学报（社会科学版），2015(6):</w:t>
      </w:r>
      <w:r>
        <w:rPr>
          <w:rFonts w:ascii="Times New Roman" w:hAnsi="Times New Roman" w:eastAsia="宋体"/>
          <w:b w:val="0"/>
          <w:sz w:val="21"/>
        </w:rPr>
        <w:t xml:space="preserve"> 109–117.</w:t>
      </w:r>
    </w:p>
    <w:p w14:paraId="30263956">
      <w:pPr>
        <w:spacing w:before="0" w:after="0" w:line="312" w:lineRule="auto"/>
        <w:ind w:firstLine="0"/>
        <w:jc w:val="both"/>
      </w:pPr>
      <w:r>
        <w:rPr>
          <w:rFonts w:hint="eastAsia" w:ascii="Times New Roman" w:hAnsi="Times New Roman" w:eastAsia="宋体"/>
          <w:b w:val="0"/>
          <w:sz w:val="21"/>
        </w:rPr>
        <w:t>[25]马长峰，陈志娟，张顺明.</w:t>
      </w:r>
      <w:r>
        <w:rPr>
          <w:rFonts w:ascii="Times New Roman" w:hAnsi="Times New Roman" w:eastAsia="宋体"/>
          <w:b w:val="0"/>
          <w:sz w:val="21"/>
        </w:rPr>
        <w:t xml:space="preserve"> </w:t>
      </w:r>
      <w:r>
        <w:rPr>
          <w:rFonts w:hint="eastAsia" w:ascii="Times New Roman" w:hAnsi="Times New Roman" w:eastAsia="宋体"/>
          <w:b w:val="0"/>
          <w:sz w:val="21"/>
        </w:rPr>
        <w:t>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管理科学学报，2020，23(9):</w:t>
      </w:r>
      <w:r>
        <w:rPr>
          <w:rFonts w:ascii="Times New Roman" w:hAnsi="Times New Roman" w:eastAsia="宋体"/>
          <w:b w:val="0"/>
          <w:sz w:val="21"/>
        </w:rPr>
        <w:t xml:space="preserve"> 19–30.</w:t>
      </w:r>
    </w:p>
    <w:p w14:paraId="59657F05">
      <w:pPr>
        <w:spacing w:before="0" w:after="0" w:line="312" w:lineRule="auto"/>
        <w:ind w:firstLine="0"/>
        <w:jc w:val="both"/>
      </w:pPr>
      <w:r>
        <w:rPr>
          <w:rFonts w:hint="eastAsia" w:ascii="Times New Roman" w:hAnsi="Times New Roman" w:eastAsia="宋体"/>
          <w:b w:val="0"/>
          <w:sz w:val="21"/>
        </w:rPr>
        <w:t>[26]潘红波，夏新平，余明桂.</w:t>
      </w:r>
      <w:r>
        <w:rPr>
          <w:rFonts w:ascii="Times New Roman" w:hAnsi="Times New Roman" w:eastAsia="宋体"/>
          <w:b w:val="0"/>
          <w:sz w:val="21"/>
        </w:rPr>
        <w:t xml:space="preserve"> </w:t>
      </w:r>
      <w:r>
        <w:rPr>
          <w:rFonts w:hint="eastAsia" w:ascii="Times New Roman" w:hAnsi="Times New Roman" w:eastAsia="宋体"/>
          <w:b w:val="0"/>
          <w:sz w:val="21"/>
        </w:rPr>
        <w:t>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经济研究，2008(4):</w:t>
      </w:r>
      <w:r>
        <w:rPr>
          <w:rFonts w:ascii="Times New Roman" w:hAnsi="Times New Roman" w:eastAsia="宋体"/>
          <w:b w:val="0"/>
          <w:sz w:val="21"/>
        </w:rPr>
        <w:t xml:space="preserve"> 41–52.</w:t>
      </w:r>
    </w:p>
    <w:p w14:paraId="51F318CA">
      <w:pPr>
        <w:spacing w:before="0" w:after="0" w:line="312" w:lineRule="auto"/>
        <w:ind w:firstLine="0"/>
        <w:jc w:val="both"/>
      </w:pPr>
      <w:r>
        <w:rPr>
          <w:rFonts w:hint="eastAsia" w:ascii="Times New Roman" w:hAnsi="Times New Roman" w:eastAsia="宋体"/>
          <w:b w:val="0"/>
          <w:sz w:val="21"/>
        </w:rPr>
        <w:t>[27]唐清泉，罗党论.</w:t>
      </w:r>
      <w:r>
        <w:rPr>
          <w:rFonts w:ascii="Times New Roman" w:hAnsi="Times New Roman" w:eastAsia="宋体"/>
          <w:b w:val="0"/>
          <w:sz w:val="21"/>
        </w:rPr>
        <w:t xml:space="preserve"> </w:t>
      </w:r>
      <w:r>
        <w:rPr>
          <w:rFonts w:hint="eastAsia" w:ascii="Times New Roman" w:hAnsi="Times New Roman" w:eastAsia="宋体"/>
          <w:b w:val="0"/>
          <w:sz w:val="21"/>
        </w:rPr>
        <w:t>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金融研究，2007(6):</w:t>
      </w:r>
      <w:r>
        <w:rPr>
          <w:rFonts w:ascii="Times New Roman" w:hAnsi="Times New Roman" w:eastAsia="宋体"/>
          <w:b w:val="0"/>
          <w:sz w:val="21"/>
        </w:rPr>
        <w:t xml:space="preserve"> 149–163.</w:t>
      </w:r>
    </w:p>
    <w:p w14:paraId="21208762">
      <w:pPr>
        <w:spacing w:before="0" w:after="0" w:line="312" w:lineRule="auto"/>
        <w:ind w:firstLine="0"/>
        <w:jc w:val="both"/>
      </w:pPr>
      <w:r>
        <w:rPr>
          <w:rFonts w:hint="eastAsia" w:ascii="Times New Roman" w:hAnsi="Times New Roman" w:eastAsia="宋体"/>
          <w:b w:val="0"/>
          <w:sz w:val="21"/>
        </w:rPr>
        <w:t>[28]王克敏，王华杰，李栋栋，等.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管理世界，2018，34(12):</w:t>
      </w:r>
      <w:r>
        <w:rPr>
          <w:rFonts w:ascii="Times New Roman" w:hAnsi="Times New Roman" w:eastAsia="宋体"/>
          <w:b w:val="0"/>
          <w:sz w:val="21"/>
        </w:rPr>
        <w:t xml:space="preserve"> 120–132.</w:t>
      </w:r>
    </w:p>
    <w:p w14:paraId="467B76E7">
      <w:pPr>
        <w:spacing w:before="0" w:after="0" w:line="312" w:lineRule="auto"/>
        <w:ind w:firstLine="0"/>
        <w:jc w:val="both"/>
      </w:pPr>
      <w:r>
        <w:rPr>
          <w:rFonts w:hint="eastAsia" w:ascii="Times New Roman" w:hAnsi="Times New Roman" w:eastAsia="宋体"/>
          <w:b w:val="0"/>
          <w:sz w:val="21"/>
        </w:rPr>
        <w:t>[29]吴妍.</w:t>
      </w:r>
      <w:r>
        <w:rPr>
          <w:rFonts w:ascii="Times New Roman" w:hAnsi="Times New Roman" w:eastAsia="宋体"/>
          <w:b w:val="0"/>
          <w:sz w:val="21"/>
        </w:rPr>
        <w:t xml:space="preserve"> </w:t>
      </w:r>
      <w:r>
        <w:rPr>
          <w:rFonts w:hint="eastAsia" w:ascii="Times New Roman" w:hAnsi="Times New Roman" w:eastAsia="宋体"/>
          <w:b w:val="0"/>
          <w:sz w:val="21"/>
        </w:rPr>
        <w:t>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武汉：中南财经政法大学，2019.</w:t>
      </w:r>
    </w:p>
    <w:p w14:paraId="02E269EC">
      <w:pPr>
        <w:spacing w:before="0" w:after="0" w:line="312" w:lineRule="auto"/>
        <w:ind w:firstLine="0"/>
        <w:jc w:val="both"/>
      </w:pPr>
      <w:r>
        <w:rPr>
          <w:rFonts w:hint="eastAsia" w:ascii="Times New Roman" w:hAnsi="Times New Roman" w:eastAsia="宋体"/>
          <w:b w:val="0"/>
          <w:sz w:val="21"/>
        </w:rPr>
        <w:t>[30]徐坤.</w:t>
      </w:r>
      <w:r>
        <w:rPr>
          <w:rFonts w:ascii="Times New Roman" w:hAnsi="Times New Roman" w:eastAsia="宋体"/>
          <w:b w:val="0"/>
          <w:sz w:val="21"/>
        </w:rPr>
        <w:t xml:space="preserve"> </w:t>
      </w:r>
      <w:r>
        <w:rPr>
          <w:rFonts w:hint="eastAsia" w:ascii="Times New Roman" w:hAnsi="Times New Roman" w:eastAsia="宋体"/>
          <w:b w:val="0"/>
          <w:sz w:val="21"/>
        </w:rPr>
        <w:t>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北京：北京交通大学，2021.</w:t>
      </w:r>
    </w:p>
    <w:p w14:paraId="04C4BAB5">
      <w:pPr>
        <w:spacing w:before="0" w:after="0" w:line="312" w:lineRule="auto"/>
        <w:ind w:firstLine="0"/>
        <w:jc w:val="both"/>
      </w:pPr>
      <w:r>
        <w:rPr>
          <w:rFonts w:hint="eastAsia" w:ascii="Times New Roman" w:hAnsi="Times New Roman" w:eastAsia="宋体"/>
          <w:b w:val="0"/>
          <w:sz w:val="21"/>
        </w:rPr>
        <w:t>[31]章海浪.</w:t>
      </w:r>
      <w:r>
        <w:rPr>
          <w:rFonts w:ascii="Times New Roman" w:hAnsi="Times New Roman" w:eastAsia="宋体"/>
          <w:b w:val="0"/>
          <w:sz w:val="21"/>
        </w:rPr>
        <w:t xml:space="preserve"> </w:t>
      </w:r>
      <w:r>
        <w:rPr>
          <w:rFonts w:hint="eastAsia" w:ascii="Times New Roman" w:hAnsi="Times New Roman" w:eastAsia="宋体"/>
          <w:b w:val="0"/>
          <w:sz w:val="21"/>
        </w:rPr>
        <w:t>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杭州：浙江工商大学，2021.</w:t>
      </w:r>
    </w:p>
    <w:p w14:paraId="0672C4D6">
      <w:pPr>
        <w:spacing w:before="0" w:after="0" w:line="312" w:lineRule="auto"/>
        <w:ind w:firstLine="0"/>
        <w:jc w:val="both"/>
      </w:pPr>
      <w:r>
        <w:rPr>
          <w:rFonts w:hint="eastAsia" w:ascii="Times New Roman" w:hAnsi="Times New Roman" w:eastAsia="宋体"/>
          <w:b w:val="0"/>
          <w:sz w:val="21"/>
        </w:rPr>
        <w:t>[32]张莉莉.</w:t>
      </w:r>
      <w:r>
        <w:rPr>
          <w:rFonts w:ascii="Times New Roman" w:hAnsi="Times New Roman" w:eastAsia="宋体"/>
          <w:b w:val="0"/>
          <w:sz w:val="21"/>
        </w:rPr>
        <w:t xml:space="preserve"> </w:t>
      </w:r>
      <w:r>
        <w:rPr>
          <w:rFonts w:hint="eastAsia" w:ascii="Times New Roman" w:hAnsi="Times New Roman" w:eastAsia="宋体"/>
          <w:b w:val="0"/>
          <w:sz w:val="21"/>
        </w:rPr>
        <w:t>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湘潭：湖南科技大学，2019.</w:t>
      </w:r>
    </w:p>
    <w:bookmarkEnd w:id="100"/>
    <w:p w14:paraId="1C9E731C">
      <w:pPr>
        <w:pStyle w:val="2"/>
        <w:pageBreakBefore/>
        <w:spacing w:before="0" w:after="0" w:line="312" w:lineRule="auto"/>
        <w:ind w:firstLine="0"/>
        <w:jc w:val="center"/>
      </w:pPr>
      <w:bookmarkStart w:id="103" w:name="_TocAuto0030"/>
      <w:r>
        <w:rPr>
          <w:rFonts w:hint="eastAsia" w:ascii="Times New Roman" w:hAnsi="Times New Roman" w:eastAsia="黑体"/>
          <w:b/>
          <w:sz w:val="32"/>
        </w:rPr>
        <w:t>致谢</w:t>
      </w:r>
      <w:bookmarkEnd w:id="103"/>
    </w:p>
    <w:p w14:paraId="11343917">
      <w:pPr>
        <w:spacing w:before="0" w:after="0" w:line="312" w:lineRule="auto"/>
        <w:ind w:firstLine="420"/>
        <w:jc w:val="both"/>
      </w:pPr>
      <w:r>
        <w:rPr>
          <w:rFonts w:hint="eastAsia" w:ascii="Times New Roman" w:hAnsi="Times New Roman" w:eastAsia="宋体"/>
          <w:b w:val="0"/>
          <w:sz w:val="21"/>
        </w:rPr>
        <w:t>在本论文写作过程中，感谢指导老师在选题、研究设计、实证分析和论文修改等方面给予的耐心指导，帮助我不断梳理论文逻辑、完善研究边界，也使我对实证研究的规范性有了更深入的理解。</w:t>
      </w:r>
    </w:p>
    <w:p w14:paraId="72FDCF1A">
      <w:pPr>
        <w:spacing w:before="0" w:after="0" w:line="312" w:lineRule="auto"/>
        <w:ind w:firstLine="420"/>
        <w:jc w:val="both"/>
      </w:pPr>
      <w:bookmarkStart w:id="104" w:name="_BodyEnd"/>
      <w:r>
        <w:rPr>
          <w:rFonts w:hint="eastAsia" w:ascii="Times New Roman" w:hAnsi="Times New Roman" w:eastAsia="宋体"/>
          <w:b w:val="0"/>
          <w:sz w:val="21"/>
        </w:rPr>
        <w:t>同时，感谢信息科学与技术学院各位老师在本科阶段的培养，感谢同学和家人在资料查找、论文排版和写作调整过程中给予的支持与鼓励。由于本人学术能力和研究经验有限，论文难免存在不足，恳请各位老师批评指正。</w:t>
      </w:r>
      <w:bookmarkEnd w:id="104"/>
    </w:p>
    <w:bookmarkEnd w:id="102"/>
    <w:sectPr>
      <w:headerReference r:id="rId7" w:type="default"/>
      <w:footerReference r:id="rId8" w:type="default"/>
      <w:pgSz w:w="11906" w:h="16838"/>
      <w:pgMar w:top="1134" w:right="1134" w:bottom="1134" w:left="1701" w:header="737" w:footer="624" w:gutter="0"/>
      <w:pgNumType w:start="1"/>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KaiTi">
    <w:altName w:val="汉仪楷体KW"/>
    <w:panose1 w:val="00000000000000000000"/>
    <w:charset w:val="00"/>
    <w:family w:val="auto"/>
    <w:pitch w:val="default"/>
    <w:sig w:usb0="00000000" w:usb1="00000000" w:usb2="00000000" w:usb3="00000000" w:csb0="00000000" w:csb1="00000000"/>
  </w:font>
  <w:font w:name="楷体_GB2312">
    <w:altName w:val="汉仪楷体简"/>
    <w:panose1 w:val="00000000000000000000"/>
    <w:charset w:val="86"/>
    <w:family w:val="modern"/>
    <w:pitch w:val="default"/>
    <w:sig w:usb0="00000000" w:usb1="00000000" w:usb2="00000010"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 w:name="PingFang MO Regular">
    <w:panose1 w:val="020B0400000000000000"/>
    <w:charset w:val="88"/>
    <w:family w:val="auto"/>
    <w:pitch w:val="default"/>
    <w:sig w:usb0="A00002FF" w:usb1="7ACFFDFB" w:usb2="00000017" w:usb3="00000000" w:csb0="00100001" w:csb1="00000000"/>
  </w:font>
  <w:font w:name="楷体">
    <w:altName w:val="汉仪楷体KW"/>
    <w:panose1 w:val="00000000000000000000"/>
    <w:charset w:val="00"/>
    <w:family w:val="auto"/>
    <w:pitch w:val="default"/>
    <w:sig w:usb0="00000000" w:usb1="00000000" w:usb2="00000000" w:usb3="00000000" w:csb0="00000000" w:csb1="00000000"/>
  </w:font>
  <w:font w:name="Kaiti SC Regular">
    <w:panose1 w:val="02010600040101010101"/>
    <w:charset w:val="86"/>
    <w:family w:val="auto"/>
    <w:pitch w:val="default"/>
    <w:sig w:usb0="80000287" w:usb1="280F3C52" w:usb2="00000016" w:usb3="00000000" w:csb0="0004001F" w:csb1="00000000"/>
  </w:font>
  <w:font w:name="Times New Roman Regular">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6CC4A">
    <w:pPr>
      <w:pStyle w:val="10"/>
      <w:framePr w:wrap="around" w:vAnchor="text" w:hAnchor="margin" w:xAlign="center" w:y="1"/>
      <w:rPr>
        <w:rStyle w:val="20"/>
      </w:rPr>
    </w:pPr>
    <w:r>
      <w:rPr>
        <w:rStyle w:val="20"/>
      </w:rPr>
      <w:fldChar w:fldCharType="begin"/>
    </w:r>
    <w:r>
      <w:rPr>
        <w:rStyle w:val="20"/>
      </w:rPr>
      <w:instrText xml:space="preserve">PAGE  </w:instrText>
    </w:r>
    <w:r>
      <w:rPr>
        <w:rStyle w:val="20"/>
      </w:rPr>
      <w:fldChar w:fldCharType="end"/>
    </w:r>
  </w:p>
  <w:p w14:paraId="0656F0B4">
    <w:pPr>
      <w:pStyle w:val="10"/>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590482">
    <w:pPr>
      <w:pStyle w:val="10"/>
      <w:jc w:val="center"/>
      <w:rPr>
        <w:lang w:val="zh-CN"/>
      </w:rPr>
    </w:pPr>
    <w:r>
      <w:rPr>
        <w:rFonts w:hint="eastAsia"/>
        <w:lang w:val="zh-CN"/>
      </w:rPr>
      <w:t>第</w:t>
    </w:r>
    <w:r>
      <w:rPr>
        <w:lang w:val="zh-CN"/>
      </w:rPr>
      <w:fldChar w:fldCharType="begin"/>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C5A38">
    <w:pPr>
      <w:pStyle w:val="11"/>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73FDC">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摘 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7D744">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目 录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77CE9">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论文正文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DFF3C37"/>
    <w:rsid w:val="6E0A0F91"/>
    <w:rsid w:val="70A1003A"/>
    <w:rsid w:val="7AFF84A3"/>
    <w:rsid w:val="EF933AE5"/>
    <w:rsid w:val="F4AF61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6"/>
    <w:autoRedefine/>
    <w:qFormat/>
    <w:uiPriority w:val="0"/>
    <w:pPr>
      <w:keepNext/>
      <w:keepLines/>
      <w:jc w:val="center"/>
      <w:outlineLvl w:val="0"/>
    </w:pPr>
    <w:rPr>
      <w:rFonts w:eastAsia="黑体"/>
      <w:bCs/>
      <w:kern w:val="44"/>
      <w:sz w:val="32"/>
      <w:szCs w:val="44"/>
    </w:rPr>
  </w:style>
  <w:style w:type="paragraph" w:styleId="3">
    <w:name w:val="heading 2"/>
    <w:basedOn w:val="1"/>
    <w:next w:val="1"/>
    <w:unhideWhenUsed/>
    <w:qFormat/>
    <w:uiPriority w:val="0"/>
    <w:pPr>
      <w:keepNext/>
      <w:keepLines/>
      <w:spacing w:line="312" w:lineRule="auto"/>
      <w:outlineLvl w:val="1"/>
    </w:pPr>
    <w:rPr>
      <w:rFonts w:eastAsia="黑体"/>
      <w:sz w:val="28"/>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4">
    <w:name w:val="annotation text"/>
    <w:basedOn w:val="1"/>
    <w:qFormat/>
    <w:uiPriority w:val="0"/>
    <w:pPr>
      <w:jc w:val="left"/>
    </w:pPr>
  </w:style>
  <w:style w:type="paragraph" w:styleId="5">
    <w:name w:val="Body Text 3"/>
    <w:basedOn w:val="1"/>
    <w:link w:val="25"/>
    <w:qFormat/>
    <w:uiPriority w:val="0"/>
    <w:pPr>
      <w:spacing w:after="120"/>
    </w:pPr>
    <w:rPr>
      <w:sz w:val="16"/>
      <w:szCs w:val="16"/>
    </w:rPr>
  </w:style>
  <w:style w:type="paragraph" w:styleId="6">
    <w:name w:val="Body Text"/>
    <w:basedOn w:val="1"/>
    <w:qFormat/>
    <w:uiPriority w:val="0"/>
    <w:pPr>
      <w:jc w:val="center"/>
    </w:pPr>
    <w:rPr>
      <w:b/>
      <w:sz w:val="28"/>
      <w:szCs w:val="28"/>
    </w:rPr>
  </w:style>
  <w:style w:type="paragraph" w:styleId="7">
    <w:name w:val="Body Text Indent"/>
    <w:basedOn w:val="1"/>
    <w:autoRedefine/>
    <w:qFormat/>
    <w:uiPriority w:val="0"/>
    <w:pPr>
      <w:widowControl/>
      <w:spacing w:line="360" w:lineRule="auto"/>
      <w:ind w:firstLine="435"/>
    </w:pPr>
    <w:rPr>
      <w:kern w:val="0"/>
      <w:sz w:val="24"/>
      <w:szCs w:val="20"/>
    </w:rPr>
  </w:style>
  <w:style w:type="paragraph" w:styleId="8">
    <w:name w:val="toc 3"/>
    <w:basedOn w:val="1"/>
    <w:next w:val="1"/>
    <w:autoRedefine/>
    <w:qFormat/>
    <w:uiPriority w:val="39"/>
    <w:pPr>
      <w:spacing w:before="0" w:after="0" w:line="312" w:lineRule="auto"/>
      <w:ind w:left="840" w:leftChars="400" w:firstLine="0"/>
    </w:pPr>
    <w:rPr>
      <w:rFonts w:ascii="Times New Roman" w:hAnsi="Times New Roman" w:eastAsia="宋体"/>
      <w:sz w:val="21"/>
    </w:rPr>
  </w:style>
  <w:style w:type="paragraph" w:styleId="9">
    <w:name w:val="Date"/>
    <w:basedOn w:val="1"/>
    <w:next w:val="1"/>
    <w:autoRedefine/>
    <w:qFormat/>
    <w:uiPriority w:val="0"/>
    <w:pPr>
      <w:ind w:left="100" w:leftChars="2500"/>
    </w:pPr>
    <w:rPr>
      <w:rFonts w:ascii="宋体" w:hAnsi="宋体"/>
      <w:sz w:val="24"/>
    </w:rPr>
  </w:style>
  <w:style w:type="paragraph" w:styleId="10">
    <w:name w:val="footer"/>
    <w:basedOn w:val="1"/>
    <w:link w:val="24"/>
    <w:qFormat/>
    <w:uiPriority w:val="0"/>
    <w:pPr>
      <w:tabs>
        <w:tab w:val="center" w:pos="4153"/>
        <w:tab w:val="right" w:pos="8306"/>
      </w:tabs>
      <w:snapToGrid w:val="0"/>
      <w:jc w:val="left"/>
    </w:pPr>
    <w:rPr>
      <w:sz w:val="18"/>
      <w:szCs w:val="18"/>
    </w:rPr>
  </w:style>
  <w:style w:type="paragraph" w:styleId="11">
    <w:name w:val="header"/>
    <w:basedOn w:val="1"/>
    <w:link w:val="23"/>
    <w:autoRedefine/>
    <w:qFormat/>
    <w:uiPriority w:val="0"/>
    <w:pPr>
      <w:pBdr>
        <w:bottom w:val="single" w:color="auto" w:sz="6" w:space="1"/>
      </w:pBdr>
      <w:tabs>
        <w:tab w:val="center" w:pos="4153"/>
        <w:tab w:val="right" w:pos="8306"/>
      </w:tabs>
      <w:snapToGrid w:val="0"/>
      <w:jc w:val="center"/>
    </w:pPr>
    <w:rPr>
      <w:sz w:val="18"/>
      <w:szCs w:val="18"/>
    </w:rPr>
  </w:style>
  <w:style w:type="paragraph" w:styleId="12">
    <w:name w:val="toc 1"/>
    <w:basedOn w:val="1"/>
    <w:next w:val="1"/>
    <w:autoRedefine/>
    <w:qFormat/>
    <w:uiPriority w:val="39"/>
    <w:pPr>
      <w:tabs>
        <w:tab w:val="right" w:leader="dot" w:pos="9061"/>
      </w:tabs>
      <w:spacing w:before="0" w:after="0" w:line="312" w:lineRule="auto"/>
      <w:ind w:left="0" w:firstLine="0"/>
    </w:pPr>
    <w:rPr>
      <w:rFonts w:ascii="Times New Roman" w:hAnsi="Times New Roman" w:eastAsia="宋体"/>
      <w:sz w:val="21"/>
    </w:rPr>
  </w:style>
  <w:style w:type="paragraph" w:styleId="13">
    <w:name w:val="Subtitle"/>
    <w:basedOn w:val="1"/>
    <w:next w:val="1"/>
    <w:link w:val="27"/>
    <w:autoRedefine/>
    <w:uiPriority w:val="0"/>
    <w:pPr>
      <w:outlineLvl w:val="1"/>
    </w:pPr>
    <w:rPr>
      <w:rFonts w:ascii="Calibri Light" w:hAnsi="Calibri Light" w:eastAsia="黑体"/>
      <w:bCs/>
      <w:kern w:val="28"/>
      <w:sz w:val="28"/>
      <w:szCs w:val="32"/>
    </w:rPr>
  </w:style>
  <w:style w:type="paragraph" w:styleId="14">
    <w:name w:val="toc 2"/>
    <w:basedOn w:val="1"/>
    <w:next w:val="1"/>
    <w:autoRedefine/>
    <w:qFormat/>
    <w:uiPriority w:val="39"/>
    <w:pPr>
      <w:tabs>
        <w:tab w:val="right" w:leader="dot" w:pos="9061"/>
      </w:tabs>
      <w:spacing w:before="0" w:after="0" w:line="312" w:lineRule="auto"/>
      <w:ind w:left="420" w:leftChars="200" w:firstLine="0"/>
    </w:pPr>
    <w:rPr>
      <w:rFonts w:ascii="Times New Roman" w:hAnsi="Times New Roman" w:eastAsia="宋体"/>
      <w:sz w:val="21"/>
    </w:rPr>
  </w:style>
  <w:style w:type="paragraph" w:styleId="15">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bCs/>
    </w:rPr>
  </w:style>
  <w:style w:type="character" w:styleId="20">
    <w:name w:val="page number"/>
    <w:uiPriority w:val="0"/>
  </w:style>
  <w:style w:type="character" w:styleId="21">
    <w:name w:val="Emphasis"/>
    <w:basedOn w:val="18"/>
    <w:qFormat/>
    <w:uiPriority w:val="0"/>
    <w:rPr>
      <w:i/>
      <w:iCs/>
    </w:rPr>
  </w:style>
  <w:style w:type="character" w:styleId="22">
    <w:name w:val="Hyperlink"/>
    <w:autoRedefine/>
    <w:unhideWhenUsed/>
    <w:qFormat/>
    <w:uiPriority w:val="99"/>
    <w:rPr>
      <w:color w:val="0000FF"/>
      <w:u w:val="single"/>
    </w:rPr>
  </w:style>
  <w:style w:type="character" w:customStyle="1" w:styleId="23">
    <w:name w:val="页眉 字符"/>
    <w:link w:val="11"/>
    <w:uiPriority w:val="99"/>
    <w:rPr>
      <w:kern w:val="2"/>
      <w:sz w:val="18"/>
      <w:szCs w:val="18"/>
    </w:rPr>
  </w:style>
  <w:style w:type="character" w:customStyle="1" w:styleId="24">
    <w:name w:val="页脚 字符"/>
    <w:link w:val="10"/>
    <w:autoRedefine/>
    <w:qFormat/>
    <w:uiPriority w:val="99"/>
    <w:rPr>
      <w:kern w:val="2"/>
      <w:sz w:val="18"/>
      <w:szCs w:val="18"/>
    </w:rPr>
  </w:style>
  <w:style w:type="character" w:customStyle="1" w:styleId="25">
    <w:name w:val="正文文本 3 字符"/>
    <w:link w:val="5"/>
    <w:autoRedefine/>
    <w:qFormat/>
    <w:uiPriority w:val="0"/>
    <w:rPr>
      <w:kern w:val="2"/>
      <w:sz w:val="16"/>
      <w:szCs w:val="16"/>
    </w:rPr>
  </w:style>
  <w:style w:type="character" w:customStyle="1" w:styleId="26">
    <w:name w:val="标题 1 字符"/>
    <w:link w:val="2"/>
    <w:autoRedefine/>
    <w:qFormat/>
    <w:uiPriority w:val="0"/>
    <w:rPr>
      <w:rFonts w:eastAsia="黑体"/>
      <w:bCs/>
      <w:kern w:val="44"/>
      <w:sz w:val="32"/>
      <w:szCs w:val="44"/>
    </w:rPr>
  </w:style>
  <w:style w:type="character" w:customStyle="1" w:styleId="27">
    <w:name w:val="副标题 字符"/>
    <w:link w:val="13"/>
    <w:autoRedefine/>
    <w:qFormat/>
    <w:uiPriority w:val="0"/>
    <w:rPr>
      <w:rFonts w:ascii="Calibri Light" w:hAnsi="Calibri Light" w:eastAsia="黑体"/>
      <w:bCs/>
      <w:kern w:val="28"/>
      <w:sz w:val="28"/>
      <w:szCs w:val="32"/>
    </w:rPr>
  </w:style>
  <w:style w:type="paragraph" w:customStyle="1" w:styleId="28">
    <w:name w:val="标题3"/>
    <w:basedOn w:val="1"/>
    <w:link w:val="29"/>
    <w:autoRedefine/>
    <w:qFormat/>
    <w:uiPriority w:val="0"/>
    <w:pPr>
      <w:spacing w:line="312" w:lineRule="auto"/>
      <w:ind w:firstLine="480" w:firstLineChars="200"/>
      <w:outlineLvl w:val="2"/>
    </w:pPr>
    <w:rPr>
      <w:sz w:val="24"/>
      <w:szCs w:val="21"/>
    </w:rPr>
  </w:style>
  <w:style w:type="character" w:customStyle="1" w:styleId="29">
    <w:name w:val="标题3 Char"/>
    <w:link w:val="28"/>
    <w:autoRedefine/>
    <w:qFormat/>
    <w:uiPriority w:val="0"/>
    <w:rPr>
      <w:kern w:val="2"/>
      <w:sz w:val="24"/>
      <w:szCs w:val="21"/>
    </w:rPr>
  </w:style>
  <w:style w:type="paragraph" w:styleId="30">
    <w:name w:val="List Paragraph"/>
    <w:basedOn w:val="1"/>
    <w:uiPriority w:val="99"/>
    <w:pPr>
      <w:ind w:firstLine="420" w:firstLineChars="200"/>
    </w:pPr>
  </w:style>
  <w:style w:type="character" w:customStyle="1" w:styleId="31">
    <w:name w:val="未处理的提及1"/>
    <w:basedOn w:val="18"/>
    <w:semiHidden/>
    <w:unhideWhenUsed/>
    <w:qFormat/>
    <w:uiPriority w:val="99"/>
    <w:rPr>
      <w:color w:val="605E5C"/>
      <w:shd w:val="clear" w:color="auto" w:fill="E1DFDD"/>
    </w:rPr>
  </w:style>
  <w:style w:type="character" w:customStyle="1" w:styleId="32">
    <w:name w:val="Subtle Emphasis"/>
    <w:basedOn w:val="18"/>
    <w:qFormat/>
    <w:uiPriority w:val="19"/>
    <w:rPr>
      <w:i/>
      <w:iCs/>
      <w:color w:val="404040" w:themeColor="text1" w:themeTint="BF"/>
      <w14:textFill>
        <w14:solidFill>
          <w14:schemeClr w14:val="tx1">
            <w14:lumMod w14:val="75000"/>
            <w14:lumOff w14:val="25000"/>
          </w14:schemeClr>
        </w14:solidFill>
      </w14:textFill>
    </w:rPr>
  </w:style>
  <w:style w:type="character" w:customStyle="1" w:styleId="33">
    <w:name w:val="Intense Emphasis"/>
    <w:basedOn w:val="18"/>
    <w:qFormat/>
    <w:uiPriority w:val="21"/>
    <w:rPr>
      <w:i/>
      <w:iCs/>
      <w:color w:val="5B9BD5" w:themeColor="accent1"/>
      <w14:textFill>
        <w14:solidFill>
          <w14:schemeClr w14:val="accent1"/>
        </w14:solidFill>
      </w14:textFill>
    </w:rPr>
  </w:style>
  <w:style w:type="character" w:customStyle="1" w:styleId="34">
    <w:name w:val="Subtle Reference"/>
    <w:basedOn w:val="18"/>
    <w:qFormat/>
    <w:uiPriority w:val="31"/>
    <w:rPr>
      <w:smallCaps/>
      <w:color w:val="595959" w:themeColor="text1" w:themeTint="A6"/>
      <w14:textFill>
        <w14:solidFill>
          <w14:schemeClr w14:val="tx1">
            <w14:lumMod w14:val="65000"/>
            <w14:lumOff w14:val="35000"/>
          </w14:schemeClr>
        </w14:solidFill>
      </w14:textFill>
    </w:rPr>
  </w:style>
  <w:style w:type="paragraph" w:customStyle="1" w:styleId="35">
    <w:name w:val="TOC Heading"/>
    <w:basedOn w:val="2"/>
    <w:next w:val="1"/>
    <w:unhideWhenUsed/>
    <w:qFormat/>
    <w:uiPriority w:val="39"/>
    <w:pPr>
      <w:widowControl/>
      <w:spacing w:before="240" w:line="259" w:lineRule="auto"/>
      <w:jc w:val="left"/>
      <w:outlineLvl w:val="9"/>
    </w:pPr>
    <w:rPr>
      <w:rFonts w:asciiTheme="majorHAnsi" w:hAnsiTheme="majorHAnsi" w:eastAsiaTheme="majorEastAsia" w:cstheme="majorBidi"/>
      <w:bCs w:val="0"/>
      <w:color w:val="2E75B6" w:themeColor="accent1" w:themeShade="BF"/>
      <w:kern w:val="0"/>
      <w:szCs w:val="3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D5D405EC-500F-40F2-AB72-B7E7F0C85A24}">
  <ds:schemaRefs/>
</ds:datastoreItem>
</file>

<file path=docProps/app.xml><?xml version="1.0" encoding="utf-8"?>
<Properties xmlns="http://schemas.openxmlformats.org/officeDocument/2006/extended-properties" xmlns:vt="http://schemas.openxmlformats.org/officeDocument/2006/docPropsVTypes">
  <Template>Normal.dotm</Template>
  <Company>zsb</Company>
  <Pages>45</Pages>
  <Words>827</Words>
  <Characters>4717</Characters>
  <Lines>39</Lines>
  <Paragraphs>11</Paragraphs>
  <TotalTime>2</TotalTime>
  <ScaleCrop>false</ScaleCrop>
  <LinksUpToDate>false</LinksUpToDate>
  <CharactersWithSpaces>5533</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2021-08-17T11:52:00Z</dcterms:created>
  <dc:creator>lml</dc:creator>
  <cp:lastModifiedBy>PXY</cp:lastModifiedBy>
  <cp:lastPrinted>2009-10-22T14:19:00Z</cp:lastPrinted>
  <dcterms:modified xsi:type="dcterms:W3CDTF">2026-04-14T10:00:27Z</dcterms:modified>
  <dc:title>附件1：       杭州师范学院本科生毕业论文（设计）工作计划表</dc:title>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4D02C594091B4764AE830A687BBD3875_12</vt:lpwstr>
  </property>
</Properties>
</file>