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20D3" w14:textId="77777777" w:rsidR="00DA2174" w:rsidRDefault="00000000">
      <w:pPr>
        <w:rPr>
          <w:b/>
          <w:bCs/>
        </w:rPr>
      </w:pPr>
      <w:r>
        <w:rPr>
          <w:rFonts w:hint="eastAsia"/>
          <w:sz w:val="24"/>
        </w:rPr>
        <w:t xml:space="preserve"> </w:t>
      </w:r>
    </w:p>
    <w:p w14:paraId="21C032DE" w14:textId="77777777" w:rsidR="00DA2174" w:rsidRDefault="00000000">
      <w:pPr>
        <w:rPr>
          <w:b/>
          <w:bCs/>
        </w:rPr>
      </w:pPr>
      <w:r>
        <w:rPr>
          <w:rFonts w:hint="eastAsia"/>
          <w:noProof/>
          <w:sz w:val="44"/>
        </w:rPr>
        <w:drawing>
          <wp:anchor distT="0" distB="0" distL="114300" distR="114300" simplePos="0" relativeHeight="251659264" behindDoc="0" locked="0" layoutInCell="1" allowOverlap="1" wp14:anchorId="296C1362" wp14:editId="32306640">
            <wp:simplePos x="0" y="0"/>
            <wp:positionH relativeFrom="column">
              <wp:posOffset>1104900</wp:posOffset>
            </wp:positionH>
            <wp:positionV relativeFrom="paragraph">
              <wp:posOffset>99060</wp:posOffset>
            </wp:positionV>
            <wp:extent cx="3547745" cy="771525"/>
            <wp:effectExtent l="0" t="0" r="0" b="0"/>
            <wp:wrapNone/>
            <wp:docPr id="14" name="图片 14"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杭州师范大学（含英文）4 拷贝"/>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547745" cy="771525"/>
                    </a:xfrm>
                    <a:prstGeom prst="rect">
                      <a:avLst/>
                    </a:prstGeom>
                    <a:noFill/>
                  </pic:spPr>
                </pic:pic>
              </a:graphicData>
            </a:graphic>
          </wp:anchor>
        </w:drawing>
      </w:r>
    </w:p>
    <w:p w14:paraId="656C3DEC" w14:textId="77777777" w:rsidR="00DA2174" w:rsidRDefault="00DA2174">
      <w:pPr>
        <w:rPr>
          <w:sz w:val="44"/>
        </w:rPr>
      </w:pPr>
    </w:p>
    <w:p w14:paraId="04906752" w14:textId="77777777" w:rsidR="00DA2174" w:rsidRDefault="00DA2174">
      <w:pPr>
        <w:spacing w:line="300" w:lineRule="exact"/>
        <w:rPr>
          <w:sz w:val="44"/>
        </w:rPr>
      </w:pPr>
    </w:p>
    <w:p w14:paraId="32D86D70" w14:textId="77777777" w:rsidR="00DA2174" w:rsidRDefault="00DA2174">
      <w:pPr>
        <w:jc w:val="center"/>
        <w:rPr>
          <w:rFonts w:eastAsia="黑体"/>
          <w:sz w:val="44"/>
        </w:rPr>
      </w:pPr>
    </w:p>
    <w:p w14:paraId="33EB2174" w14:textId="77777777" w:rsidR="00DA2174" w:rsidRDefault="00DA2174">
      <w:pPr>
        <w:jc w:val="center"/>
        <w:rPr>
          <w:rFonts w:eastAsia="黑体"/>
          <w:szCs w:val="21"/>
        </w:rPr>
      </w:pPr>
    </w:p>
    <w:p w14:paraId="5E6F28B8" w14:textId="77777777" w:rsidR="00DA2174" w:rsidRDefault="00000000">
      <w:pPr>
        <w:jc w:val="center"/>
        <w:rPr>
          <w:rFonts w:eastAsia="黑体"/>
          <w:sz w:val="60"/>
        </w:rPr>
      </w:pPr>
      <w:r>
        <w:rPr>
          <w:rFonts w:eastAsia="黑体" w:hint="eastAsia"/>
          <w:sz w:val="44"/>
        </w:rPr>
        <w:t>本科生毕业设计（论文）开题报告</w:t>
      </w:r>
    </w:p>
    <w:p w14:paraId="697A02EB" w14:textId="77777777" w:rsidR="00DA2174" w:rsidRDefault="00DA2174"/>
    <w:p w14:paraId="08CED6AE" w14:textId="77777777" w:rsidR="00DA2174" w:rsidRDefault="00DA2174"/>
    <w:p w14:paraId="020E7482" w14:textId="77777777" w:rsidR="00DA2174" w:rsidRDefault="00000000">
      <w:pPr>
        <w:jc w:val="center"/>
        <w:rPr>
          <w:rFonts w:eastAsia="楷体_GB2312"/>
          <w:b/>
          <w:sz w:val="32"/>
          <w:szCs w:val="32"/>
        </w:rPr>
      </w:pPr>
      <w:r>
        <w:rPr>
          <w:rFonts w:eastAsia="楷体_GB2312"/>
          <w:b/>
          <w:sz w:val="32"/>
          <w:szCs w:val="32"/>
        </w:rPr>
        <w:t>（</w:t>
      </w:r>
      <w:r>
        <w:rPr>
          <w:rFonts w:eastAsia="楷体_GB2312"/>
          <w:sz w:val="32"/>
          <w:szCs w:val="32"/>
          <w:u w:val="single"/>
        </w:rPr>
        <w:t xml:space="preserve"> 202</w:t>
      </w:r>
      <w:r>
        <w:rPr>
          <w:rFonts w:eastAsia="楷体_GB2312" w:hint="eastAsia"/>
          <w:sz w:val="32"/>
          <w:szCs w:val="32"/>
          <w:u w:val="single"/>
        </w:rPr>
        <w:t>6</w:t>
      </w:r>
      <w:r>
        <w:rPr>
          <w:rFonts w:eastAsia="楷体_GB2312"/>
          <w:b/>
          <w:sz w:val="32"/>
          <w:szCs w:val="32"/>
        </w:rPr>
        <w:t>届）</w:t>
      </w:r>
    </w:p>
    <w:p w14:paraId="7F98418A" w14:textId="77777777" w:rsidR="00DA2174" w:rsidRDefault="00DA2174">
      <w:pPr>
        <w:jc w:val="center"/>
        <w:rPr>
          <w:rFonts w:ascii="楷体_GB2312" w:eastAsia="楷体_GB2312"/>
          <w:b/>
          <w:sz w:val="32"/>
          <w:szCs w:val="32"/>
        </w:rPr>
      </w:pPr>
    </w:p>
    <w:p w14:paraId="0F1752AF" w14:textId="77777777" w:rsidR="00DA2174" w:rsidRDefault="00DA2174"/>
    <w:p w14:paraId="0CCBBE3F" w14:textId="77777777" w:rsidR="00DA2174" w:rsidRDefault="00DA2174"/>
    <w:tbl>
      <w:tblPr>
        <w:tblW w:w="8647" w:type="dxa"/>
        <w:jc w:val="center"/>
        <w:tblLook w:val="04A0" w:firstRow="1" w:lastRow="0" w:firstColumn="1" w:lastColumn="0" w:noHBand="0" w:noVBand="1"/>
      </w:tblPr>
      <w:tblGrid>
        <w:gridCol w:w="1523"/>
        <w:gridCol w:w="7124"/>
      </w:tblGrid>
      <w:tr w:rsidR="00DA2174" w14:paraId="757F0A64" w14:textId="77777777">
        <w:trPr>
          <w:trHeight w:val="573"/>
          <w:jc w:val="center"/>
        </w:trPr>
        <w:tc>
          <w:tcPr>
            <w:tcW w:w="1523" w:type="dxa"/>
            <w:vAlign w:val="center"/>
          </w:tcPr>
          <w:p w14:paraId="7F4E32FA" w14:textId="77777777" w:rsidR="00DA2174" w:rsidRDefault="00000000">
            <w:pPr>
              <w:jc w:val="center"/>
              <w:rPr>
                <w:rFonts w:ascii="黑体" w:eastAsia="黑体"/>
                <w:sz w:val="32"/>
                <w:szCs w:val="32"/>
              </w:rPr>
            </w:pPr>
            <w:r>
              <w:rPr>
                <w:rFonts w:ascii="黑体" w:eastAsia="黑体" w:hint="eastAsia"/>
                <w:sz w:val="32"/>
                <w:szCs w:val="32"/>
              </w:rPr>
              <w:t>论文题目</w:t>
            </w:r>
          </w:p>
        </w:tc>
        <w:tc>
          <w:tcPr>
            <w:tcW w:w="7124" w:type="dxa"/>
            <w:tcBorders>
              <w:bottom w:val="single" w:sz="4" w:space="0" w:color="auto"/>
            </w:tcBorders>
            <w:vAlign w:val="center"/>
          </w:tcPr>
          <w:p w14:paraId="76069495" w14:textId="77777777" w:rsidR="00DA2174" w:rsidRDefault="00000000">
            <w:pPr>
              <w:spacing w:line="380" w:lineRule="exact"/>
              <w:jc w:val="center"/>
              <w:rPr>
                <w:rFonts w:ascii="楷体" w:eastAsia="楷体" w:hAnsi="楷体" w:hint="eastAsia"/>
                <w:sz w:val="28"/>
                <w:szCs w:val="28"/>
              </w:rPr>
            </w:pPr>
            <w:r>
              <w:rPr>
                <w:rFonts w:ascii="楷体" w:eastAsia="楷体" w:hAnsi="楷体" w:hint="eastAsia"/>
                <w:sz w:val="28"/>
                <w:szCs w:val="28"/>
              </w:rPr>
              <w:t>基于数据挖掘的上市公司财政补贴与高管超额薪酬研究</w:t>
            </w:r>
          </w:p>
        </w:tc>
      </w:tr>
      <w:tr w:rsidR="00DA2174" w14:paraId="7F91214E" w14:textId="77777777">
        <w:trPr>
          <w:trHeight w:val="573"/>
          <w:jc w:val="center"/>
        </w:trPr>
        <w:tc>
          <w:tcPr>
            <w:tcW w:w="1523" w:type="dxa"/>
            <w:vAlign w:val="center"/>
          </w:tcPr>
          <w:p w14:paraId="25BE9EAF" w14:textId="77777777" w:rsidR="00DA2174" w:rsidRDefault="00DA2174">
            <w:pPr>
              <w:jc w:val="center"/>
              <w:rPr>
                <w:rFonts w:ascii="黑体" w:eastAsia="黑体"/>
                <w:sz w:val="32"/>
                <w:szCs w:val="32"/>
              </w:rPr>
            </w:pPr>
          </w:p>
        </w:tc>
        <w:tc>
          <w:tcPr>
            <w:tcW w:w="7124" w:type="dxa"/>
            <w:tcBorders>
              <w:top w:val="single" w:sz="4" w:space="0" w:color="auto"/>
              <w:left w:val="nil"/>
              <w:bottom w:val="single" w:sz="4" w:space="0" w:color="auto"/>
              <w:right w:val="nil"/>
            </w:tcBorders>
            <w:vAlign w:val="center"/>
          </w:tcPr>
          <w:p w14:paraId="1CDA58E6" w14:textId="77777777" w:rsidR="00DA2174" w:rsidRDefault="00DA2174">
            <w:pPr>
              <w:spacing w:line="380" w:lineRule="exact"/>
              <w:jc w:val="center"/>
              <w:rPr>
                <w:rFonts w:ascii="楷体" w:eastAsia="楷体" w:hAnsi="楷体" w:hint="eastAsia"/>
                <w:sz w:val="28"/>
                <w:szCs w:val="28"/>
              </w:rPr>
            </w:pPr>
          </w:p>
        </w:tc>
      </w:tr>
    </w:tbl>
    <w:p w14:paraId="7DB79E8D" w14:textId="77777777" w:rsidR="00DA2174" w:rsidRDefault="00DA2174">
      <w:pPr>
        <w:spacing w:line="360" w:lineRule="auto"/>
        <w:ind w:firstLineChars="400" w:firstLine="1280"/>
        <w:rPr>
          <w:sz w:val="32"/>
        </w:rPr>
      </w:pPr>
    </w:p>
    <w:p w14:paraId="084A72C0" w14:textId="77777777" w:rsidR="00DA2174" w:rsidRDefault="00DA2174">
      <w:pPr>
        <w:spacing w:line="360" w:lineRule="auto"/>
        <w:ind w:firstLineChars="400" w:firstLine="1280"/>
        <w:rPr>
          <w:sz w:val="32"/>
        </w:rPr>
      </w:pPr>
    </w:p>
    <w:tbl>
      <w:tblPr>
        <w:tblW w:w="0" w:type="auto"/>
        <w:jc w:val="center"/>
        <w:tblLook w:val="04A0" w:firstRow="1" w:lastRow="0" w:firstColumn="1" w:lastColumn="0" w:noHBand="0" w:noVBand="1"/>
      </w:tblPr>
      <w:tblGrid>
        <w:gridCol w:w="1502"/>
        <w:gridCol w:w="3743"/>
        <w:gridCol w:w="992"/>
        <w:gridCol w:w="2462"/>
      </w:tblGrid>
      <w:tr w:rsidR="00DA2174" w14:paraId="7746161A" w14:textId="77777777">
        <w:trPr>
          <w:trHeight w:val="694"/>
          <w:jc w:val="center"/>
        </w:trPr>
        <w:tc>
          <w:tcPr>
            <w:tcW w:w="1502" w:type="dxa"/>
            <w:vAlign w:val="bottom"/>
          </w:tcPr>
          <w:p w14:paraId="2B20D60A" w14:textId="77777777" w:rsidR="00DA2174" w:rsidRDefault="00000000">
            <w:pPr>
              <w:jc w:val="distribute"/>
              <w:rPr>
                <w:rFonts w:ascii="黑体" w:eastAsia="黑体"/>
                <w:sz w:val="32"/>
                <w:szCs w:val="32"/>
              </w:rPr>
            </w:pPr>
            <w:r>
              <w:rPr>
                <w:rFonts w:ascii="黑体" w:eastAsia="黑体" w:hint="eastAsia"/>
                <w:sz w:val="32"/>
                <w:szCs w:val="32"/>
              </w:rPr>
              <w:t>学生姓名</w:t>
            </w:r>
          </w:p>
        </w:tc>
        <w:tc>
          <w:tcPr>
            <w:tcW w:w="3743" w:type="dxa"/>
            <w:tcBorders>
              <w:top w:val="nil"/>
              <w:left w:val="nil"/>
              <w:bottom w:val="single" w:sz="4" w:space="0" w:color="auto"/>
              <w:right w:val="nil"/>
            </w:tcBorders>
            <w:vAlign w:val="center"/>
          </w:tcPr>
          <w:p w14:paraId="25C01081" w14:textId="77777777" w:rsidR="00DA2174" w:rsidRDefault="00000000">
            <w:pPr>
              <w:spacing w:line="380" w:lineRule="exact"/>
              <w:jc w:val="center"/>
              <w:rPr>
                <w:rFonts w:ascii="楷体" w:eastAsia="楷体" w:hAnsi="楷体" w:hint="eastAsia"/>
                <w:sz w:val="24"/>
              </w:rPr>
            </w:pPr>
            <w:r>
              <w:rPr>
                <w:rFonts w:ascii="楷体" w:eastAsia="楷体" w:hAnsi="楷体" w:hint="eastAsia"/>
                <w:sz w:val="24"/>
              </w:rPr>
              <w:t>彭晓俞</w:t>
            </w:r>
          </w:p>
        </w:tc>
        <w:tc>
          <w:tcPr>
            <w:tcW w:w="992" w:type="dxa"/>
            <w:vAlign w:val="bottom"/>
          </w:tcPr>
          <w:p w14:paraId="5445FAA8" w14:textId="77777777" w:rsidR="00DA2174" w:rsidRDefault="00000000">
            <w:pPr>
              <w:jc w:val="distribute"/>
              <w:rPr>
                <w:rFonts w:ascii="黑体" w:eastAsia="黑体"/>
                <w:sz w:val="32"/>
                <w:szCs w:val="32"/>
              </w:rPr>
            </w:pPr>
            <w:r>
              <w:rPr>
                <w:rFonts w:ascii="黑体" w:eastAsia="黑体" w:hint="eastAsia"/>
                <w:sz w:val="32"/>
                <w:szCs w:val="32"/>
              </w:rPr>
              <w:t>学号</w:t>
            </w:r>
          </w:p>
        </w:tc>
        <w:tc>
          <w:tcPr>
            <w:tcW w:w="2462" w:type="dxa"/>
            <w:tcBorders>
              <w:top w:val="nil"/>
              <w:left w:val="nil"/>
              <w:bottom w:val="single" w:sz="4" w:space="0" w:color="auto"/>
              <w:right w:val="nil"/>
            </w:tcBorders>
            <w:vAlign w:val="center"/>
          </w:tcPr>
          <w:p w14:paraId="1BADD80C" w14:textId="77777777" w:rsidR="00DA2174" w:rsidRDefault="00000000">
            <w:pPr>
              <w:spacing w:line="380" w:lineRule="exact"/>
              <w:jc w:val="center"/>
              <w:rPr>
                <w:rFonts w:ascii="楷体" w:eastAsia="楷体" w:hAnsi="楷体" w:hint="eastAsia"/>
                <w:sz w:val="24"/>
              </w:rPr>
            </w:pPr>
            <w:r>
              <w:rPr>
                <w:rFonts w:ascii="楷体" w:eastAsia="楷体" w:hAnsi="楷体" w:hint="eastAsia"/>
                <w:sz w:val="24"/>
              </w:rPr>
              <w:t>2022212208011</w:t>
            </w:r>
          </w:p>
        </w:tc>
      </w:tr>
      <w:tr w:rsidR="00DA2174" w14:paraId="3C91C4BB" w14:textId="77777777">
        <w:trPr>
          <w:trHeight w:val="766"/>
          <w:jc w:val="center"/>
        </w:trPr>
        <w:tc>
          <w:tcPr>
            <w:tcW w:w="1502" w:type="dxa"/>
            <w:vAlign w:val="bottom"/>
          </w:tcPr>
          <w:p w14:paraId="56CAEA2A" w14:textId="77777777" w:rsidR="00DA2174" w:rsidRDefault="00000000">
            <w:pPr>
              <w:jc w:val="distribute"/>
              <w:rPr>
                <w:rFonts w:ascii="黑体" w:eastAsia="黑体"/>
                <w:sz w:val="32"/>
                <w:szCs w:val="32"/>
              </w:rPr>
            </w:pPr>
            <w:r>
              <w:rPr>
                <w:rFonts w:ascii="黑体" w:eastAsia="黑体" w:hint="eastAsia"/>
                <w:sz w:val="32"/>
                <w:szCs w:val="32"/>
              </w:rPr>
              <w:t>专业</w:t>
            </w:r>
          </w:p>
        </w:tc>
        <w:tc>
          <w:tcPr>
            <w:tcW w:w="3743" w:type="dxa"/>
            <w:tcBorders>
              <w:top w:val="single" w:sz="4" w:space="0" w:color="auto"/>
              <w:left w:val="nil"/>
              <w:bottom w:val="single" w:sz="4" w:space="0" w:color="auto"/>
              <w:right w:val="nil"/>
            </w:tcBorders>
            <w:vAlign w:val="center"/>
          </w:tcPr>
          <w:p w14:paraId="41863DE0" w14:textId="77777777" w:rsidR="00DA2174" w:rsidRDefault="00000000">
            <w:pPr>
              <w:spacing w:line="380" w:lineRule="exact"/>
              <w:jc w:val="center"/>
              <w:rPr>
                <w:rFonts w:ascii="楷体" w:eastAsia="楷体" w:hAnsi="楷体" w:hint="eastAsia"/>
                <w:sz w:val="24"/>
              </w:rPr>
            </w:pPr>
            <w:r>
              <w:rPr>
                <w:rFonts w:ascii="楷体" w:eastAsia="楷体" w:hAnsi="楷体" w:hint="eastAsia"/>
                <w:sz w:val="24"/>
              </w:rPr>
              <w:t>计算机科学与技术（金融信息服务）</w:t>
            </w:r>
          </w:p>
        </w:tc>
        <w:tc>
          <w:tcPr>
            <w:tcW w:w="992" w:type="dxa"/>
            <w:vAlign w:val="bottom"/>
          </w:tcPr>
          <w:p w14:paraId="56009470" w14:textId="77777777" w:rsidR="00DA2174" w:rsidRDefault="00000000">
            <w:pPr>
              <w:jc w:val="distribute"/>
              <w:rPr>
                <w:rFonts w:ascii="黑体" w:eastAsia="黑体"/>
                <w:sz w:val="32"/>
                <w:szCs w:val="32"/>
              </w:rPr>
            </w:pPr>
            <w:r>
              <w:rPr>
                <w:rFonts w:ascii="黑体" w:eastAsia="黑体" w:hint="eastAsia"/>
                <w:sz w:val="32"/>
                <w:szCs w:val="32"/>
              </w:rPr>
              <w:t>班级</w:t>
            </w:r>
          </w:p>
        </w:tc>
        <w:tc>
          <w:tcPr>
            <w:tcW w:w="2462" w:type="dxa"/>
            <w:tcBorders>
              <w:top w:val="single" w:sz="4" w:space="0" w:color="auto"/>
              <w:left w:val="nil"/>
              <w:bottom w:val="single" w:sz="4" w:space="0" w:color="auto"/>
              <w:right w:val="nil"/>
            </w:tcBorders>
            <w:vAlign w:val="center"/>
          </w:tcPr>
          <w:p w14:paraId="6F4B7343" w14:textId="77777777" w:rsidR="00DA2174" w:rsidRDefault="00000000">
            <w:pPr>
              <w:spacing w:line="380" w:lineRule="exact"/>
              <w:jc w:val="center"/>
              <w:rPr>
                <w:rFonts w:ascii="楷体" w:eastAsia="楷体" w:hAnsi="楷体" w:hint="eastAsia"/>
                <w:sz w:val="24"/>
              </w:rPr>
            </w:pPr>
            <w:r>
              <w:rPr>
                <w:rFonts w:ascii="楷体" w:eastAsia="楷体" w:hAnsi="楷体" w:hint="eastAsia"/>
                <w:sz w:val="24"/>
              </w:rPr>
              <w:t>计算机（金融）223</w:t>
            </w:r>
          </w:p>
        </w:tc>
      </w:tr>
      <w:tr w:rsidR="00DA2174" w14:paraId="616B35A1" w14:textId="77777777">
        <w:trPr>
          <w:trHeight w:val="694"/>
          <w:jc w:val="center"/>
        </w:trPr>
        <w:tc>
          <w:tcPr>
            <w:tcW w:w="1502" w:type="dxa"/>
            <w:vAlign w:val="bottom"/>
          </w:tcPr>
          <w:p w14:paraId="3F350948" w14:textId="77777777" w:rsidR="00DA2174" w:rsidRDefault="00000000">
            <w:pPr>
              <w:jc w:val="distribute"/>
              <w:rPr>
                <w:rFonts w:ascii="黑体" w:eastAsia="黑体"/>
                <w:sz w:val="32"/>
                <w:szCs w:val="32"/>
              </w:rPr>
            </w:pPr>
            <w:r>
              <w:rPr>
                <w:rFonts w:ascii="黑体" w:eastAsia="黑体" w:hint="eastAsia"/>
                <w:sz w:val="32"/>
                <w:szCs w:val="32"/>
              </w:rPr>
              <w:t>指导教师</w:t>
            </w:r>
          </w:p>
        </w:tc>
        <w:tc>
          <w:tcPr>
            <w:tcW w:w="3743" w:type="dxa"/>
            <w:tcBorders>
              <w:top w:val="single" w:sz="4" w:space="0" w:color="auto"/>
              <w:left w:val="nil"/>
              <w:bottom w:val="single" w:sz="4" w:space="0" w:color="auto"/>
              <w:right w:val="nil"/>
            </w:tcBorders>
            <w:vAlign w:val="center"/>
          </w:tcPr>
          <w:p w14:paraId="70B1F6B4" w14:textId="77777777" w:rsidR="00DA2174" w:rsidRDefault="00000000">
            <w:pPr>
              <w:spacing w:line="380" w:lineRule="exact"/>
              <w:jc w:val="center"/>
              <w:rPr>
                <w:rFonts w:ascii="楷体" w:eastAsia="楷体" w:hAnsi="楷体" w:hint="eastAsia"/>
                <w:sz w:val="24"/>
              </w:rPr>
            </w:pPr>
            <w:r>
              <w:rPr>
                <w:rFonts w:ascii="楷体" w:eastAsia="楷体" w:hAnsi="楷体" w:hint="eastAsia"/>
                <w:sz w:val="24"/>
              </w:rPr>
              <w:t>周一真</w:t>
            </w:r>
          </w:p>
        </w:tc>
        <w:tc>
          <w:tcPr>
            <w:tcW w:w="992" w:type="dxa"/>
            <w:vAlign w:val="bottom"/>
          </w:tcPr>
          <w:p w14:paraId="765258A4" w14:textId="77777777" w:rsidR="00DA2174" w:rsidRDefault="00000000">
            <w:pPr>
              <w:jc w:val="distribute"/>
              <w:rPr>
                <w:rFonts w:ascii="黑体" w:eastAsia="黑体"/>
                <w:sz w:val="32"/>
                <w:szCs w:val="32"/>
              </w:rPr>
            </w:pPr>
            <w:r>
              <w:rPr>
                <w:rFonts w:ascii="黑体" w:eastAsia="黑体" w:hint="eastAsia"/>
                <w:sz w:val="32"/>
                <w:szCs w:val="32"/>
              </w:rPr>
              <w:t>职称</w:t>
            </w:r>
          </w:p>
        </w:tc>
        <w:tc>
          <w:tcPr>
            <w:tcW w:w="2462" w:type="dxa"/>
            <w:tcBorders>
              <w:top w:val="single" w:sz="4" w:space="0" w:color="auto"/>
              <w:left w:val="nil"/>
              <w:bottom w:val="single" w:sz="4" w:space="0" w:color="auto"/>
              <w:right w:val="nil"/>
            </w:tcBorders>
            <w:vAlign w:val="center"/>
          </w:tcPr>
          <w:p w14:paraId="501F7228" w14:textId="77777777" w:rsidR="00DA2174" w:rsidRDefault="00000000">
            <w:pPr>
              <w:spacing w:line="380" w:lineRule="exact"/>
              <w:jc w:val="center"/>
              <w:rPr>
                <w:rFonts w:ascii="楷体" w:eastAsia="楷体" w:hAnsi="楷体" w:hint="eastAsia"/>
                <w:sz w:val="24"/>
              </w:rPr>
            </w:pPr>
            <w:r>
              <w:rPr>
                <w:rFonts w:ascii="楷体" w:eastAsia="楷体" w:hAnsi="楷体" w:hint="eastAsia"/>
                <w:sz w:val="24"/>
              </w:rPr>
              <w:t>讲师</w:t>
            </w:r>
          </w:p>
        </w:tc>
      </w:tr>
    </w:tbl>
    <w:p w14:paraId="68F55E2B" w14:textId="77777777" w:rsidR="00DA2174" w:rsidRDefault="00DA2174">
      <w:pPr>
        <w:spacing w:line="360" w:lineRule="auto"/>
        <w:ind w:firstLineChars="400" w:firstLine="1280"/>
        <w:rPr>
          <w:sz w:val="32"/>
        </w:rPr>
      </w:pPr>
    </w:p>
    <w:p w14:paraId="282A7B0D" w14:textId="77777777" w:rsidR="00DA2174" w:rsidRDefault="00DA2174">
      <w:pPr>
        <w:spacing w:line="360" w:lineRule="auto"/>
        <w:ind w:firstLineChars="400" w:firstLine="1280"/>
        <w:rPr>
          <w:sz w:val="32"/>
        </w:rPr>
      </w:pPr>
    </w:p>
    <w:p w14:paraId="00BF7CFD" w14:textId="77777777" w:rsidR="00DA2174" w:rsidRDefault="00DA2174">
      <w:pPr>
        <w:spacing w:line="360" w:lineRule="auto"/>
        <w:ind w:firstLineChars="400" w:firstLine="1280"/>
        <w:rPr>
          <w:sz w:val="32"/>
        </w:rPr>
      </w:pPr>
    </w:p>
    <w:p w14:paraId="4D2AB287" w14:textId="77777777" w:rsidR="00DA2174" w:rsidRDefault="00DA2174">
      <w:pPr>
        <w:spacing w:line="360" w:lineRule="auto"/>
        <w:ind w:firstLineChars="400" w:firstLine="1280"/>
        <w:rPr>
          <w:sz w:val="32"/>
        </w:rPr>
      </w:pPr>
    </w:p>
    <w:p w14:paraId="7A0FBCDB" w14:textId="77777777" w:rsidR="00DA2174" w:rsidRDefault="00DA2174">
      <w:pPr>
        <w:spacing w:line="360" w:lineRule="auto"/>
        <w:ind w:firstLineChars="400" w:firstLine="1280"/>
        <w:rPr>
          <w:sz w:val="32"/>
        </w:rPr>
      </w:pPr>
    </w:p>
    <w:p w14:paraId="48CD24BB" w14:textId="77777777" w:rsidR="00DA2174" w:rsidRDefault="00000000">
      <w:pPr>
        <w:jc w:val="center"/>
        <w:rPr>
          <w:b/>
          <w:bCs/>
          <w:sz w:val="11"/>
          <w:szCs w:val="11"/>
        </w:rPr>
      </w:pPr>
      <w:r>
        <w:rPr>
          <w:rFonts w:ascii="仿宋" w:eastAsia="仿宋" w:hAnsi="仿宋" w:hint="eastAsia"/>
          <w:b/>
          <w:bCs/>
          <w:sz w:val="32"/>
        </w:rPr>
        <w:t>信息科学与技术学院</w:t>
      </w:r>
    </w:p>
    <w:p w14:paraId="0106E77D" w14:textId="77777777" w:rsidR="00DA2174" w:rsidRDefault="00DA2174">
      <w:pPr>
        <w:jc w:val="center"/>
        <w:rPr>
          <w:b/>
          <w:bCs/>
          <w:sz w:val="11"/>
          <w:szCs w:val="11"/>
        </w:rPr>
        <w:sectPr w:rsidR="00DA2174">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624" w:footer="737" w:gutter="0"/>
          <w:cols w:space="425"/>
          <w:docGrid w:type="linesAndChars" w:linePitch="312"/>
        </w:sectPr>
      </w:pPr>
    </w:p>
    <w:p w14:paraId="00EB59D1" w14:textId="77777777" w:rsidR="00DA2174" w:rsidRDefault="00DA2174">
      <w:pPr>
        <w:jc w:val="center"/>
        <w:rPr>
          <w:b/>
          <w:bCs/>
          <w:sz w:val="11"/>
          <w:szCs w:val="11"/>
        </w:rPr>
      </w:pPr>
    </w:p>
    <w:p w14:paraId="5FE14B44" w14:textId="77777777" w:rsidR="00DA2174" w:rsidRDefault="00DA2174">
      <w:pPr>
        <w:jc w:val="center"/>
        <w:rPr>
          <w:b/>
          <w:bCs/>
          <w:sz w:val="11"/>
          <w:szCs w:val="11"/>
        </w:rPr>
      </w:pPr>
    </w:p>
    <w:p w14:paraId="611158B6" w14:textId="77777777" w:rsidR="00DA2174" w:rsidRDefault="00000000">
      <w:pPr>
        <w:jc w:val="center"/>
        <w:rPr>
          <w:b/>
          <w:bCs/>
          <w:sz w:val="32"/>
          <w:szCs w:val="32"/>
        </w:rPr>
      </w:pPr>
      <w:r>
        <w:rPr>
          <w:rFonts w:eastAsia="黑体" w:hint="eastAsia"/>
          <w:sz w:val="32"/>
          <w:szCs w:val="32"/>
        </w:rPr>
        <w:t>开题报告基本内容</w:t>
      </w:r>
    </w:p>
    <w:p w14:paraId="71852A03" w14:textId="77777777" w:rsidR="00DA2174" w:rsidRDefault="00DA2174">
      <w:pPr>
        <w:jc w:val="center"/>
        <w:rPr>
          <w:rFonts w:eastAsia="黑体"/>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3"/>
      </w:tblGrid>
      <w:tr w:rsidR="00DA2174" w14:paraId="5463631A" w14:textId="77777777">
        <w:trPr>
          <w:trHeight w:val="4376"/>
          <w:jc w:val="center"/>
        </w:trPr>
        <w:tc>
          <w:tcPr>
            <w:tcW w:w="8953" w:type="dxa"/>
            <w:vAlign w:val="center"/>
          </w:tcPr>
          <w:p w14:paraId="1CA9A483" w14:textId="77777777" w:rsidR="00DA2174" w:rsidRDefault="00000000">
            <w:pPr>
              <w:spacing w:line="312" w:lineRule="auto"/>
              <w:rPr>
                <w:rFonts w:ascii="楷体_GB2312" w:eastAsia="楷体_GB2312"/>
                <w:sz w:val="24"/>
              </w:rPr>
            </w:pPr>
            <w:r>
              <w:rPr>
                <w:rFonts w:ascii="楷体_GB2312" w:eastAsia="楷体_GB2312" w:hint="eastAsia"/>
                <w:b/>
                <w:sz w:val="24"/>
              </w:rPr>
              <w:t>一、选题依据</w:t>
            </w:r>
          </w:p>
          <w:p w14:paraId="3318ECF7" w14:textId="77777777" w:rsidR="00DA2174" w:rsidRDefault="00000000">
            <w:pPr>
              <w:spacing w:line="312" w:lineRule="auto"/>
              <w:ind w:firstLineChars="200" w:firstLine="480"/>
              <w:rPr>
                <w:rFonts w:ascii="楷体_GB2312" w:eastAsia="楷体_GB2312"/>
                <w:sz w:val="24"/>
              </w:rPr>
            </w:pPr>
            <w:r>
              <w:rPr>
                <w:rFonts w:ascii="楷体_GB2312" w:eastAsia="楷体_GB2312" w:hint="eastAsia"/>
                <w:sz w:val="24"/>
              </w:rPr>
              <w:t>背景与理论或实践意义、国内外研究现状与发展趋势</w:t>
            </w:r>
          </w:p>
          <w:p w14:paraId="5E477C1F" w14:textId="77777777" w:rsidR="00DA2174" w:rsidRDefault="00000000">
            <w:pPr>
              <w:spacing w:line="312" w:lineRule="auto"/>
              <w:rPr>
                <w:rFonts w:ascii="楷体_GB2312" w:eastAsia="楷体_GB2312"/>
                <w:sz w:val="24"/>
              </w:rPr>
            </w:pPr>
            <w:r>
              <w:rPr>
                <w:rFonts w:ascii="楷体_GB2312" w:eastAsia="楷体_GB2312" w:hint="eastAsia"/>
                <w:b/>
                <w:sz w:val="24"/>
              </w:rPr>
              <w:t>二、研究目标与主要内容</w:t>
            </w:r>
          </w:p>
          <w:p w14:paraId="77719A88" w14:textId="77777777" w:rsidR="00DA2174" w:rsidRDefault="00000000">
            <w:pPr>
              <w:spacing w:line="312" w:lineRule="auto"/>
              <w:ind w:firstLineChars="200" w:firstLine="480"/>
              <w:rPr>
                <w:rFonts w:ascii="楷体_GB2312" w:eastAsia="楷体_GB2312"/>
                <w:sz w:val="24"/>
              </w:rPr>
            </w:pPr>
            <w:r>
              <w:rPr>
                <w:rFonts w:ascii="楷体_GB2312" w:eastAsia="楷体_GB2312" w:hint="eastAsia"/>
                <w:sz w:val="24"/>
              </w:rPr>
              <w:t>含论文提纲</w:t>
            </w:r>
          </w:p>
          <w:p w14:paraId="5C425B7A" w14:textId="77777777" w:rsidR="00DA2174" w:rsidRDefault="00000000">
            <w:pPr>
              <w:spacing w:line="312" w:lineRule="auto"/>
              <w:rPr>
                <w:rFonts w:ascii="楷体_GB2312" w:eastAsia="楷体_GB2312"/>
                <w:b/>
                <w:sz w:val="24"/>
              </w:rPr>
            </w:pPr>
            <w:r>
              <w:rPr>
                <w:rFonts w:ascii="楷体_GB2312" w:eastAsia="楷体_GB2312" w:hint="eastAsia"/>
                <w:b/>
                <w:sz w:val="24"/>
              </w:rPr>
              <w:t>三、拟采取的研究方法、研究手段及技术路线、实验方案</w:t>
            </w:r>
          </w:p>
          <w:p w14:paraId="78BC2BC3" w14:textId="77777777" w:rsidR="00DA2174" w:rsidRDefault="00000000">
            <w:pPr>
              <w:spacing w:line="312" w:lineRule="auto"/>
              <w:rPr>
                <w:rFonts w:ascii="楷体_GB2312" w:eastAsia="楷体_GB2312"/>
                <w:b/>
                <w:sz w:val="24"/>
              </w:rPr>
            </w:pPr>
            <w:r>
              <w:rPr>
                <w:rFonts w:ascii="楷体_GB2312" w:eastAsia="楷体_GB2312" w:hint="eastAsia"/>
                <w:b/>
                <w:sz w:val="24"/>
              </w:rPr>
              <w:t>四、中外文参考文献目录</w:t>
            </w:r>
          </w:p>
          <w:p w14:paraId="65E7CCE0" w14:textId="77777777" w:rsidR="00DA2174" w:rsidRDefault="00000000">
            <w:pPr>
              <w:spacing w:line="312" w:lineRule="auto"/>
              <w:ind w:firstLineChars="200" w:firstLine="480"/>
              <w:rPr>
                <w:rFonts w:ascii="楷体_GB2312" w:eastAsia="楷体_GB2312"/>
                <w:sz w:val="24"/>
              </w:rPr>
            </w:pPr>
            <w:r>
              <w:rPr>
                <w:rFonts w:ascii="楷体_GB2312" w:eastAsia="楷体_GB2312" w:hint="eastAsia"/>
                <w:sz w:val="24"/>
              </w:rPr>
              <w:t>作者、书名论文题目、出版社或刊号、出版年月或出版期号</w:t>
            </w:r>
          </w:p>
          <w:p w14:paraId="08ABA317" w14:textId="77777777" w:rsidR="00DA2174" w:rsidRDefault="00000000">
            <w:pPr>
              <w:spacing w:line="312" w:lineRule="auto"/>
              <w:rPr>
                <w:rFonts w:ascii="楷体_GB2312" w:eastAsia="楷体_GB2312"/>
                <w:b/>
                <w:sz w:val="24"/>
              </w:rPr>
            </w:pPr>
            <w:r>
              <w:rPr>
                <w:rFonts w:ascii="楷体_GB2312" w:eastAsia="楷体_GB2312" w:hint="eastAsia"/>
                <w:b/>
                <w:sz w:val="24"/>
              </w:rPr>
              <w:t>五、研究的整体方案与工作进度安排</w:t>
            </w:r>
          </w:p>
          <w:p w14:paraId="3B9C6A8B" w14:textId="77777777" w:rsidR="00DA2174" w:rsidRDefault="00000000">
            <w:pPr>
              <w:spacing w:line="312" w:lineRule="auto"/>
              <w:ind w:firstLineChars="200" w:firstLine="480"/>
              <w:rPr>
                <w:rFonts w:ascii="楷体_GB2312" w:eastAsia="楷体_GB2312"/>
                <w:sz w:val="24"/>
              </w:rPr>
            </w:pPr>
            <w:r>
              <w:rPr>
                <w:rFonts w:ascii="楷体_GB2312" w:eastAsia="楷体_GB2312" w:hint="eastAsia"/>
                <w:sz w:val="24"/>
              </w:rPr>
              <w:t>内容、步骤、时间</w:t>
            </w:r>
          </w:p>
          <w:p w14:paraId="7AB03161" w14:textId="77777777" w:rsidR="00DA2174" w:rsidRDefault="00000000">
            <w:pPr>
              <w:rPr>
                <w:szCs w:val="21"/>
              </w:rPr>
            </w:pPr>
            <w:r>
              <w:rPr>
                <w:rFonts w:ascii="楷体_GB2312" w:eastAsia="楷体_GB2312" w:hint="eastAsia"/>
                <w:b/>
                <w:sz w:val="24"/>
              </w:rPr>
              <w:t>六、研究的预期目标及主要特点、创新点</w:t>
            </w:r>
          </w:p>
        </w:tc>
      </w:tr>
    </w:tbl>
    <w:p w14:paraId="03DDC8DF" w14:textId="77777777" w:rsidR="00DA2174" w:rsidRDefault="00DA2174">
      <w:pPr>
        <w:widowControl/>
      </w:pPr>
    </w:p>
    <w:p w14:paraId="6E6FC01E" w14:textId="77777777" w:rsidR="00DA2174" w:rsidRDefault="00DA2174">
      <w:pPr>
        <w:widowControl/>
      </w:pPr>
    </w:p>
    <w:p w14:paraId="502A2613" w14:textId="77777777" w:rsidR="00DA2174" w:rsidRDefault="00DA2174">
      <w:pPr>
        <w:widowControl/>
      </w:pPr>
    </w:p>
    <w:p w14:paraId="7C038562" w14:textId="77777777" w:rsidR="00DA2174" w:rsidRDefault="00DA2174">
      <w:pPr>
        <w:spacing w:line="312" w:lineRule="auto"/>
        <w:rPr>
          <w:rFonts w:ascii="仿宋_GB2312" w:eastAsia="仿宋_GB2312"/>
        </w:rPr>
        <w:sectPr w:rsidR="00DA2174">
          <w:headerReference w:type="default" r:id="rId14"/>
          <w:footerReference w:type="default" r:id="rId15"/>
          <w:pgSz w:w="11906" w:h="16838"/>
          <w:pgMar w:top="1134" w:right="1134" w:bottom="1134" w:left="1701" w:header="624" w:footer="737" w:gutter="0"/>
          <w:pgNumType w:start="1"/>
          <w:cols w:space="425"/>
          <w:docGrid w:type="linesAndChars" w:linePitch="312"/>
        </w:sectPr>
      </w:pPr>
    </w:p>
    <w:p w14:paraId="2E2102AE" w14:textId="77777777" w:rsidR="00DA2174" w:rsidRDefault="00DA2174">
      <w:pPr>
        <w:spacing w:line="312" w:lineRule="auto"/>
        <w:rPr>
          <w:rFonts w:ascii="仿宋_GB2312" w:eastAsia="仿宋_GB2312"/>
        </w:rPr>
      </w:pPr>
    </w:p>
    <w:p w14:paraId="43708D46" w14:textId="77777777" w:rsidR="00DA2174" w:rsidRDefault="00000000">
      <w:pPr>
        <w:spacing w:line="500" w:lineRule="exact"/>
        <w:jc w:val="center"/>
        <w:rPr>
          <w:rFonts w:eastAsia="黑体"/>
          <w:sz w:val="32"/>
          <w:szCs w:val="32"/>
        </w:rPr>
      </w:pPr>
      <w:r>
        <w:rPr>
          <w:rFonts w:eastAsia="黑体"/>
          <w:sz w:val="32"/>
          <w:szCs w:val="32"/>
        </w:rPr>
        <w:t>开题报告</w:t>
      </w:r>
    </w:p>
    <w:p w14:paraId="4FE89BE2" w14:textId="77777777" w:rsidR="00DA2174" w:rsidRDefault="00DA2174">
      <w:pPr>
        <w:rPr>
          <w:rFonts w:eastAsia="黑体"/>
        </w:rPr>
      </w:pPr>
    </w:p>
    <w:p w14:paraId="29B104B2" w14:textId="77777777" w:rsidR="00DA2174" w:rsidRDefault="00000000">
      <w:pPr>
        <w:spacing w:beforeLines="25" w:before="78" w:line="312" w:lineRule="auto"/>
      </w:pPr>
      <w:r>
        <w:rPr>
          <w:rFonts w:eastAsia="黑体"/>
          <w:sz w:val="28"/>
        </w:rPr>
        <w:t>一、选题依据</w:t>
      </w:r>
    </w:p>
    <w:p w14:paraId="070DE11B" w14:textId="77777777" w:rsidR="00DA2174" w:rsidRDefault="00000000">
      <w:pPr>
        <w:spacing w:beforeLines="25" w:before="78" w:line="312" w:lineRule="auto"/>
      </w:pPr>
      <w:r>
        <w:t>（</w:t>
      </w:r>
      <w:r>
        <w:t>1</w:t>
      </w:r>
      <w:r>
        <w:t>）研究背景</w:t>
      </w:r>
    </w:p>
    <w:p w14:paraId="3A818461" w14:textId="77777777" w:rsidR="00DA2174" w:rsidRDefault="00000000">
      <w:pPr>
        <w:spacing w:beforeLines="25" w:before="78" w:line="312" w:lineRule="auto"/>
        <w:ind w:firstLineChars="200" w:firstLine="420"/>
      </w:pPr>
      <w:r>
        <w:rPr>
          <w:rFonts w:hint="eastAsia"/>
        </w:rPr>
        <w:t>我国经济正在由高速增长阶段逐步转向高质量发展阶段，政府对企业尤其是对上市公司的财政补贴已经慢慢变成了影响产业结构调整、技术创新路径以及公司内部治理格局的关键政策工具，财政部门在推动战略新兴产业培育、稳就业、保民生等目标时，会持续通过各类专项补助、税收减免、等形式向企业注入公共资金，这些资金一方面缓解了企业的经营压力，另一方面也为企业高管在资源支配方面提供了更大的操作空间。与此同时，随着资本市场规模的扩张以及居民财富水平的不断提升，社会各界对收入分配公平性和公司治理透明度的关注日益提高，媒体和公众在看到上市公司频频获得巨额补贴的同时，也不断质疑企业获得了许多政府补贴，高管是否也提升了自己的工资，因此高管拿得是否过多、是否与业绩相匹配的问题，已经从专业领域的学术话题变成了社会舆论中的高频词。</w:t>
      </w:r>
    </w:p>
    <w:p w14:paraId="15C0403A" w14:textId="77777777" w:rsidR="00DA2174" w:rsidRDefault="00000000">
      <w:pPr>
        <w:spacing w:beforeLines="25" w:before="78" w:line="312" w:lineRule="auto"/>
        <w:ind w:firstLineChars="200" w:firstLine="420"/>
      </w:pPr>
      <w:r>
        <w:rPr>
          <w:rFonts w:hint="eastAsia"/>
        </w:rPr>
        <w:t>本研究认为，在我国经济转向高质量发展、财政补贴政策不断优化、高管薪酬争议持续升温的背景下，通过系统研究“基于数据挖掘的上市公司财政补贴与高管超额薪酬”不仅可以在理论上进一步丰富管理者权力理论解释，还可以在为财政部门评估补贴使用效果、为监管机构识别高风险薪酬企业提供更加直观的决策参考。</w:t>
      </w:r>
      <w:r>
        <w:rPr>
          <w:rFonts w:hint="eastAsia"/>
        </w:rPr>
        <w:t xml:space="preserve"> </w:t>
      </w:r>
    </w:p>
    <w:p w14:paraId="0B6CB363" w14:textId="77777777" w:rsidR="00DA2174" w:rsidRDefault="00000000">
      <w:pPr>
        <w:spacing w:beforeLines="25" w:before="78" w:line="312" w:lineRule="auto"/>
        <w:rPr>
          <w:color w:val="EE0000"/>
        </w:rPr>
      </w:pPr>
      <w:r>
        <w:t>（</w:t>
      </w:r>
      <w:r>
        <w:t>2</w:t>
      </w:r>
      <w:r>
        <w:t>）国内外研究现状</w:t>
      </w:r>
    </w:p>
    <w:p w14:paraId="642A86EC" w14:textId="77777777" w:rsidR="00DA2174" w:rsidRDefault="00000000">
      <w:pPr>
        <w:spacing w:line="312" w:lineRule="auto"/>
        <w:ind w:firstLineChars="200" w:firstLine="420"/>
        <w:rPr>
          <w:szCs w:val="21"/>
        </w:rPr>
      </w:pPr>
      <w:bookmarkStart w:id="0" w:name="OLE_LINK4"/>
      <w:r>
        <w:rPr>
          <w:rFonts w:hint="eastAsia"/>
          <w:szCs w:val="21"/>
        </w:rPr>
        <w:t xml:space="preserve">1 </w:t>
      </w:r>
      <w:r>
        <w:rPr>
          <w:rFonts w:hint="eastAsia"/>
          <w:szCs w:val="21"/>
        </w:rPr>
        <w:t>相关概念界定</w:t>
      </w:r>
    </w:p>
    <w:p w14:paraId="4E870125" w14:textId="77777777" w:rsidR="00DA2174" w:rsidRDefault="00000000">
      <w:pPr>
        <w:spacing w:line="312" w:lineRule="auto"/>
        <w:ind w:firstLineChars="200" w:firstLine="420"/>
        <w:rPr>
          <w:szCs w:val="21"/>
        </w:rPr>
      </w:pPr>
      <w:r>
        <w:rPr>
          <w:rFonts w:hint="eastAsia"/>
          <w:szCs w:val="21"/>
        </w:rPr>
        <w:t>1.1</w:t>
      </w:r>
      <w:r>
        <w:rPr>
          <w:rFonts w:hint="eastAsia"/>
          <w:szCs w:val="21"/>
        </w:rPr>
        <w:t>高管超额薪酬定义</w:t>
      </w:r>
    </w:p>
    <w:p w14:paraId="2C43DA7C" w14:textId="77777777" w:rsidR="00DA2174" w:rsidRDefault="00000000">
      <w:pPr>
        <w:spacing w:line="312" w:lineRule="auto"/>
        <w:ind w:firstLineChars="200" w:firstLine="420"/>
        <w:rPr>
          <w:szCs w:val="21"/>
        </w:rPr>
      </w:pPr>
      <w:r>
        <w:rPr>
          <w:rFonts w:hint="eastAsia"/>
          <w:szCs w:val="21"/>
        </w:rPr>
        <w:t>首先，在高管超额薪酬这一核心概念上，</w:t>
      </w:r>
      <w:r>
        <w:rPr>
          <w:rFonts w:hint="eastAsia"/>
          <w:szCs w:val="21"/>
        </w:rPr>
        <w:t xml:space="preserve">Bebchuk </w:t>
      </w:r>
      <w:r>
        <w:rPr>
          <w:rFonts w:hint="eastAsia"/>
          <w:szCs w:val="21"/>
        </w:rPr>
        <w:t>和</w:t>
      </w:r>
      <w:r>
        <w:rPr>
          <w:rFonts w:hint="eastAsia"/>
          <w:szCs w:val="21"/>
        </w:rPr>
        <w:t xml:space="preserve"> Fried(2003)</w:t>
      </w:r>
      <w:r>
        <w:rPr>
          <w:rFonts w:hint="eastAsia"/>
          <w:szCs w:val="21"/>
          <w:vertAlign w:val="superscript"/>
        </w:rPr>
        <w:t>[1]</w:t>
      </w:r>
      <w:r>
        <w:rPr>
          <w:rFonts w:hint="eastAsia"/>
          <w:szCs w:val="21"/>
        </w:rPr>
        <w:t>基于美国高管薪酬制度长期演变的背景，提出了著名的管理权力视角，他们认为高管薪酬合同在现实公司中并不总是为股东利益服务的安排，更像是通过影响董事会和薪酬委员会的决策，把各类显性薪酬与隐性收益包装成貌似合理的薪酬条款的过程，因此</w:t>
      </w:r>
      <w:r>
        <w:rPr>
          <w:rFonts w:hint="eastAsia"/>
          <w:szCs w:val="21"/>
        </w:rPr>
        <w:t xml:space="preserve"> </w:t>
      </w:r>
      <w:r>
        <w:rPr>
          <w:rFonts w:hint="eastAsia"/>
          <w:szCs w:val="21"/>
        </w:rPr>
        <w:t>他们主张将高管薪酬理解为代理问题的产物。</w:t>
      </w:r>
      <w:r>
        <w:rPr>
          <w:rFonts w:hint="eastAsia"/>
          <w:szCs w:val="21"/>
        </w:rPr>
        <w:t xml:space="preserve">Core </w:t>
      </w:r>
      <w:r>
        <w:rPr>
          <w:rFonts w:hint="eastAsia"/>
          <w:szCs w:val="21"/>
        </w:rPr>
        <w:t>等人</w:t>
      </w:r>
      <w:r>
        <w:rPr>
          <w:rFonts w:hint="eastAsia"/>
          <w:szCs w:val="21"/>
        </w:rPr>
        <w:t>(1999)</w:t>
      </w:r>
      <w:r>
        <w:rPr>
          <w:rFonts w:hint="eastAsia"/>
          <w:szCs w:val="21"/>
          <w:vertAlign w:val="superscript"/>
        </w:rPr>
        <w:t>[3]</w:t>
      </w:r>
      <w:r>
        <w:rPr>
          <w:rFonts w:hint="eastAsia"/>
          <w:szCs w:val="21"/>
        </w:rPr>
        <w:t>进一步以公司规模、风险水平、成长性、行业和年份等变量为解释变量，建立了高管薪酬的基准回归模型，将模型预测值视为在合理市场和治理条件下高管应得的薪酬水平，并将实际薪酬与预测值之间的正向残差定义为超额薪酬。</w:t>
      </w:r>
    </w:p>
    <w:p w14:paraId="42218C0E" w14:textId="77777777" w:rsidR="00DA2174" w:rsidRDefault="00000000">
      <w:pPr>
        <w:spacing w:line="312" w:lineRule="auto"/>
        <w:ind w:firstLineChars="200" w:firstLine="420"/>
        <w:rPr>
          <w:szCs w:val="21"/>
        </w:rPr>
      </w:pPr>
      <w:r>
        <w:rPr>
          <w:rFonts w:hint="eastAsia"/>
          <w:szCs w:val="21"/>
        </w:rPr>
        <w:t>1.2</w:t>
      </w:r>
      <w:r>
        <w:rPr>
          <w:rFonts w:hint="eastAsia"/>
          <w:szCs w:val="21"/>
        </w:rPr>
        <w:t>政府补贴与超额薪酬的关系和薪酬差距的定义</w:t>
      </w:r>
    </w:p>
    <w:p w14:paraId="1C06DA17" w14:textId="77777777" w:rsidR="00DA2174" w:rsidRDefault="00000000">
      <w:pPr>
        <w:spacing w:line="312" w:lineRule="auto"/>
        <w:ind w:firstLineChars="200" w:firstLine="420"/>
        <w:rPr>
          <w:szCs w:val="21"/>
        </w:rPr>
      </w:pPr>
      <w:r>
        <w:rPr>
          <w:rFonts w:hint="eastAsia"/>
          <w:szCs w:val="21"/>
        </w:rPr>
        <w:t xml:space="preserve">Bu </w:t>
      </w:r>
      <w:r>
        <w:rPr>
          <w:rFonts w:hint="eastAsia"/>
          <w:szCs w:val="21"/>
        </w:rPr>
        <w:t>等</w:t>
      </w:r>
      <w:r>
        <w:rPr>
          <w:rFonts w:hint="eastAsia"/>
          <w:szCs w:val="21"/>
        </w:rPr>
        <w:t>(2019)</w:t>
      </w:r>
      <w:r>
        <w:rPr>
          <w:rFonts w:hint="eastAsia"/>
          <w:szCs w:val="21"/>
          <w:vertAlign w:val="superscript"/>
        </w:rPr>
        <w:t>[4]</w:t>
      </w:r>
      <w:r>
        <w:rPr>
          <w:rFonts w:hint="eastAsia"/>
          <w:szCs w:val="21"/>
        </w:rPr>
        <w:t>在梳理中国数据时，将高管和员工薪酬差距定义为高管平均薪酬与普通员工平均薪酬之比，在此基础上研究补贴与薪酬差距的关系；而</w:t>
      </w:r>
      <w:r>
        <w:rPr>
          <w:rFonts w:hint="eastAsia"/>
          <w:szCs w:val="21"/>
        </w:rPr>
        <w:t xml:space="preserve"> Perols </w:t>
      </w:r>
      <w:r>
        <w:rPr>
          <w:rFonts w:hint="eastAsia"/>
          <w:szCs w:val="21"/>
        </w:rPr>
        <w:t>等</w:t>
      </w:r>
      <w:r>
        <w:rPr>
          <w:rFonts w:hint="eastAsia"/>
          <w:szCs w:val="21"/>
        </w:rPr>
        <w:t>(2017)</w:t>
      </w:r>
      <w:r>
        <w:rPr>
          <w:rFonts w:hint="eastAsia"/>
          <w:szCs w:val="21"/>
          <w:vertAlign w:val="superscript"/>
        </w:rPr>
        <w:t>[5]</w:t>
      </w:r>
      <w:r>
        <w:rPr>
          <w:rFonts w:hint="eastAsia"/>
        </w:rPr>
        <w:t xml:space="preserve"> </w:t>
      </w:r>
      <w:r>
        <w:rPr>
          <w:rFonts w:hint="eastAsia"/>
          <w:szCs w:val="21"/>
        </w:rPr>
        <w:t>将“在海量样本中利用数据挖掘方法识别极少数异常样本”界定为分类任务。</w:t>
      </w:r>
    </w:p>
    <w:p w14:paraId="4DE97880" w14:textId="77777777" w:rsidR="00DA2174" w:rsidRDefault="00000000">
      <w:pPr>
        <w:spacing w:line="312" w:lineRule="auto"/>
        <w:ind w:firstLineChars="200" w:firstLine="420"/>
        <w:rPr>
          <w:szCs w:val="21"/>
        </w:rPr>
      </w:pPr>
      <w:r>
        <w:rPr>
          <w:rFonts w:hint="eastAsia"/>
          <w:szCs w:val="21"/>
        </w:rPr>
        <w:t>1.3</w:t>
      </w:r>
      <w:r>
        <w:rPr>
          <w:rFonts w:hint="eastAsia"/>
          <w:szCs w:val="21"/>
        </w:rPr>
        <w:t>管理冗余的定义</w:t>
      </w:r>
    </w:p>
    <w:p w14:paraId="10C09FAB" w14:textId="77777777" w:rsidR="00DA2174" w:rsidRDefault="00000000">
      <w:pPr>
        <w:spacing w:line="312" w:lineRule="auto"/>
        <w:ind w:firstLineChars="200" w:firstLine="420"/>
        <w:rPr>
          <w:szCs w:val="21"/>
          <w:vertAlign w:val="superscript"/>
        </w:rPr>
      </w:pPr>
      <w:r>
        <w:rPr>
          <w:rFonts w:hint="eastAsia"/>
          <w:szCs w:val="21"/>
        </w:rPr>
        <w:t xml:space="preserve">Jiang </w:t>
      </w:r>
      <w:r>
        <w:rPr>
          <w:rFonts w:hint="eastAsia"/>
          <w:szCs w:val="21"/>
        </w:rPr>
        <w:t>等人</w:t>
      </w:r>
      <w:r>
        <w:rPr>
          <w:rFonts w:hint="eastAsia"/>
          <w:szCs w:val="21"/>
        </w:rPr>
        <w:t>(2025)</w:t>
      </w:r>
      <w:r>
        <w:rPr>
          <w:rFonts w:hint="eastAsia"/>
          <w:szCs w:val="21"/>
          <w:vertAlign w:val="superscript"/>
        </w:rPr>
        <w:t>[6]</w:t>
      </w:r>
      <w:r>
        <w:rPr>
          <w:rFonts w:hint="eastAsia"/>
          <w:szCs w:val="21"/>
        </w:rPr>
        <w:t>在研究政府补贴与管理冗余时认为，管理冗余是指在内部治理水平较低以及</w:t>
      </w:r>
      <w:r>
        <w:rPr>
          <w:rFonts w:hint="eastAsia"/>
          <w:szCs w:val="21"/>
        </w:rPr>
        <w:lastRenderedPageBreak/>
        <w:t>外部监督不足等条件下，由管理层主导形成的各类资源浪费与低效率配置现象，这些现象既包括冗员、闲置资产和重复建设，也包括过高的管理费用、无效投资等，</w:t>
      </w:r>
      <w:r>
        <w:rPr>
          <w:rFonts w:hint="eastAsia"/>
          <w:szCs w:val="21"/>
        </w:rPr>
        <w:t xml:space="preserve"> Jiang </w:t>
      </w:r>
      <w:r>
        <w:rPr>
          <w:rFonts w:hint="eastAsia"/>
          <w:szCs w:val="21"/>
        </w:rPr>
        <w:t>等人</w:t>
      </w:r>
      <w:r>
        <w:rPr>
          <w:rFonts w:hint="eastAsia"/>
          <w:szCs w:val="21"/>
        </w:rPr>
        <w:t>(2025)</w:t>
      </w:r>
      <w:r>
        <w:rPr>
          <w:rFonts w:hint="eastAsia"/>
          <w:szCs w:val="21"/>
          <w:vertAlign w:val="superscript"/>
        </w:rPr>
        <w:t>[6]</w:t>
      </w:r>
      <w:r>
        <w:rPr>
          <w:rFonts w:hint="eastAsia"/>
          <w:szCs w:val="21"/>
        </w:rPr>
        <w:t>把高管薪酬视为管理冗余的重要组成部分之一。研究者们认为管理冗余会影响资本成本，并且这些文本信号也能用于提升舞弊识别效果。</w:t>
      </w:r>
      <w:r>
        <w:rPr>
          <w:rFonts w:hint="eastAsia"/>
          <w:szCs w:val="21"/>
          <w:vertAlign w:val="superscript"/>
        </w:rPr>
        <w:t>[7</w:t>
      </w:r>
      <w:r>
        <w:rPr>
          <w:rFonts w:ascii="Cambria Math" w:hAnsi="Cambria Math" w:cs="Cambria Math"/>
          <w:szCs w:val="21"/>
          <w:vertAlign w:val="superscript"/>
        </w:rPr>
        <w:t>−</w:t>
      </w:r>
      <w:r>
        <w:rPr>
          <w:rFonts w:hint="eastAsia"/>
          <w:szCs w:val="21"/>
          <w:vertAlign w:val="superscript"/>
        </w:rPr>
        <w:t>8]</w:t>
      </w:r>
    </w:p>
    <w:p w14:paraId="48BA1C71" w14:textId="77777777" w:rsidR="00DA2174" w:rsidRDefault="00000000">
      <w:pPr>
        <w:spacing w:line="312" w:lineRule="auto"/>
        <w:ind w:firstLineChars="200" w:firstLine="420"/>
        <w:rPr>
          <w:szCs w:val="21"/>
        </w:rPr>
      </w:pPr>
      <w:r>
        <w:rPr>
          <w:rFonts w:hint="eastAsia"/>
          <w:szCs w:val="21"/>
        </w:rPr>
        <w:t xml:space="preserve">2 </w:t>
      </w:r>
      <w:r>
        <w:rPr>
          <w:rFonts w:hint="eastAsia"/>
          <w:szCs w:val="21"/>
        </w:rPr>
        <w:t>国内研究现状</w:t>
      </w:r>
    </w:p>
    <w:p w14:paraId="26E1F32B" w14:textId="77777777" w:rsidR="00DA2174" w:rsidRDefault="00000000">
      <w:pPr>
        <w:spacing w:line="312" w:lineRule="auto"/>
        <w:ind w:firstLineChars="200" w:firstLine="420"/>
        <w:rPr>
          <w:szCs w:val="21"/>
        </w:rPr>
      </w:pPr>
      <w:r>
        <w:rPr>
          <w:szCs w:val="21"/>
        </w:rPr>
        <w:t xml:space="preserve">2.1 </w:t>
      </w:r>
      <w:r>
        <w:rPr>
          <w:szCs w:val="21"/>
        </w:rPr>
        <w:t>财政补贴与高管超额薪酬的关联及情境差异</w:t>
      </w:r>
    </w:p>
    <w:p w14:paraId="453A8379" w14:textId="77777777" w:rsidR="00DA2174" w:rsidRDefault="00000000">
      <w:pPr>
        <w:spacing w:line="312" w:lineRule="auto"/>
        <w:ind w:firstLineChars="200" w:firstLine="420"/>
        <w:rPr>
          <w:szCs w:val="21"/>
        </w:rPr>
      </w:pPr>
      <w:r>
        <w:rPr>
          <w:rFonts w:hint="eastAsia"/>
          <w:szCs w:val="21"/>
        </w:rPr>
        <w:t>在国内研究中，罗昆和曹光宇</w:t>
      </w:r>
      <w:r>
        <w:rPr>
          <w:rFonts w:hint="eastAsia"/>
          <w:szCs w:val="21"/>
        </w:rPr>
        <w:t>(2015)</w:t>
      </w:r>
      <w:r>
        <w:rPr>
          <w:rFonts w:hint="eastAsia"/>
          <w:szCs w:val="21"/>
          <w:vertAlign w:val="superscript"/>
        </w:rPr>
        <w:t>[9]</w:t>
      </w:r>
      <w:r>
        <w:rPr>
          <w:rFonts w:hint="eastAsia"/>
          <w:szCs w:val="21"/>
        </w:rPr>
        <w:t>在中国上市公司样本的基础上，构建了一个财务困境–政府补贴–超额薪酬–薪酬业绩敏感性的分析框架，他们以公司规模、盈利能力、风险和行业年份等变量建立高管薪酬的基准模型，并将残差定义为超额薪酬，引入财务困境虚拟变量和政府补贴变量进行回归分析，研究结果表明，在财务困境企业中，高管获得超额薪酬的情况更加普遍，当这些困境企业获得政府补贴时，高管超额薪酬水平进一步提高，他们认为财政补贴在财务困境情景下并没有起到约束与激励的作用，而是被高管视为一种可以进一步获得的外部资源。李哲等</w:t>
      </w:r>
      <w:r>
        <w:rPr>
          <w:rFonts w:hint="eastAsia"/>
          <w:szCs w:val="21"/>
        </w:rPr>
        <w:t>(2022)</w:t>
      </w:r>
      <w:r>
        <w:rPr>
          <w:rFonts w:hint="eastAsia"/>
          <w:szCs w:val="21"/>
          <w:vertAlign w:val="superscript"/>
        </w:rPr>
        <w:t>[10]</w:t>
      </w:r>
      <w:r>
        <w:rPr>
          <w:rFonts w:hint="eastAsia"/>
          <w:szCs w:val="21"/>
        </w:rPr>
        <w:t>对上市公司年报和社会责任报告中的环境责任话语进行量化，构建了环境责任披露强度等指标，并将这些指标与企业实际获得的环境相关政府补贴进行回归分析，李哲等</w:t>
      </w:r>
      <w:r>
        <w:rPr>
          <w:rFonts w:hint="eastAsia"/>
          <w:szCs w:val="21"/>
        </w:rPr>
        <w:t>(2022)</w:t>
      </w:r>
      <w:r>
        <w:rPr>
          <w:rFonts w:hint="eastAsia"/>
          <w:szCs w:val="21"/>
          <w:vertAlign w:val="superscript"/>
        </w:rPr>
        <w:t>[11]</w:t>
      </w:r>
      <w:r>
        <w:rPr>
          <w:rFonts w:hint="eastAsia"/>
          <w:szCs w:val="21"/>
        </w:rPr>
        <w:t>发现，那些在文本中高调宣传环保责任而实际环保绩效一般甚至偏弱的企业，反而更容易获得政府补贴，他们认为部分企业可能通过讲好故事的方式来影响政府对其进行补贴。步丹璐和王晓艳</w:t>
      </w:r>
      <w:r>
        <w:rPr>
          <w:rFonts w:hint="eastAsia"/>
          <w:szCs w:val="21"/>
        </w:rPr>
        <w:t>(2014)</w:t>
      </w:r>
      <w:r>
        <w:rPr>
          <w:rFonts w:hint="eastAsia"/>
          <w:szCs w:val="21"/>
          <w:vertAlign w:val="superscript"/>
        </w:rPr>
        <w:t>[12]</w:t>
      </w:r>
      <w:r>
        <w:rPr>
          <w:rFonts w:hint="eastAsia"/>
          <w:szCs w:val="21"/>
        </w:rPr>
        <w:t>以</w:t>
      </w:r>
      <w:r>
        <w:rPr>
          <w:rFonts w:hint="eastAsia"/>
          <w:szCs w:val="21"/>
        </w:rPr>
        <w:t xml:space="preserve"> 2007</w:t>
      </w:r>
      <w:r>
        <w:rPr>
          <w:rFonts w:hint="eastAsia"/>
          <w:szCs w:val="21"/>
        </w:rPr>
        <w:t>—</w:t>
      </w:r>
      <w:r>
        <w:rPr>
          <w:rFonts w:hint="eastAsia"/>
          <w:szCs w:val="21"/>
        </w:rPr>
        <w:t xml:space="preserve">2010 </w:t>
      </w:r>
      <w:r>
        <w:rPr>
          <w:rFonts w:hint="eastAsia"/>
          <w:szCs w:val="21"/>
        </w:rPr>
        <w:t>年</w:t>
      </w:r>
      <w:r>
        <w:rPr>
          <w:rFonts w:hint="eastAsia"/>
          <w:szCs w:val="21"/>
        </w:rPr>
        <w:t xml:space="preserve"> A </w:t>
      </w:r>
      <w:r>
        <w:rPr>
          <w:rFonts w:hint="eastAsia"/>
          <w:szCs w:val="21"/>
        </w:rPr>
        <w:t>股上市公司为样本，将高管平均薪酬与普通员工平均薪酬之比作为薪酬差距指标，并以政府补助强度为核心解释变量，研究发现政府补助扩大了企业内部高管和员工薪酬差距，在国有企业、财政压力相对较小的地区以及公司治理较弱的企业中，这一效应更加明显。唐清泉和罗党论</w:t>
      </w:r>
      <w:r>
        <w:rPr>
          <w:rFonts w:hint="eastAsia"/>
          <w:szCs w:val="21"/>
        </w:rPr>
        <w:t>(2007)</w:t>
      </w:r>
      <w:r>
        <w:rPr>
          <w:rFonts w:hint="eastAsia"/>
          <w:szCs w:val="21"/>
          <w:vertAlign w:val="superscript"/>
        </w:rPr>
        <w:t>[13]</w:t>
      </w:r>
      <w:r>
        <w:rPr>
          <w:rFonts w:hint="eastAsia"/>
          <w:szCs w:val="21"/>
        </w:rPr>
        <w:t>发现财政补贴在实践中既服务于产业政策，又受企业所有制、政治关联以及地方政府政绩考核等因素的影响，补贴分配存在明显的偏向，他们指出财政补贴可能会减弱市场竞争机制，为高管牟利提供机会。</w:t>
      </w:r>
    </w:p>
    <w:p w14:paraId="70D2A467" w14:textId="77777777" w:rsidR="00DA2174" w:rsidRDefault="00000000">
      <w:pPr>
        <w:spacing w:line="312" w:lineRule="auto"/>
        <w:ind w:firstLineChars="200" w:firstLine="420"/>
        <w:rPr>
          <w:szCs w:val="21"/>
        </w:rPr>
      </w:pPr>
      <w:r>
        <w:rPr>
          <w:szCs w:val="21"/>
        </w:rPr>
        <w:t xml:space="preserve">2.2 </w:t>
      </w:r>
      <w:r>
        <w:rPr>
          <w:szCs w:val="21"/>
        </w:rPr>
        <w:t>治理机制、外部监督与技术方法的应用</w:t>
      </w:r>
    </w:p>
    <w:p w14:paraId="5BF9EF63" w14:textId="77777777" w:rsidR="00DA2174" w:rsidRDefault="00000000">
      <w:pPr>
        <w:spacing w:line="312" w:lineRule="auto"/>
        <w:ind w:firstLineChars="200" w:firstLine="420"/>
        <w:rPr>
          <w:szCs w:val="21"/>
        </w:rPr>
      </w:pPr>
      <w:r>
        <w:rPr>
          <w:rFonts w:hint="eastAsia"/>
          <w:szCs w:val="21"/>
        </w:rPr>
        <w:t>潘红波等</w:t>
      </w:r>
      <w:r>
        <w:rPr>
          <w:rFonts w:hint="eastAsia"/>
          <w:szCs w:val="21"/>
        </w:rPr>
        <w:t>(2008)</w:t>
      </w:r>
      <w:r>
        <w:rPr>
          <w:rFonts w:hint="eastAsia"/>
          <w:szCs w:val="21"/>
          <w:vertAlign w:val="superscript"/>
        </w:rPr>
        <w:t>[14]</w:t>
      </w:r>
      <w:r>
        <w:rPr>
          <w:rFonts w:hint="eastAsia"/>
          <w:szCs w:val="21"/>
        </w:rPr>
        <w:t>发现政治关联越强的企业更容易获得优惠政策与财政支持，他们认为在国企情境下，政府并非一个外部中立监管者，而是到企业治理结构之中的关键参与者。陈冬华等</w:t>
      </w:r>
      <w:r>
        <w:rPr>
          <w:rFonts w:hint="eastAsia"/>
          <w:szCs w:val="21"/>
        </w:rPr>
        <w:t>(2005)</w:t>
      </w:r>
      <w:r>
        <w:rPr>
          <w:rFonts w:hint="eastAsia"/>
          <w:szCs w:val="21"/>
          <w:vertAlign w:val="superscript"/>
        </w:rPr>
        <w:t>[15]</w:t>
      </w:r>
      <w:r>
        <w:rPr>
          <w:rFonts w:hint="eastAsia"/>
          <w:szCs w:val="21"/>
        </w:rPr>
        <w:t>通过对国有企业的数据分析，发现当高管名义薪酬受到严格的薪酬管制限制时，各类差旅费和福利性支出往往会上升，如果政府在实施薪酬管制的同时缺乏有效的监督，高管可能会通过隐性渠道弥补被压缩的显性薪酬。卢锐等</w:t>
      </w:r>
      <w:r>
        <w:rPr>
          <w:rFonts w:hint="eastAsia"/>
          <w:szCs w:val="21"/>
        </w:rPr>
        <w:t>(2011)</w:t>
      </w:r>
      <w:r>
        <w:rPr>
          <w:rFonts w:hint="eastAsia"/>
          <w:szCs w:val="21"/>
          <w:vertAlign w:val="superscript"/>
        </w:rPr>
        <w:t>[16]</w:t>
      </w:r>
      <w:r>
        <w:rPr>
          <w:rFonts w:hint="eastAsia"/>
          <w:szCs w:val="21"/>
        </w:rPr>
        <w:t>构建了包含内部控制质量以及业绩等变量的薪酬业绩敏感性模型，他们发现内部控制质量越高，高管薪酬对业绩变动越敏感，他们强调内部控制是约束高管自利行为、防止超额薪酬泛滥的重要制度基础。罗进辉</w:t>
      </w:r>
      <w:r>
        <w:rPr>
          <w:rFonts w:hint="eastAsia"/>
          <w:szCs w:val="21"/>
        </w:rPr>
        <w:t>(2018)</w:t>
      </w:r>
      <w:r>
        <w:rPr>
          <w:rFonts w:hint="eastAsia"/>
          <w:szCs w:val="21"/>
          <w:vertAlign w:val="superscript"/>
        </w:rPr>
        <w:t>[17]</w:t>
      </w:r>
      <w:r>
        <w:rPr>
          <w:rFonts w:hint="eastAsia"/>
          <w:szCs w:val="21"/>
        </w:rPr>
        <w:t>利用百度新闻数据度量上市公司媒体关注度，并将其与高管薪酬–业绩敏感性结合进行分析，研究结果显示媒体报道越多、媒体监督越强，高管薪酬与公司经营绩效之间的相关性越强，尤其是在国有企业样本中，这种促进作用更加显著。王克敏等</w:t>
      </w:r>
      <w:r>
        <w:rPr>
          <w:rFonts w:hint="eastAsia"/>
          <w:szCs w:val="21"/>
        </w:rPr>
        <w:t>(2018)</w:t>
      </w:r>
      <w:r>
        <w:rPr>
          <w:rFonts w:hint="eastAsia"/>
          <w:szCs w:val="21"/>
          <w:vertAlign w:val="superscript"/>
        </w:rPr>
        <w:t>[18]</w:t>
      </w:r>
      <w:r>
        <w:rPr>
          <w:rFonts w:hint="eastAsia"/>
          <w:szCs w:val="21"/>
        </w:rPr>
        <w:t>利用中文年报文本构造了年报文本信息复杂性指标，从平均句长、专业术语比例、文本长度等多个维度，将其与公司业绩表现以及高管超额薪酬综合分析，研究发现当公司业绩不佳或存在不利信息时，年报文本复杂性显著提高，在文本复杂性更高的公司中，高管超额薪酬水平也明显更高。陆瑶等</w:t>
      </w:r>
      <w:r>
        <w:rPr>
          <w:rFonts w:hint="eastAsia"/>
          <w:szCs w:val="21"/>
        </w:rPr>
        <w:t>(2020)</w:t>
      </w:r>
      <w:r>
        <w:rPr>
          <w:rFonts w:hint="eastAsia"/>
          <w:szCs w:val="21"/>
          <w:vertAlign w:val="superscript"/>
        </w:rPr>
        <w:t>[19]</w:t>
      </w:r>
      <w:r>
        <w:rPr>
          <w:rFonts w:hint="eastAsia"/>
          <w:szCs w:val="21"/>
        </w:rPr>
        <w:t>将机器学习方法引入传统公司治理研究，他们收集了中国上市公司高管的年龄、学历、任职经历、持股比例等多个个人特征变量，采用梯度提升树等机器学习算法构建公司</w:t>
      </w:r>
      <w:r>
        <w:rPr>
          <w:rFonts w:hint="eastAsia"/>
          <w:szCs w:val="21"/>
        </w:rPr>
        <w:lastRenderedPageBreak/>
        <w:t>绩效预测模型，研究发现高管持股比例和年龄等变量在模型中的重要性较高，而且与绩效之间呈现明显非线性关系。马长峰等</w:t>
      </w:r>
      <w:r>
        <w:rPr>
          <w:rFonts w:hint="eastAsia"/>
          <w:szCs w:val="21"/>
        </w:rPr>
        <w:t>(2020)</w:t>
      </w:r>
      <w:r>
        <w:rPr>
          <w:rFonts w:hint="eastAsia"/>
          <w:szCs w:val="21"/>
          <w:vertAlign w:val="superscript"/>
        </w:rPr>
        <w:t>[20]</w:t>
      </w:r>
      <w:r>
        <w:rPr>
          <w:rFonts w:hint="eastAsia"/>
          <w:szCs w:val="21"/>
        </w:rPr>
        <w:t>强调文本分析与机器学习方法结合将是未来研究的一个重要方向。研究者们认为政府补助会通过公司治理与内部控制等机制影响高管薪酬偏离与薪酬分配结果，年报文本等软信息也能在一定程度上反映管理层行为。</w:t>
      </w:r>
      <w:r>
        <w:rPr>
          <w:rFonts w:hint="eastAsia"/>
          <w:szCs w:val="21"/>
          <w:vertAlign w:val="superscript"/>
        </w:rPr>
        <w:t>[21</w:t>
      </w:r>
      <w:r>
        <w:rPr>
          <w:rFonts w:ascii="Cambria Math" w:hAnsi="Cambria Math" w:cs="Cambria Math"/>
          <w:szCs w:val="21"/>
          <w:vertAlign w:val="superscript"/>
        </w:rPr>
        <w:t>−</w:t>
      </w:r>
      <w:r>
        <w:rPr>
          <w:rFonts w:hint="eastAsia"/>
          <w:szCs w:val="21"/>
          <w:vertAlign w:val="superscript"/>
        </w:rPr>
        <w:t>25]</w:t>
      </w:r>
    </w:p>
    <w:p w14:paraId="1E619F6E" w14:textId="77777777" w:rsidR="00DA2174" w:rsidRDefault="00000000">
      <w:pPr>
        <w:spacing w:line="312" w:lineRule="auto"/>
        <w:ind w:firstLineChars="200" w:firstLine="420"/>
        <w:rPr>
          <w:szCs w:val="21"/>
        </w:rPr>
      </w:pPr>
      <w:r>
        <w:rPr>
          <w:rFonts w:hint="eastAsia"/>
          <w:szCs w:val="21"/>
        </w:rPr>
        <w:t xml:space="preserve">3 </w:t>
      </w:r>
      <w:r>
        <w:rPr>
          <w:rFonts w:hint="eastAsia"/>
          <w:szCs w:val="21"/>
        </w:rPr>
        <w:t>国外研究现状</w:t>
      </w:r>
    </w:p>
    <w:p w14:paraId="222DF91C" w14:textId="77777777" w:rsidR="00DA2174" w:rsidRDefault="00000000">
      <w:pPr>
        <w:spacing w:line="312" w:lineRule="auto"/>
        <w:ind w:firstLineChars="200" w:firstLine="420"/>
        <w:rPr>
          <w:szCs w:val="21"/>
        </w:rPr>
      </w:pPr>
      <w:r>
        <w:rPr>
          <w:rFonts w:hint="eastAsia"/>
          <w:szCs w:val="21"/>
        </w:rPr>
        <w:t xml:space="preserve">3.1 </w:t>
      </w:r>
      <w:r>
        <w:rPr>
          <w:rFonts w:hint="eastAsia"/>
          <w:szCs w:val="21"/>
        </w:rPr>
        <w:t>高管薪酬与代理问题的研究</w:t>
      </w:r>
    </w:p>
    <w:p w14:paraId="58BA58D9" w14:textId="77777777" w:rsidR="00DA2174" w:rsidRDefault="00000000">
      <w:pPr>
        <w:spacing w:line="312" w:lineRule="auto"/>
        <w:ind w:firstLineChars="200" w:firstLine="420"/>
        <w:rPr>
          <w:szCs w:val="21"/>
        </w:rPr>
      </w:pPr>
      <w:bookmarkStart w:id="1" w:name="_Hlk216823601"/>
      <w:r>
        <w:rPr>
          <w:rFonts w:hint="eastAsia"/>
          <w:szCs w:val="21"/>
        </w:rPr>
        <w:t xml:space="preserve">Bebchuk </w:t>
      </w:r>
      <w:r>
        <w:rPr>
          <w:rFonts w:hint="eastAsia"/>
          <w:szCs w:val="21"/>
        </w:rPr>
        <w:t>和</w:t>
      </w:r>
      <w:r>
        <w:rPr>
          <w:rFonts w:hint="eastAsia"/>
          <w:szCs w:val="21"/>
        </w:rPr>
        <w:t xml:space="preserve"> Fried(2003)</w:t>
      </w:r>
      <w:r>
        <w:rPr>
          <w:rFonts w:hint="eastAsia"/>
          <w:szCs w:val="21"/>
          <w:vertAlign w:val="superscript"/>
        </w:rPr>
        <w:t>[1]</w:t>
      </w:r>
      <w:r>
        <w:rPr>
          <w:rFonts w:hint="eastAsia"/>
          <w:szCs w:val="21"/>
        </w:rPr>
        <w:t>提出了著名的管理权力视角</w:t>
      </w:r>
      <w:r>
        <w:rPr>
          <w:rFonts w:hint="eastAsia"/>
          <w:szCs w:val="21"/>
        </w:rPr>
        <w:t>,</w:t>
      </w:r>
      <w:r>
        <w:rPr>
          <w:rFonts w:hint="eastAsia"/>
          <w:szCs w:val="21"/>
        </w:rPr>
        <w:t>在这种方法下，他们认为在所有权高度分散的上市公司中，董事会往往难以与经理层形成真正意义上的“正常交易”关系。出于自身利益，经理层倾向于降低薪酬水平的可见性，并削弱薪酬与其绩效之间的绑定程度，从而减少外部监督压力并扩大可操作空间。管理权力方法能够解释高管薪酬结构中许多长期被研究者认为“难以理解”的特征。除其他方面外，他们重点讨论了期权计划的具体设计、隐性薪酬的形成机制、高管贷款安排、对离职高管的各类支付、退休福利设置、薪酬顾问的使用方式，以及实证研究中反复观察到的“</w:t>
      </w:r>
      <w:r>
        <w:rPr>
          <w:rFonts w:hint="eastAsia"/>
          <w:szCs w:val="21"/>
        </w:rPr>
        <w:t>CEO</w:t>
      </w:r>
      <w:r>
        <w:rPr>
          <w:rFonts w:hint="eastAsia"/>
          <w:szCs w:val="21"/>
        </w:rPr>
        <w:t>权力与薪酬水平”之间的关联。最后，他们指出管理层影响力的介入可能会导致激励机制薄弱甚至出现反常激励，从而形成严重低效的薪酬安排，并在公司治理层面带来持续性成本。他们认为高管可以通过对董事会提名和薪酬委员会构成施加影响，在形式上维持薪酬与绩效挂钩的表象、在实质上却把各种隐性收益嵌入合同中，只要这种薪酬安排不激起股东和公众的愤怒，这些过度支付就可以长期存在。</w:t>
      </w:r>
      <w:r>
        <w:rPr>
          <w:rFonts w:hint="eastAsia"/>
          <w:szCs w:val="21"/>
        </w:rPr>
        <w:t xml:space="preserve">Core </w:t>
      </w:r>
      <w:r>
        <w:rPr>
          <w:rFonts w:hint="eastAsia"/>
          <w:szCs w:val="21"/>
        </w:rPr>
        <w:t>等人</w:t>
      </w:r>
      <w:r>
        <w:rPr>
          <w:rFonts w:hint="eastAsia"/>
          <w:szCs w:val="21"/>
        </w:rPr>
        <w:t>(1999)</w:t>
      </w:r>
      <w:r>
        <w:rPr>
          <w:rFonts w:hint="eastAsia"/>
          <w:szCs w:val="21"/>
          <w:vertAlign w:val="superscript"/>
        </w:rPr>
        <w:t>[3]</w:t>
      </w:r>
      <w:r>
        <w:rPr>
          <w:rFonts w:hint="eastAsia"/>
          <w:szCs w:val="21"/>
        </w:rPr>
        <w:t>通过构建公司治理变量、</w:t>
      </w:r>
      <w:r>
        <w:rPr>
          <w:rFonts w:hint="eastAsia"/>
          <w:szCs w:val="21"/>
        </w:rPr>
        <w:t xml:space="preserve">CEO </w:t>
      </w:r>
      <w:r>
        <w:rPr>
          <w:rFonts w:hint="eastAsia"/>
          <w:szCs w:val="21"/>
        </w:rPr>
        <w:t>薪酬与公司绩效之间的计量模型，对管理权力视角进行了实证检验，研究发现</w:t>
      </w:r>
      <w:r>
        <w:rPr>
          <w:rFonts w:hint="eastAsia"/>
          <w:szCs w:val="21"/>
        </w:rPr>
        <w:t xml:space="preserve">CEO </w:t>
      </w:r>
      <w:r>
        <w:rPr>
          <w:rFonts w:hint="eastAsia"/>
          <w:szCs w:val="21"/>
        </w:rPr>
        <w:t>兼任董事长以及存在多种反收购条款的公司，其</w:t>
      </w:r>
      <w:r>
        <w:rPr>
          <w:rFonts w:hint="eastAsia"/>
          <w:szCs w:val="21"/>
        </w:rPr>
        <w:t xml:space="preserve"> CEO </w:t>
      </w:r>
      <w:r>
        <w:rPr>
          <w:rFonts w:hint="eastAsia"/>
          <w:szCs w:val="21"/>
        </w:rPr>
        <w:t>薪酬水平普遍更高但是公司绩效更差。</w:t>
      </w:r>
    </w:p>
    <w:bookmarkEnd w:id="1"/>
    <w:p w14:paraId="7FEF6714" w14:textId="77777777" w:rsidR="00DA2174" w:rsidRDefault="00000000">
      <w:pPr>
        <w:spacing w:line="312" w:lineRule="auto"/>
        <w:ind w:firstLineChars="200" w:firstLine="420"/>
        <w:rPr>
          <w:szCs w:val="21"/>
        </w:rPr>
      </w:pPr>
      <w:r>
        <w:rPr>
          <w:rFonts w:hint="eastAsia"/>
          <w:szCs w:val="21"/>
        </w:rPr>
        <w:t xml:space="preserve">3.2 </w:t>
      </w:r>
      <w:r>
        <w:rPr>
          <w:rFonts w:hint="eastAsia"/>
          <w:szCs w:val="21"/>
        </w:rPr>
        <w:t>薪酬差距与管理冗余的研究</w:t>
      </w:r>
    </w:p>
    <w:p w14:paraId="1E5259D6" w14:textId="77777777" w:rsidR="00DA2174" w:rsidRDefault="00000000">
      <w:pPr>
        <w:spacing w:line="312" w:lineRule="auto"/>
        <w:ind w:firstLineChars="200" w:firstLine="420"/>
        <w:rPr>
          <w:szCs w:val="21"/>
        </w:rPr>
      </w:pPr>
      <w:bookmarkStart w:id="2" w:name="_Hlk216822781"/>
      <w:r>
        <w:rPr>
          <w:rFonts w:hint="eastAsia"/>
          <w:szCs w:val="21"/>
        </w:rPr>
        <w:t xml:space="preserve">Bu </w:t>
      </w:r>
      <w:r>
        <w:rPr>
          <w:rFonts w:hint="eastAsia"/>
          <w:szCs w:val="21"/>
        </w:rPr>
        <w:t>等</w:t>
      </w:r>
      <w:r>
        <w:rPr>
          <w:rFonts w:hint="eastAsia"/>
          <w:szCs w:val="21"/>
        </w:rPr>
        <w:t>(2019)</w:t>
      </w:r>
      <w:r>
        <w:rPr>
          <w:rFonts w:hint="eastAsia"/>
          <w:szCs w:val="21"/>
          <w:vertAlign w:val="superscript"/>
        </w:rPr>
        <w:t>[4]</w:t>
      </w:r>
      <w:r>
        <w:rPr>
          <w:rFonts w:hint="eastAsia"/>
          <w:szCs w:val="21"/>
        </w:rPr>
        <w:t>利用中国上市公司数据，分析了众多中国公司的政府补贴与高管和员工之间薪酬差距的关系。结果表明，在管理控制下，政府补贴可用于增加高管的薪酬，从而增加中国的企业薪酬差距。同时政府补贴对企业薪酬差距的影响在国有企业（</w:t>
      </w:r>
      <w:r>
        <w:rPr>
          <w:rFonts w:hint="eastAsia"/>
          <w:szCs w:val="21"/>
        </w:rPr>
        <w:t>SOE</w:t>
      </w:r>
      <w:r>
        <w:rPr>
          <w:rFonts w:hint="eastAsia"/>
          <w:szCs w:val="21"/>
        </w:rPr>
        <w:t>）中比在私营公司（非</w:t>
      </w:r>
      <w:r>
        <w:rPr>
          <w:rFonts w:hint="eastAsia"/>
          <w:szCs w:val="21"/>
        </w:rPr>
        <w:t>SOE</w:t>
      </w:r>
      <w:r>
        <w:rPr>
          <w:rFonts w:hint="eastAsia"/>
          <w:szCs w:val="21"/>
        </w:rPr>
        <w:t>）中更大。虽然高管和员工之间的总薪酬差距对公司的成功有积极影响，但政府补贴造成的薪酬差距对公司的经济业绩产生了负面影响。他们发现政府补贴提高了高管薪酬水平但是对普通员工薪酬影响有限，加剧内部收入不平等且这种薪酬差距与公司绩效下降相关，</w:t>
      </w:r>
      <w:r>
        <w:rPr>
          <w:rFonts w:hint="eastAsia"/>
          <w:szCs w:val="21"/>
        </w:rPr>
        <w:t xml:space="preserve">Jiang </w:t>
      </w:r>
      <w:r>
        <w:rPr>
          <w:rFonts w:hint="eastAsia"/>
          <w:szCs w:val="21"/>
        </w:rPr>
        <w:t>等人</w:t>
      </w:r>
      <w:r>
        <w:rPr>
          <w:rFonts w:hint="eastAsia"/>
          <w:szCs w:val="21"/>
        </w:rPr>
        <w:t>(2025)</w:t>
      </w:r>
      <w:r>
        <w:rPr>
          <w:rFonts w:hint="eastAsia"/>
          <w:szCs w:val="21"/>
          <w:vertAlign w:val="superscript"/>
        </w:rPr>
        <w:t>[6]</w:t>
      </w:r>
      <w:r>
        <w:rPr>
          <w:rFonts w:hint="eastAsia"/>
          <w:szCs w:val="21"/>
        </w:rPr>
        <w:t>通过构造多维</w:t>
      </w:r>
      <w:r>
        <w:rPr>
          <w:rFonts w:hint="eastAsia"/>
          <w:szCs w:val="21"/>
        </w:rPr>
        <w:t xml:space="preserve"> slack </w:t>
      </w:r>
      <w:r>
        <w:rPr>
          <w:rFonts w:hint="eastAsia"/>
          <w:szCs w:val="21"/>
        </w:rPr>
        <w:t>指标，发现政府补贴与管理冗余正相关，内部控制质量和社会信任等治理因素可以部分缓解这一问题。</w:t>
      </w:r>
      <w:r>
        <w:rPr>
          <w:rFonts w:hint="eastAsia"/>
          <w:szCs w:val="21"/>
        </w:rPr>
        <w:t xml:space="preserve">Perols </w:t>
      </w:r>
      <w:r>
        <w:rPr>
          <w:rFonts w:hint="eastAsia"/>
          <w:szCs w:val="21"/>
        </w:rPr>
        <w:t>等</w:t>
      </w:r>
      <w:r>
        <w:rPr>
          <w:rFonts w:hint="eastAsia"/>
          <w:szCs w:val="21"/>
        </w:rPr>
        <w:t>(2017)</w:t>
      </w:r>
      <w:r>
        <w:rPr>
          <w:rFonts w:hint="eastAsia"/>
          <w:szCs w:val="21"/>
          <w:vertAlign w:val="superscript"/>
        </w:rPr>
        <w:t>[5]</w:t>
      </w:r>
      <w:r>
        <w:rPr>
          <w:rFonts w:hint="eastAsia"/>
          <w:szCs w:val="21"/>
        </w:rPr>
        <w:t>采用逻辑回归、神经网络、决策树和</w:t>
      </w:r>
      <w:r>
        <w:rPr>
          <w:rFonts w:hint="eastAsia"/>
          <w:szCs w:val="21"/>
        </w:rPr>
        <w:t xml:space="preserve"> Boosting </w:t>
      </w:r>
      <w:r>
        <w:rPr>
          <w:rFonts w:hint="eastAsia"/>
          <w:szCs w:val="21"/>
        </w:rPr>
        <w:t>等多种机器学习算法，系统地评估了三种应对这些挑战的方法。评估财务报表欺诈的实际案例的结果表明，与当前最佳技术相比，其中两种方法将欺诈预测性能提高了约</w:t>
      </w:r>
      <w:r>
        <w:rPr>
          <w:rFonts w:hint="eastAsia"/>
          <w:szCs w:val="21"/>
        </w:rPr>
        <w:t>10%</w:t>
      </w:r>
      <w:r>
        <w:rPr>
          <w:rFonts w:hint="eastAsia"/>
          <w:szCs w:val="21"/>
        </w:rPr>
        <w:t>。改进的欺诈预测可以带来的好处，例如提高美国证券交易委员会检测欺诈性文件的能力，并改善审计公司的客户投资组合决策，他们主张在公司治理中应用数据分析工具。</w:t>
      </w:r>
    </w:p>
    <w:bookmarkEnd w:id="2"/>
    <w:p w14:paraId="584D2C0D" w14:textId="77777777" w:rsidR="00DA2174" w:rsidRDefault="00000000">
      <w:pPr>
        <w:spacing w:beforeLines="25" w:before="78" w:line="312" w:lineRule="auto"/>
        <w:rPr>
          <w:szCs w:val="21"/>
        </w:rPr>
      </w:pPr>
      <w:r>
        <w:rPr>
          <w:rFonts w:hint="eastAsia"/>
          <w:szCs w:val="21"/>
        </w:rPr>
        <w:t xml:space="preserve">4. </w:t>
      </w:r>
      <w:r>
        <w:rPr>
          <w:rFonts w:hint="eastAsia"/>
          <w:szCs w:val="21"/>
        </w:rPr>
        <w:t>研究主要成果</w:t>
      </w:r>
    </w:p>
    <w:p w14:paraId="239FC93D" w14:textId="77777777" w:rsidR="00DA2174" w:rsidRDefault="00000000">
      <w:pPr>
        <w:spacing w:line="312" w:lineRule="auto"/>
        <w:ind w:firstLineChars="200" w:firstLine="420"/>
        <w:rPr>
          <w:szCs w:val="21"/>
        </w:rPr>
      </w:pPr>
      <w:r>
        <w:rPr>
          <w:rFonts w:hint="eastAsia"/>
          <w:szCs w:val="21"/>
        </w:rPr>
        <w:t>在早期主要关注公司治理缺陷与高管薪酬水平之间的关系，研究者往往通过考察董事会结构、反收购条款等因素，解释高管为何可以获得超额薪酬，随着中国资本市场和财政补贴实践的不断发</w:t>
      </w:r>
      <w:r>
        <w:rPr>
          <w:rFonts w:hint="eastAsia"/>
          <w:szCs w:val="21"/>
        </w:rPr>
        <w:lastRenderedPageBreak/>
        <w:t>展，研究重心逐渐延伸到财政补贴如何改变企业预算约束并影响高管行为。研究者发现补贴不仅能推动高管整体薪酬水平上升，还可能扩大高管与普通员工之间的薪酬差距，加剧企业内部收入不平等；有的研究进一步指出，财政补贴还会诱发管理冗余。研究开始采用工具变量、固定效应、分组回归等方法缓解问题；部分学者在此基础上引入中介效应和调节效应模型，通过设置管理冗余、内部控制质量、媒体监督强度等中介变量，更细致地刻画财政补贴影响高管超额薪酬的传导路径。近年来，一些研究借鉴</w:t>
      </w:r>
      <w:r>
        <w:rPr>
          <w:rFonts w:hint="eastAsia"/>
          <w:szCs w:val="21"/>
        </w:rPr>
        <w:t xml:space="preserve"> Li</w:t>
      </w:r>
      <w:r>
        <w:rPr>
          <w:rFonts w:hint="eastAsia"/>
          <w:szCs w:val="21"/>
        </w:rPr>
        <w:t>（</w:t>
      </w:r>
      <w:r>
        <w:rPr>
          <w:rFonts w:hint="eastAsia"/>
          <w:szCs w:val="21"/>
        </w:rPr>
        <w:t>2008</w:t>
      </w:r>
      <w:r>
        <w:rPr>
          <w:rFonts w:hint="eastAsia"/>
          <w:szCs w:val="21"/>
        </w:rPr>
        <w:t>）</w:t>
      </w:r>
      <w:r>
        <w:rPr>
          <w:rFonts w:hint="eastAsia"/>
          <w:szCs w:val="21"/>
          <w:vertAlign w:val="superscript"/>
        </w:rPr>
        <w:t>[2]</w:t>
      </w:r>
      <w:r>
        <w:rPr>
          <w:rFonts w:hint="eastAsia"/>
          <w:szCs w:val="21"/>
        </w:rPr>
        <w:t xml:space="preserve"> </w:t>
      </w:r>
      <w:r>
        <w:rPr>
          <w:rFonts w:hint="eastAsia"/>
          <w:szCs w:val="21"/>
        </w:rPr>
        <w:t>等文本分析方法，开始利用年报可读性、文本复杂性等指标度量管理者自利倾向，同时也有学者尝试引入机器学习和数据挖掘技术，构建基于超额薪酬预测模型，使得研究在方法上逐渐多元化。</w:t>
      </w:r>
    </w:p>
    <w:p w14:paraId="43F7ECD2" w14:textId="77777777" w:rsidR="00DA2174" w:rsidRDefault="00000000">
      <w:pPr>
        <w:spacing w:line="312" w:lineRule="auto"/>
        <w:ind w:firstLineChars="200" w:firstLine="420"/>
        <w:rPr>
          <w:szCs w:val="21"/>
        </w:rPr>
      </w:pPr>
      <w:r>
        <w:rPr>
          <w:rFonts w:hint="eastAsia"/>
          <w:szCs w:val="21"/>
        </w:rPr>
        <w:t>大量实证研究普遍发现补贴强度较高的企业往往高管薪酬水平更高、高管—员工薪酬差距更大和管理冗余现象更明显，一些研究同时指出，在内部治理较弱的企业中，财政补贴与高管超额薪酬之间的正向关系更加突出，说明补贴在这些情景下更容易被高管用来巩固自身利益。与此同时，部分文献也发现，当企业媒体监督更强或外部治理机制更完善时，财政补贴对高管超额薪酬的效应会减弱，总体而言，现有研究从不同角度共同表明财政补贴在公司层面具有双重效应，高管是否获得超额薪酬以及获得多少超额薪酬，取决于补贴规模、补贴类型与企业治理结构和外部监督环境等多方面因素的综合作用。</w:t>
      </w:r>
    </w:p>
    <w:p w14:paraId="19450EF4" w14:textId="77777777" w:rsidR="00DA2174" w:rsidRDefault="00000000">
      <w:pPr>
        <w:spacing w:beforeLines="25" w:before="78" w:line="312" w:lineRule="auto"/>
        <w:rPr>
          <w:szCs w:val="21"/>
        </w:rPr>
      </w:pPr>
      <w:r>
        <w:rPr>
          <w:rFonts w:hint="eastAsia"/>
          <w:szCs w:val="21"/>
        </w:rPr>
        <w:t>5.</w:t>
      </w:r>
      <w:r>
        <w:rPr>
          <w:rFonts w:hint="eastAsia"/>
          <w:szCs w:val="21"/>
        </w:rPr>
        <w:t>发展趋势</w:t>
      </w:r>
    </w:p>
    <w:p w14:paraId="095B783E" w14:textId="77777777" w:rsidR="00DA2174" w:rsidRDefault="00000000">
      <w:pPr>
        <w:spacing w:line="312" w:lineRule="auto"/>
        <w:ind w:firstLineChars="200" w:firstLine="420"/>
        <w:rPr>
          <w:szCs w:val="21"/>
        </w:rPr>
      </w:pPr>
      <w:r>
        <w:rPr>
          <w:rFonts w:hint="eastAsia"/>
          <w:szCs w:val="21"/>
        </w:rPr>
        <w:t>总体来看，财政补贴与高管超额薪酬的研究经历了从单一理论视角到多维综合分析的演进过程，呈现出的研究内容不断拓展、研究方法持续升级的发展趋势。</w:t>
      </w:r>
      <w:r>
        <w:rPr>
          <w:rFonts w:hint="eastAsia"/>
          <w:szCs w:val="21"/>
        </w:rPr>
        <w:t xml:space="preserve"> Bebchuk </w:t>
      </w:r>
      <w:r>
        <w:rPr>
          <w:rFonts w:hint="eastAsia"/>
          <w:szCs w:val="21"/>
        </w:rPr>
        <w:t>和</w:t>
      </w:r>
      <w:r>
        <w:rPr>
          <w:rFonts w:hint="eastAsia"/>
          <w:szCs w:val="21"/>
        </w:rPr>
        <w:t xml:space="preserve"> Fried</w:t>
      </w:r>
      <w:r>
        <w:rPr>
          <w:rFonts w:hint="eastAsia"/>
          <w:szCs w:val="21"/>
        </w:rPr>
        <w:t>（</w:t>
      </w:r>
      <w:r>
        <w:rPr>
          <w:rFonts w:hint="eastAsia"/>
          <w:szCs w:val="21"/>
        </w:rPr>
        <w:t>2003</w:t>
      </w:r>
      <w:r>
        <w:rPr>
          <w:rFonts w:hint="eastAsia"/>
          <w:szCs w:val="21"/>
        </w:rPr>
        <w:t>）</w:t>
      </w:r>
      <w:r>
        <w:rPr>
          <w:rFonts w:hint="eastAsia"/>
          <w:szCs w:val="21"/>
          <w:vertAlign w:val="superscript"/>
        </w:rPr>
        <w:t>[1]</w:t>
      </w:r>
      <w:r>
        <w:rPr>
          <w:rFonts w:hint="eastAsia"/>
          <w:szCs w:val="21"/>
        </w:rPr>
        <w:t>以及</w:t>
      </w:r>
      <w:r>
        <w:rPr>
          <w:rFonts w:hint="eastAsia"/>
          <w:szCs w:val="21"/>
        </w:rPr>
        <w:t xml:space="preserve"> Core </w:t>
      </w:r>
      <w:r>
        <w:rPr>
          <w:rFonts w:hint="eastAsia"/>
          <w:szCs w:val="21"/>
        </w:rPr>
        <w:t>等（</w:t>
      </w:r>
      <w:r>
        <w:rPr>
          <w:rFonts w:hint="eastAsia"/>
          <w:szCs w:val="21"/>
        </w:rPr>
        <w:t>1999</w:t>
      </w:r>
      <w:r>
        <w:rPr>
          <w:rFonts w:hint="eastAsia"/>
          <w:szCs w:val="21"/>
        </w:rPr>
        <w:t>）</w:t>
      </w:r>
      <w:r>
        <w:rPr>
          <w:rFonts w:hint="eastAsia"/>
          <w:szCs w:val="21"/>
          <w:vertAlign w:val="superscript"/>
        </w:rPr>
        <w:t>[3]</w:t>
      </w:r>
      <w:r>
        <w:rPr>
          <w:rFonts w:hint="eastAsia"/>
          <w:szCs w:val="21"/>
        </w:rPr>
        <w:t>从公司治理结构和管理权力格局出发，解释高管为什么会拿到超出正常激励水平的报酬，并未把政府补贴这一在全球范围普遍存在的政策工具纳入核心分析框架；随后，随着中国资本市场的快速发展以及政府补贴规模的不断扩大，学者们逐渐意识到财政补贴不仅仅是企业资产负债表中的一项其他收益，而是会影响企业治理结构的方式，间接地作用于高管薪酬安排，唐清泉和罗党论（</w:t>
      </w:r>
      <w:r>
        <w:rPr>
          <w:rFonts w:hint="eastAsia"/>
          <w:szCs w:val="21"/>
        </w:rPr>
        <w:t>2007</w:t>
      </w:r>
      <w:r>
        <w:rPr>
          <w:rFonts w:hint="eastAsia"/>
          <w:szCs w:val="21"/>
        </w:rPr>
        <w:t>）</w:t>
      </w:r>
      <w:r>
        <w:rPr>
          <w:rFonts w:hint="eastAsia"/>
          <w:szCs w:val="21"/>
          <w:vertAlign w:val="superscript"/>
        </w:rPr>
        <w:t>[10]</w:t>
      </w:r>
      <w:r>
        <w:rPr>
          <w:rFonts w:hint="eastAsia"/>
          <w:szCs w:val="21"/>
        </w:rPr>
        <w:t>讨论补贴动机、步丹璐（</w:t>
      </w:r>
      <w:r>
        <w:rPr>
          <w:rFonts w:hint="eastAsia"/>
          <w:szCs w:val="21"/>
        </w:rPr>
        <w:t>2014</w:t>
      </w:r>
      <w:r>
        <w:rPr>
          <w:rFonts w:hint="eastAsia"/>
          <w:szCs w:val="21"/>
        </w:rPr>
        <w:t>）</w:t>
      </w:r>
      <w:r>
        <w:rPr>
          <w:rFonts w:hint="eastAsia"/>
          <w:szCs w:val="21"/>
          <w:vertAlign w:val="superscript"/>
        </w:rPr>
        <w:t>[9]</w:t>
      </w:r>
      <w:r>
        <w:rPr>
          <w:rFonts w:hint="eastAsia"/>
          <w:szCs w:val="21"/>
        </w:rPr>
        <w:t>和</w:t>
      </w:r>
      <w:r>
        <w:rPr>
          <w:rFonts w:hint="eastAsia"/>
          <w:szCs w:val="21"/>
        </w:rPr>
        <w:t xml:space="preserve"> Bu </w:t>
      </w:r>
      <w:r>
        <w:rPr>
          <w:rFonts w:hint="eastAsia"/>
          <w:szCs w:val="21"/>
        </w:rPr>
        <w:t>等（</w:t>
      </w:r>
      <w:r>
        <w:rPr>
          <w:rFonts w:hint="eastAsia"/>
          <w:szCs w:val="21"/>
        </w:rPr>
        <w:t>2019</w:t>
      </w:r>
      <w:r>
        <w:rPr>
          <w:rFonts w:hint="eastAsia"/>
          <w:szCs w:val="21"/>
        </w:rPr>
        <w:t>）</w:t>
      </w:r>
      <w:r>
        <w:rPr>
          <w:rFonts w:hint="eastAsia"/>
          <w:szCs w:val="21"/>
          <w:vertAlign w:val="superscript"/>
        </w:rPr>
        <w:t>[4]</w:t>
      </w:r>
      <w:r>
        <w:rPr>
          <w:rFonts w:hint="eastAsia"/>
          <w:szCs w:val="21"/>
        </w:rPr>
        <w:t>聚焦补贴与薪酬差距，以及</w:t>
      </w:r>
      <w:r>
        <w:rPr>
          <w:rFonts w:hint="eastAsia"/>
          <w:szCs w:val="21"/>
        </w:rPr>
        <w:t xml:space="preserve"> Jiang </w:t>
      </w:r>
      <w:r>
        <w:rPr>
          <w:rFonts w:hint="eastAsia"/>
          <w:szCs w:val="21"/>
        </w:rPr>
        <w:t>等（</w:t>
      </w:r>
      <w:r>
        <w:rPr>
          <w:rFonts w:hint="eastAsia"/>
          <w:szCs w:val="21"/>
        </w:rPr>
        <w:t>2025</w:t>
      </w:r>
      <w:r>
        <w:rPr>
          <w:rFonts w:hint="eastAsia"/>
          <w:szCs w:val="21"/>
        </w:rPr>
        <w:t>）</w:t>
      </w:r>
      <w:r>
        <w:rPr>
          <w:rFonts w:hint="eastAsia"/>
          <w:szCs w:val="21"/>
          <w:vertAlign w:val="superscript"/>
        </w:rPr>
        <w:t>[6]</w:t>
      </w:r>
      <w:r>
        <w:rPr>
          <w:rFonts w:hint="eastAsia"/>
          <w:szCs w:val="21"/>
        </w:rPr>
        <w:t>考察补贴与管理冗余关系的研究逐渐涌现，这一系列研究共同推动了学界从研究高管拿多少钱转向研究政府给补贴后高管会多拿多少的视角转换。学者们开始意识到，如果只用补贴强度或薪酬水平指标来概括复杂的现实，往往很难解释不同类型企业在补贴与超额薪酬之间表现出的差异，因此后续研究呈现出分化趋势：一部分研究者尝试区分国有企业与民营企业、中央企业与地方企业等，识别在政治关联强弱下财政补贴对高管薪酬激励的差异化影响；另一部分研究者则开始把目光投向区域财政压力差异等制度环境，例如罗昆和曹光宇（</w:t>
      </w:r>
      <w:r>
        <w:rPr>
          <w:rFonts w:hint="eastAsia"/>
          <w:szCs w:val="21"/>
        </w:rPr>
        <w:t>2015</w:t>
      </w:r>
      <w:r>
        <w:rPr>
          <w:rFonts w:hint="eastAsia"/>
          <w:szCs w:val="21"/>
        </w:rPr>
        <w:t>）</w:t>
      </w:r>
      <w:r>
        <w:rPr>
          <w:rFonts w:hint="eastAsia"/>
          <w:szCs w:val="21"/>
          <w:vertAlign w:val="superscript"/>
        </w:rPr>
        <w:t>[7]</w:t>
      </w:r>
      <w:r>
        <w:rPr>
          <w:rFonts w:hint="eastAsia"/>
          <w:szCs w:val="21"/>
        </w:rPr>
        <w:t>发现，在财务困境企业中，政府补贴往往具有雪中送炭与雪上加霜并存的双重效果，它在缓解了企业的流动性压力，另一方面却被高管用来进一步拉大自身与员工之间的薪酬差距。</w:t>
      </w:r>
    </w:p>
    <w:p w14:paraId="15208E96" w14:textId="77777777" w:rsidR="00DA2174" w:rsidRDefault="00000000">
      <w:pPr>
        <w:spacing w:line="312" w:lineRule="auto"/>
        <w:ind w:firstLineChars="200" w:firstLine="420"/>
        <w:rPr>
          <w:szCs w:val="21"/>
        </w:rPr>
      </w:pPr>
      <w:r>
        <w:rPr>
          <w:rFonts w:hint="eastAsia"/>
          <w:szCs w:val="21"/>
        </w:rPr>
        <w:t>随着数据获取能力的提升，早期文献大多只能用规模、盈利能力、成长性等少数变量解释高管薪酬与财政补贴之间的关系，而</w:t>
      </w:r>
      <w:r>
        <w:rPr>
          <w:rFonts w:hint="eastAsia"/>
          <w:szCs w:val="21"/>
        </w:rPr>
        <w:t xml:space="preserve"> Li</w:t>
      </w:r>
      <w:r>
        <w:rPr>
          <w:rFonts w:hint="eastAsia"/>
          <w:szCs w:val="21"/>
        </w:rPr>
        <w:t>（</w:t>
      </w:r>
      <w:r>
        <w:rPr>
          <w:rFonts w:hint="eastAsia"/>
          <w:szCs w:val="21"/>
        </w:rPr>
        <w:t>2008</w:t>
      </w:r>
      <w:r>
        <w:rPr>
          <w:rFonts w:hint="eastAsia"/>
          <w:szCs w:val="21"/>
        </w:rPr>
        <w:t>）</w:t>
      </w:r>
      <w:r>
        <w:rPr>
          <w:rFonts w:hint="eastAsia"/>
          <w:szCs w:val="21"/>
          <w:vertAlign w:val="superscript"/>
        </w:rPr>
        <w:t>[2]</w:t>
      </w:r>
      <w:r>
        <w:rPr>
          <w:rFonts w:hint="eastAsia"/>
          <w:szCs w:val="21"/>
        </w:rPr>
        <w:t>、王克敏等（</w:t>
      </w:r>
      <w:r>
        <w:rPr>
          <w:rFonts w:hint="eastAsia"/>
          <w:szCs w:val="21"/>
        </w:rPr>
        <w:t>2018</w:t>
      </w:r>
      <w:r>
        <w:rPr>
          <w:rFonts w:hint="eastAsia"/>
          <w:szCs w:val="21"/>
        </w:rPr>
        <w:t>）</w:t>
      </w:r>
      <w:r>
        <w:rPr>
          <w:rFonts w:hint="eastAsia"/>
          <w:szCs w:val="21"/>
          <w:vertAlign w:val="superscript"/>
        </w:rPr>
        <w:t>[15]</w:t>
      </w:r>
      <w:r>
        <w:rPr>
          <w:rFonts w:hint="eastAsia"/>
          <w:szCs w:val="21"/>
        </w:rPr>
        <w:t>和马长峰等（</w:t>
      </w:r>
      <w:r>
        <w:rPr>
          <w:rFonts w:hint="eastAsia"/>
          <w:szCs w:val="21"/>
        </w:rPr>
        <w:t>2020</w:t>
      </w:r>
      <w:r>
        <w:rPr>
          <w:rFonts w:hint="eastAsia"/>
          <w:szCs w:val="21"/>
        </w:rPr>
        <w:t>）</w:t>
      </w:r>
      <w:r>
        <w:rPr>
          <w:rFonts w:hint="eastAsia"/>
          <w:szCs w:val="21"/>
          <w:vertAlign w:val="superscript"/>
        </w:rPr>
        <w:t>[17]</w:t>
      </w:r>
      <w:r>
        <w:rPr>
          <w:rFonts w:hint="eastAsia"/>
          <w:szCs w:val="21"/>
        </w:rPr>
        <w:t>的研究表明，如果研究者能够充分利用年报、社会责任报告以及媒体报道中的文本信息，就可以从可读性、复杂性、情感等多个维度刻画管理层自利动机，</w:t>
      </w:r>
      <w:r>
        <w:rPr>
          <w:rFonts w:hint="eastAsia"/>
          <w:szCs w:val="21"/>
        </w:rPr>
        <w:t xml:space="preserve">Perols </w:t>
      </w:r>
      <w:r>
        <w:rPr>
          <w:rFonts w:hint="eastAsia"/>
          <w:szCs w:val="21"/>
        </w:rPr>
        <w:t>等（</w:t>
      </w:r>
      <w:r>
        <w:rPr>
          <w:rFonts w:hint="eastAsia"/>
          <w:szCs w:val="21"/>
        </w:rPr>
        <w:t>2017</w:t>
      </w:r>
      <w:r>
        <w:rPr>
          <w:rFonts w:hint="eastAsia"/>
          <w:szCs w:val="21"/>
        </w:rPr>
        <w:t>）</w:t>
      </w:r>
      <w:r>
        <w:rPr>
          <w:rFonts w:hint="eastAsia"/>
          <w:szCs w:val="21"/>
          <w:vertAlign w:val="superscript"/>
        </w:rPr>
        <w:t>[5]</w:t>
      </w:r>
      <w:r>
        <w:rPr>
          <w:rFonts w:hint="eastAsia"/>
          <w:szCs w:val="21"/>
        </w:rPr>
        <w:t>通过逻辑回归</w:t>
      </w:r>
      <w:r>
        <w:rPr>
          <w:rFonts w:hint="eastAsia"/>
          <w:szCs w:val="21"/>
        </w:rPr>
        <w:t xml:space="preserve"> </w:t>
      </w:r>
      <w:r>
        <w:rPr>
          <w:rFonts w:hint="eastAsia"/>
          <w:szCs w:val="21"/>
        </w:rPr>
        <w:t>等算法提高了舞</w:t>
      </w:r>
      <w:r>
        <w:rPr>
          <w:rFonts w:hint="eastAsia"/>
          <w:szCs w:val="21"/>
        </w:rPr>
        <w:lastRenderedPageBreak/>
        <w:t>弊预测的准确率，陆瑶等（</w:t>
      </w:r>
      <w:r>
        <w:rPr>
          <w:rFonts w:hint="eastAsia"/>
          <w:szCs w:val="21"/>
        </w:rPr>
        <w:t>2020</w:t>
      </w:r>
      <w:r>
        <w:rPr>
          <w:rFonts w:hint="eastAsia"/>
          <w:szCs w:val="21"/>
        </w:rPr>
        <w:t>）</w:t>
      </w:r>
      <w:r>
        <w:rPr>
          <w:rFonts w:hint="eastAsia"/>
          <w:szCs w:val="21"/>
          <w:vertAlign w:val="superscript"/>
        </w:rPr>
        <w:t>[16]</w:t>
      </w:r>
      <w:r>
        <w:rPr>
          <w:rFonts w:hint="eastAsia"/>
          <w:szCs w:val="21"/>
        </w:rPr>
        <w:t>验证了机器学习在捕捉非线性关系方面的有效性。</w:t>
      </w:r>
    </w:p>
    <w:p w14:paraId="1D0ABC7A" w14:textId="77777777" w:rsidR="00DA2174" w:rsidRDefault="00000000">
      <w:pPr>
        <w:spacing w:line="312" w:lineRule="auto"/>
        <w:ind w:firstLineChars="200" w:firstLine="420"/>
        <w:rPr>
          <w:szCs w:val="21"/>
        </w:rPr>
      </w:pPr>
      <w:r>
        <w:rPr>
          <w:rFonts w:hint="eastAsia"/>
          <w:szCs w:val="21"/>
        </w:rPr>
        <w:t>未来研究可进一步关注：</w:t>
      </w:r>
      <w:r>
        <w:rPr>
          <w:rFonts w:hint="eastAsia"/>
          <w:szCs w:val="21"/>
        </w:rPr>
        <w:t>1.</w:t>
      </w:r>
      <w:r>
        <w:rPr>
          <w:rFonts w:hint="eastAsia"/>
          <w:szCs w:val="21"/>
        </w:rPr>
        <w:t>在财政补贴指标中区分定向性补贴、一次性补贴、持续性补贴等，在超额薪酬指标中同时考虑货币薪酬在职消费等多个维度，并尝试用机器学习方法替代单一线性模型来估计正常薪酬基准；</w:t>
      </w:r>
      <w:r>
        <w:rPr>
          <w:rFonts w:hint="eastAsia"/>
          <w:szCs w:val="21"/>
        </w:rPr>
        <w:t>2.</w:t>
      </w:r>
      <w:r>
        <w:rPr>
          <w:rFonts w:hint="eastAsia"/>
          <w:szCs w:val="21"/>
        </w:rPr>
        <w:t>可以将上市公司年报、社会责任报告、以及社交媒体报道等文本信息与补贴数据相结合，利用机器学习方法构建超额薪酬风险评分体系，</w:t>
      </w:r>
      <w:r>
        <w:rPr>
          <w:rFonts w:hint="eastAsia"/>
          <w:szCs w:val="21"/>
        </w:rPr>
        <w:t>3.</w:t>
      </w:r>
      <w:r>
        <w:rPr>
          <w:rFonts w:hint="eastAsia"/>
          <w:szCs w:val="21"/>
        </w:rPr>
        <w:t>可以将中国经验与其他发达国家中关于产业补贴和高管薪酬的制度实践进行对照，为我国在推进高质量发展优化财政补贴政策设计、完善高管薪酬监管框架提供参考。</w:t>
      </w:r>
    </w:p>
    <w:bookmarkEnd w:id="0"/>
    <w:p w14:paraId="3FED5FB3" w14:textId="77777777" w:rsidR="00DA2174" w:rsidRDefault="00DA2174">
      <w:pPr>
        <w:spacing w:beforeLines="25" w:before="78" w:line="312" w:lineRule="auto"/>
        <w:ind w:firstLineChars="200" w:firstLine="420"/>
      </w:pPr>
    </w:p>
    <w:p w14:paraId="107D2588" w14:textId="77777777" w:rsidR="00DA2174" w:rsidRDefault="00000000">
      <w:pPr>
        <w:spacing w:beforeLines="25" w:before="78" w:line="312" w:lineRule="auto"/>
        <w:rPr>
          <w:rFonts w:eastAsia="黑体"/>
          <w:sz w:val="28"/>
        </w:rPr>
      </w:pPr>
      <w:r>
        <w:rPr>
          <w:rFonts w:eastAsia="黑体"/>
          <w:sz w:val="28"/>
        </w:rPr>
        <w:br w:type="page"/>
      </w:r>
      <w:r>
        <w:rPr>
          <w:rFonts w:eastAsia="黑体"/>
          <w:sz w:val="28"/>
        </w:rPr>
        <w:lastRenderedPageBreak/>
        <w:t>二、研究目标与主要内容</w:t>
      </w:r>
    </w:p>
    <w:p w14:paraId="2C157B2B" w14:textId="77777777" w:rsidR="00DA2174" w:rsidRDefault="00000000">
      <w:pPr>
        <w:spacing w:beforeLines="25" w:before="78" w:line="312" w:lineRule="auto"/>
        <w:ind w:firstLineChars="200" w:firstLine="420"/>
      </w:pPr>
      <w:r>
        <w:t>本研究希望在管理者权力理论的分析框架下，聚焦政府补助这一外生资源变量，通过中介效应模型和分行业、分产权性质的机制检验，系统揭示其影响高管超额薪酬的核心路径</w:t>
      </w:r>
      <w:r>
        <w:rPr>
          <w:rFonts w:hint="eastAsia"/>
        </w:rPr>
        <w:t>。</w:t>
      </w:r>
    </w:p>
    <w:p w14:paraId="4F22F344" w14:textId="77777777" w:rsidR="00DA2174" w:rsidRDefault="00000000">
      <w:pPr>
        <w:spacing w:beforeLines="25" w:before="78" w:line="312" w:lineRule="auto"/>
        <w:ind w:firstLineChars="200" w:firstLine="420"/>
      </w:pPr>
      <w:r>
        <w:rPr>
          <w:rFonts w:hint="eastAsia"/>
        </w:rPr>
        <w:t>本研究主要内容是：第一，将系统梳理国内外关于财政补贴、高管超额薪酬、管理冗余和文本信息披露等方面的文献，在此基础上结合管理者权力理论构建财政补贴—内部治理—信息披露—高管超额薪酬的分析框架，对相关核心概念进行界定并提出研究假设。第二，本研究将以沪深</w:t>
      </w:r>
      <w:r>
        <w:rPr>
          <w:rFonts w:hint="eastAsia"/>
        </w:rPr>
        <w:t>A</w:t>
      </w:r>
      <w:r>
        <w:rPr>
          <w:rFonts w:hint="eastAsia"/>
        </w:rPr>
        <w:t>股上市公司为样本，整理财政补贴披露数据、财务指标、高管薪酬数据和年报文本特征，借鉴</w:t>
      </w:r>
      <w:r>
        <w:rPr>
          <w:rFonts w:hint="eastAsia"/>
        </w:rPr>
        <w:t xml:space="preserve"> Core </w:t>
      </w:r>
      <w:r>
        <w:rPr>
          <w:rFonts w:hint="eastAsia"/>
        </w:rPr>
        <w:t>等（</w:t>
      </w:r>
      <w:r>
        <w:rPr>
          <w:rFonts w:hint="eastAsia"/>
        </w:rPr>
        <w:t>1999</w:t>
      </w:r>
      <w:r>
        <w:rPr>
          <w:rFonts w:hint="eastAsia"/>
        </w:rPr>
        <w:t>）的基准薪酬模型思路并适当引入数据挖掘方法，构建多元线性回归模型，实证检验财政补贴强度与高管超额薪酬之间的总体关系及其在不同地区和不同内部治理水平下的异质性效应，分析管理冗余、内部控制质量、媒体监督和文本复杂性在其中可能发挥的调节作用。第三，提出针对财政补贴制度优化、高管薪酬监管完善以及信息披露与外部监督机制健全的建议，同时指出本研究在数据与方法方面的优势与不足。</w:t>
      </w:r>
    </w:p>
    <w:p w14:paraId="0ADB5EF5" w14:textId="77777777" w:rsidR="00DA2174" w:rsidRDefault="00000000">
      <w:pPr>
        <w:spacing w:beforeLines="25" w:before="78" w:line="312" w:lineRule="auto"/>
        <w:ind w:firstLineChars="200" w:firstLine="420"/>
      </w:pPr>
      <w:r>
        <w:rPr>
          <w:rFonts w:hint="eastAsia"/>
        </w:rPr>
        <w:t>第一章</w:t>
      </w:r>
      <w:r>
        <w:rPr>
          <w:rFonts w:hint="eastAsia"/>
        </w:rPr>
        <w:t xml:space="preserve"> </w:t>
      </w:r>
      <w:r>
        <w:rPr>
          <w:rFonts w:hint="eastAsia"/>
        </w:rPr>
        <w:t>绪论</w:t>
      </w:r>
    </w:p>
    <w:p w14:paraId="1CD69C05" w14:textId="77777777" w:rsidR="00DA2174" w:rsidRDefault="00000000">
      <w:pPr>
        <w:spacing w:beforeLines="25" w:before="78" w:line="312" w:lineRule="auto"/>
        <w:ind w:firstLineChars="200" w:firstLine="420"/>
      </w:pPr>
      <w:r>
        <w:rPr>
          <w:rFonts w:hint="eastAsia"/>
        </w:rPr>
        <w:t xml:space="preserve">　</w:t>
      </w:r>
      <w:r>
        <w:rPr>
          <w:rFonts w:hint="eastAsia"/>
        </w:rPr>
        <w:t xml:space="preserve">1.1 </w:t>
      </w:r>
      <w:r>
        <w:rPr>
          <w:rFonts w:hint="eastAsia"/>
        </w:rPr>
        <w:t>研究背景与问题提出</w:t>
      </w:r>
    </w:p>
    <w:p w14:paraId="702C3C70" w14:textId="77777777" w:rsidR="00DA2174" w:rsidRDefault="00000000">
      <w:pPr>
        <w:spacing w:beforeLines="25" w:before="78" w:line="312" w:lineRule="auto"/>
        <w:ind w:firstLineChars="200" w:firstLine="420"/>
      </w:pPr>
      <w:r>
        <w:rPr>
          <w:rFonts w:hint="eastAsia"/>
        </w:rPr>
        <w:t xml:space="preserve">　</w:t>
      </w:r>
      <w:r>
        <w:rPr>
          <w:rFonts w:hint="eastAsia"/>
        </w:rPr>
        <w:t xml:space="preserve">1.2 </w:t>
      </w:r>
      <w:r>
        <w:rPr>
          <w:rFonts w:hint="eastAsia"/>
        </w:rPr>
        <w:t>研究目的与研究意义</w:t>
      </w:r>
    </w:p>
    <w:p w14:paraId="6C177F9C" w14:textId="77777777" w:rsidR="00DA2174" w:rsidRDefault="00000000">
      <w:pPr>
        <w:spacing w:beforeLines="25" w:before="78" w:line="312" w:lineRule="auto"/>
        <w:ind w:firstLineChars="300" w:firstLine="630"/>
      </w:pPr>
      <w:r>
        <w:rPr>
          <w:rFonts w:hint="eastAsia"/>
        </w:rPr>
        <w:t xml:space="preserve">1.3 </w:t>
      </w:r>
      <w:r>
        <w:rPr>
          <w:rFonts w:hint="eastAsia"/>
        </w:rPr>
        <w:t>国内外研究现状</w:t>
      </w:r>
    </w:p>
    <w:p w14:paraId="5C87654D" w14:textId="77777777" w:rsidR="00DA2174" w:rsidRDefault="00000000">
      <w:pPr>
        <w:spacing w:beforeLines="25" w:before="78" w:line="312" w:lineRule="auto"/>
        <w:ind w:firstLineChars="200" w:firstLine="420"/>
      </w:pPr>
      <w:r>
        <w:rPr>
          <w:rFonts w:hint="eastAsia"/>
        </w:rPr>
        <w:t xml:space="preserve">　</w:t>
      </w:r>
      <w:r>
        <w:rPr>
          <w:rFonts w:hint="eastAsia"/>
        </w:rPr>
        <w:t xml:space="preserve">1.3 </w:t>
      </w:r>
      <w:r>
        <w:rPr>
          <w:rFonts w:hint="eastAsia"/>
        </w:rPr>
        <w:t>研究方法与技术路线</w:t>
      </w:r>
    </w:p>
    <w:p w14:paraId="51462EE3" w14:textId="77777777" w:rsidR="00DA2174" w:rsidRDefault="00000000">
      <w:pPr>
        <w:spacing w:beforeLines="25" w:before="78" w:line="312" w:lineRule="auto"/>
        <w:ind w:firstLineChars="200" w:firstLine="420"/>
      </w:pPr>
      <w:r>
        <w:rPr>
          <w:rFonts w:hint="eastAsia"/>
        </w:rPr>
        <w:t xml:space="preserve">　第二章</w:t>
      </w:r>
      <w:r>
        <w:rPr>
          <w:rFonts w:hint="eastAsia"/>
        </w:rPr>
        <w:t xml:space="preserve"> </w:t>
      </w:r>
      <w:r>
        <w:rPr>
          <w:rFonts w:hint="eastAsia"/>
        </w:rPr>
        <w:t>理论基础与文献综述</w:t>
      </w:r>
    </w:p>
    <w:p w14:paraId="0C81943B" w14:textId="77777777" w:rsidR="00DA2174" w:rsidRDefault="00000000">
      <w:pPr>
        <w:spacing w:beforeLines="25" w:before="78" w:line="312" w:lineRule="auto"/>
        <w:ind w:firstLineChars="200" w:firstLine="420"/>
      </w:pPr>
      <w:r>
        <w:rPr>
          <w:rFonts w:hint="eastAsia"/>
        </w:rPr>
        <w:t xml:space="preserve">　</w:t>
      </w:r>
      <w:r>
        <w:rPr>
          <w:rFonts w:hint="eastAsia"/>
          <w:color w:val="2E74B5" w:themeColor="accent1" w:themeShade="BF"/>
        </w:rPr>
        <w:t xml:space="preserve">　</w:t>
      </w:r>
      <w:r>
        <w:rPr>
          <w:rFonts w:hint="eastAsia"/>
        </w:rPr>
        <w:t xml:space="preserve">2.1 </w:t>
      </w:r>
      <w:r>
        <w:rPr>
          <w:rFonts w:hint="eastAsia"/>
        </w:rPr>
        <w:t>相关概念界定</w:t>
      </w:r>
    </w:p>
    <w:p w14:paraId="62206623" w14:textId="77777777" w:rsidR="00DA2174" w:rsidRDefault="00000000">
      <w:pPr>
        <w:spacing w:beforeLines="25" w:before="78" w:line="312" w:lineRule="auto"/>
        <w:ind w:firstLineChars="200" w:firstLine="420"/>
      </w:pPr>
      <w:r>
        <w:rPr>
          <w:rFonts w:hint="eastAsia"/>
        </w:rPr>
        <w:t xml:space="preserve">　　</w:t>
      </w:r>
      <w:r>
        <w:rPr>
          <w:rFonts w:hint="eastAsia"/>
        </w:rPr>
        <w:t xml:space="preserve"> 2.1.1 </w:t>
      </w:r>
      <w:r>
        <w:rPr>
          <w:rFonts w:hint="eastAsia"/>
        </w:rPr>
        <w:t>财政补贴</w:t>
      </w:r>
    </w:p>
    <w:p w14:paraId="0FFB2A3B" w14:textId="77777777" w:rsidR="00DA2174" w:rsidRDefault="00000000">
      <w:pPr>
        <w:spacing w:beforeLines="25" w:before="78" w:line="312" w:lineRule="auto"/>
        <w:ind w:firstLineChars="200" w:firstLine="420"/>
      </w:pPr>
      <w:r>
        <w:rPr>
          <w:rFonts w:hint="eastAsia"/>
        </w:rPr>
        <w:t xml:space="preserve">　　</w:t>
      </w:r>
      <w:r>
        <w:rPr>
          <w:rFonts w:hint="eastAsia"/>
        </w:rPr>
        <w:t xml:space="preserve"> 2.1.2 </w:t>
      </w:r>
      <w:r>
        <w:rPr>
          <w:rFonts w:hint="eastAsia"/>
        </w:rPr>
        <w:t>高管超额薪酬</w:t>
      </w:r>
    </w:p>
    <w:p w14:paraId="318FC0EC" w14:textId="77777777" w:rsidR="00DA2174" w:rsidRDefault="00000000">
      <w:pPr>
        <w:spacing w:beforeLines="25" w:before="78" w:line="312" w:lineRule="auto"/>
        <w:ind w:firstLineChars="200" w:firstLine="420"/>
      </w:pPr>
      <w:r>
        <w:rPr>
          <w:rFonts w:hint="eastAsia"/>
        </w:rPr>
        <w:t xml:space="preserve">　</w:t>
      </w:r>
      <w:r>
        <w:rPr>
          <w:rFonts w:hint="eastAsia"/>
        </w:rPr>
        <w:t xml:space="preserve">  2.2 </w:t>
      </w:r>
      <w:r>
        <w:rPr>
          <w:rFonts w:hint="eastAsia"/>
        </w:rPr>
        <w:t>相关理论基础</w:t>
      </w:r>
    </w:p>
    <w:p w14:paraId="72E8ED01" w14:textId="77777777" w:rsidR="00DA2174" w:rsidRDefault="00000000">
      <w:pPr>
        <w:spacing w:beforeLines="25" w:before="78" w:line="312" w:lineRule="auto"/>
        <w:ind w:firstLineChars="200" w:firstLine="420"/>
      </w:pPr>
      <w:r>
        <w:rPr>
          <w:rFonts w:hint="eastAsia"/>
        </w:rPr>
        <w:t xml:space="preserve">　　</w:t>
      </w:r>
      <w:r>
        <w:rPr>
          <w:rFonts w:hint="eastAsia"/>
        </w:rPr>
        <w:t xml:space="preserve"> 2.2.1 </w:t>
      </w:r>
      <w:r>
        <w:rPr>
          <w:rFonts w:hint="eastAsia"/>
        </w:rPr>
        <w:t>管理者权力理论</w:t>
      </w:r>
    </w:p>
    <w:p w14:paraId="6CD9464F" w14:textId="77777777" w:rsidR="00DA2174" w:rsidRDefault="00000000">
      <w:pPr>
        <w:spacing w:beforeLines="25" w:before="78" w:line="312" w:lineRule="auto"/>
        <w:ind w:firstLineChars="200" w:firstLine="420"/>
      </w:pPr>
      <w:r>
        <w:rPr>
          <w:rFonts w:hint="eastAsia"/>
        </w:rPr>
        <w:t xml:space="preserve">　　</w:t>
      </w:r>
      <w:r>
        <w:rPr>
          <w:rFonts w:hint="eastAsia"/>
        </w:rPr>
        <w:t xml:space="preserve"> 2.2.2 </w:t>
      </w:r>
      <w:r>
        <w:rPr>
          <w:rFonts w:hint="eastAsia"/>
        </w:rPr>
        <w:t>代理理论</w:t>
      </w:r>
    </w:p>
    <w:p w14:paraId="666B23C8" w14:textId="77777777" w:rsidR="00DA2174" w:rsidRDefault="00000000">
      <w:pPr>
        <w:spacing w:beforeLines="25" w:before="78" w:line="312" w:lineRule="auto"/>
        <w:ind w:firstLineChars="200" w:firstLine="420"/>
      </w:pPr>
      <w:r>
        <w:rPr>
          <w:rFonts w:hint="eastAsia"/>
        </w:rPr>
        <w:t xml:space="preserve">　　</w:t>
      </w:r>
      <w:r>
        <w:rPr>
          <w:rFonts w:hint="eastAsia"/>
        </w:rPr>
        <w:t xml:space="preserve"> 2.2.3</w:t>
      </w:r>
      <w:r>
        <w:rPr>
          <w:rFonts w:hint="eastAsia"/>
        </w:rPr>
        <w:t>信号传递理论</w:t>
      </w:r>
    </w:p>
    <w:p w14:paraId="37489CD4" w14:textId="77777777" w:rsidR="00DA2174" w:rsidRDefault="00000000">
      <w:pPr>
        <w:spacing w:beforeLines="25" w:before="78" w:line="312" w:lineRule="auto"/>
        <w:ind w:firstLineChars="200" w:firstLine="420"/>
      </w:pPr>
      <w:r>
        <w:rPr>
          <w:rFonts w:hint="eastAsia"/>
          <w:color w:val="EE0000"/>
        </w:rPr>
        <w:t xml:space="preserve">　</w:t>
      </w:r>
      <w:r>
        <w:rPr>
          <w:rFonts w:hint="eastAsia"/>
        </w:rPr>
        <w:t>第三章</w:t>
      </w:r>
      <w:r>
        <w:rPr>
          <w:rFonts w:hint="eastAsia"/>
        </w:rPr>
        <w:t xml:space="preserve"> </w:t>
      </w:r>
      <w:r>
        <w:rPr>
          <w:rFonts w:hint="eastAsia"/>
        </w:rPr>
        <w:t>研究设计</w:t>
      </w:r>
    </w:p>
    <w:p w14:paraId="77B53D70" w14:textId="77777777" w:rsidR="00DA2174" w:rsidRDefault="00000000">
      <w:pPr>
        <w:spacing w:beforeLines="25" w:before="78" w:line="312" w:lineRule="auto"/>
        <w:ind w:firstLineChars="200" w:firstLine="420"/>
      </w:pPr>
      <w:r>
        <w:rPr>
          <w:rFonts w:hint="eastAsia"/>
        </w:rPr>
        <w:t xml:space="preserve">　</w:t>
      </w:r>
      <w:r>
        <w:rPr>
          <w:rFonts w:hint="eastAsia"/>
        </w:rPr>
        <w:t xml:space="preserve">3.1 </w:t>
      </w:r>
      <w:r>
        <w:rPr>
          <w:rFonts w:hint="eastAsia"/>
        </w:rPr>
        <w:t>研究思路与分析框架</w:t>
      </w:r>
    </w:p>
    <w:p w14:paraId="7F02FC60" w14:textId="77777777" w:rsidR="00DA2174" w:rsidRDefault="00000000">
      <w:pPr>
        <w:spacing w:beforeLines="25" w:before="78" w:line="312" w:lineRule="auto"/>
        <w:ind w:firstLineChars="200" w:firstLine="420"/>
      </w:pPr>
      <w:r>
        <w:rPr>
          <w:rFonts w:hint="eastAsia"/>
        </w:rPr>
        <w:t xml:space="preserve">　</w:t>
      </w:r>
      <w:r>
        <w:rPr>
          <w:rFonts w:hint="eastAsia"/>
        </w:rPr>
        <w:t xml:space="preserve">3.2 </w:t>
      </w:r>
      <w:r>
        <w:rPr>
          <w:rFonts w:hint="eastAsia"/>
        </w:rPr>
        <w:t>研究假设提出</w:t>
      </w:r>
    </w:p>
    <w:p w14:paraId="3098F778" w14:textId="77777777" w:rsidR="00DA2174" w:rsidRDefault="00000000">
      <w:pPr>
        <w:spacing w:beforeLines="25" w:before="78" w:line="312" w:lineRule="auto"/>
        <w:ind w:firstLineChars="200" w:firstLine="420"/>
      </w:pPr>
      <w:r>
        <w:rPr>
          <w:rFonts w:hint="eastAsia"/>
        </w:rPr>
        <w:t xml:space="preserve">　</w:t>
      </w:r>
      <w:r>
        <w:rPr>
          <w:rFonts w:hint="eastAsia"/>
        </w:rPr>
        <w:t xml:space="preserve">3.3 </w:t>
      </w:r>
      <w:r>
        <w:rPr>
          <w:rFonts w:hint="eastAsia"/>
        </w:rPr>
        <w:t>样本选择与数据来源</w:t>
      </w:r>
    </w:p>
    <w:p w14:paraId="775A9586" w14:textId="77777777" w:rsidR="00DA2174" w:rsidRDefault="00000000">
      <w:pPr>
        <w:spacing w:beforeLines="25" w:before="78" w:line="312" w:lineRule="auto"/>
        <w:ind w:firstLineChars="200" w:firstLine="420"/>
      </w:pPr>
      <w:r>
        <w:rPr>
          <w:rFonts w:hint="eastAsia"/>
        </w:rPr>
        <w:t xml:space="preserve">　</w:t>
      </w:r>
      <w:r>
        <w:rPr>
          <w:rFonts w:hint="eastAsia"/>
        </w:rPr>
        <w:t xml:space="preserve">3.4 </w:t>
      </w:r>
      <w:r>
        <w:rPr>
          <w:rFonts w:hint="eastAsia"/>
        </w:rPr>
        <w:t>变量设定与说明</w:t>
      </w:r>
    </w:p>
    <w:p w14:paraId="69273B33" w14:textId="77777777" w:rsidR="00DA2174" w:rsidRDefault="00000000">
      <w:pPr>
        <w:spacing w:beforeLines="25" w:before="78" w:line="312" w:lineRule="auto"/>
        <w:ind w:firstLineChars="200" w:firstLine="420"/>
      </w:pPr>
      <w:r>
        <w:rPr>
          <w:rFonts w:hint="eastAsia"/>
        </w:rPr>
        <w:t xml:space="preserve">　　</w:t>
      </w:r>
      <w:r>
        <w:rPr>
          <w:rFonts w:hint="eastAsia"/>
        </w:rPr>
        <w:t xml:space="preserve">3.4.1 </w:t>
      </w:r>
      <w:r>
        <w:rPr>
          <w:rFonts w:hint="eastAsia"/>
        </w:rPr>
        <w:t>被解释变量：高管超额薪酬</w:t>
      </w:r>
    </w:p>
    <w:p w14:paraId="211707BE" w14:textId="77777777" w:rsidR="00DA2174" w:rsidRDefault="00000000">
      <w:pPr>
        <w:spacing w:beforeLines="25" w:before="78" w:line="312" w:lineRule="auto"/>
        <w:ind w:firstLineChars="200" w:firstLine="420"/>
      </w:pPr>
      <w:r>
        <w:rPr>
          <w:rFonts w:hint="eastAsia"/>
        </w:rPr>
        <w:lastRenderedPageBreak/>
        <w:t xml:space="preserve">　　</w:t>
      </w:r>
      <w:r>
        <w:rPr>
          <w:rFonts w:hint="eastAsia"/>
        </w:rPr>
        <w:t xml:space="preserve">3.4.2 </w:t>
      </w:r>
      <w:r>
        <w:rPr>
          <w:rFonts w:hint="eastAsia"/>
        </w:rPr>
        <w:t>解释变量：财政补贴强度</w:t>
      </w:r>
    </w:p>
    <w:p w14:paraId="0B90D34D" w14:textId="77777777" w:rsidR="00DA2174" w:rsidRDefault="00000000">
      <w:pPr>
        <w:spacing w:beforeLines="25" w:before="78" w:line="312" w:lineRule="auto"/>
        <w:ind w:firstLineChars="200" w:firstLine="420"/>
      </w:pPr>
      <w:r>
        <w:rPr>
          <w:rFonts w:hint="eastAsia"/>
        </w:rPr>
        <w:t xml:space="preserve">　　</w:t>
      </w:r>
      <w:r>
        <w:rPr>
          <w:rFonts w:hint="eastAsia"/>
        </w:rPr>
        <w:t xml:space="preserve">3.4.3 </w:t>
      </w:r>
      <w:r>
        <w:rPr>
          <w:rFonts w:hint="eastAsia"/>
        </w:rPr>
        <w:t>中介与调节变量</w:t>
      </w:r>
    </w:p>
    <w:p w14:paraId="4E06EB31" w14:textId="77777777" w:rsidR="00DA2174" w:rsidRDefault="00000000">
      <w:pPr>
        <w:spacing w:beforeLines="25" w:before="78" w:line="312" w:lineRule="auto"/>
        <w:ind w:firstLineChars="200" w:firstLine="420"/>
      </w:pPr>
      <w:r>
        <w:rPr>
          <w:rFonts w:hint="eastAsia"/>
        </w:rPr>
        <w:t xml:space="preserve">　　</w:t>
      </w:r>
      <w:r>
        <w:rPr>
          <w:rFonts w:hint="eastAsia"/>
        </w:rPr>
        <w:t xml:space="preserve">3.4.4 </w:t>
      </w:r>
      <w:r>
        <w:rPr>
          <w:rFonts w:hint="eastAsia"/>
        </w:rPr>
        <w:t>控制变量</w:t>
      </w:r>
    </w:p>
    <w:p w14:paraId="7A7995CE" w14:textId="77777777" w:rsidR="00DA2174" w:rsidRDefault="00000000">
      <w:pPr>
        <w:spacing w:beforeLines="25" w:before="78" w:line="312" w:lineRule="auto"/>
        <w:ind w:firstLineChars="200" w:firstLine="420"/>
      </w:pPr>
      <w:r>
        <w:rPr>
          <w:rFonts w:hint="eastAsia"/>
        </w:rPr>
        <w:t xml:space="preserve">　</w:t>
      </w:r>
      <w:r>
        <w:rPr>
          <w:rFonts w:hint="eastAsia"/>
        </w:rPr>
        <w:t xml:space="preserve">3.5 </w:t>
      </w:r>
      <w:r>
        <w:rPr>
          <w:rFonts w:hint="eastAsia"/>
        </w:rPr>
        <w:t>模型构建</w:t>
      </w:r>
    </w:p>
    <w:p w14:paraId="25750C54" w14:textId="77777777" w:rsidR="00DA2174" w:rsidRDefault="00000000">
      <w:pPr>
        <w:spacing w:beforeLines="25" w:before="78" w:line="312" w:lineRule="auto"/>
        <w:ind w:firstLineChars="200" w:firstLine="420"/>
      </w:pPr>
      <w:r>
        <w:rPr>
          <w:rFonts w:hint="eastAsia"/>
        </w:rPr>
        <w:t>第四章</w:t>
      </w:r>
      <w:r>
        <w:rPr>
          <w:rFonts w:hint="eastAsia"/>
        </w:rPr>
        <w:t xml:space="preserve"> </w:t>
      </w:r>
      <w:r>
        <w:rPr>
          <w:rFonts w:hint="eastAsia"/>
        </w:rPr>
        <w:t>财政补贴与高管超额薪酬的实证分析</w:t>
      </w:r>
    </w:p>
    <w:p w14:paraId="1666BC2C" w14:textId="77777777" w:rsidR="00DA2174" w:rsidRDefault="00000000">
      <w:pPr>
        <w:spacing w:beforeLines="25" w:before="78" w:line="312" w:lineRule="auto"/>
        <w:ind w:firstLineChars="200" w:firstLine="420"/>
      </w:pPr>
      <w:r>
        <w:rPr>
          <w:rFonts w:hint="eastAsia"/>
        </w:rPr>
        <w:t xml:space="preserve">　</w:t>
      </w:r>
      <w:r>
        <w:rPr>
          <w:rFonts w:hint="eastAsia"/>
        </w:rPr>
        <w:t xml:space="preserve">4.1 </w:t>
      </w:r>
      <w:r>
        <w:rPr>
          <w:rFonts w:hint="eastAsia"/>
        </w:rPr>
        <w:t>描述性统计与相关性分析</w:t>
      </w:r>
    </w:p>
    <w:p w14:paraId="7E4DACA9" w14:textId="77777777" w:rsidR="00DA2174" w:rsidRDefault="00000000">
      <w:pPr>
        <w:spacing w:beforeLines="25" w:before="78" w:line="312" w:lineRule="auto"/>
        <w:ind w:firstLineChars="200" w:firstLine="420"/>
      </w:pPr>
      <w:r>
        <w:rPr>
          <w:rFonts w:hint="eastAsia"/>
        </w:rPr>
        <w:t xml:space="preserve">　</w:t>
      </w:r>
      <w:r>
        <w:rPr>
          <w:rFonts w:hint="eastAsia"/>
        </w:rPr>
        <w:t xml:space="preserve">4.2 </w:t>
      </w:r>
      <w:r>
        <w:rPr>
          <w:rFonts w:hint="eastAsia"/>
        </w:rPr>
        <w:t>基准回归结果分析</w:t>
      </w:r>
    </w:p>
    <w:p w14:paraId="04E5D6F2" w14:textId="77777777" w:rsidR="00DA2174" w:rsidRDefault="00000000">
      <w:pPr>
        <w:spacing w:beforeLines="25" w:before="78" w:line="312" w:lineRule="auto"/>
      </w:pPr>
      <w:r>
        <w:rPr>
          <w:rFonts w:hint="eastAsia"/>
        </w:rPr>
        <w:t xml:space="preserve">　</w:t>
      </w:r>
      <w:r>
        <w:t xml:space="preserve">    </w:t>
      </w:r>
      <w:r>
        <w:rPr>
          <w:rFonts w:hint="eastAsia"/>
        </w:rPr>
        <w:t xml:space="preserve">4.3 </w:t>
      </w:r>
      <w:r>
        <w:rPr>
          <w:rFonts w:hint="eastAsia"/>
        </w:rPr>
        <w:t>稳健性检验</w:t>
      </w:r>
    </w:p>
    <w:p w14:paraId="0073A5A9" w14:textId="77777777" w:rsidR="00DA2174" w:rsidRDefault="00000000">
      <w:pPr>
        <w:spacing w:beforeLines="25" w:before="78" w:line="312" w:lineRule="auto"/>
      </w:pPr>
      <w:r>
        <w:t xml:space="preserve">  </w:t>
      </w:r>
      <w:r>
        <w:rPr>
          <w:rFonts w:hint="eastAsia"/>
        </w:rPr>
        <w:t xml:space="preserve">　</w:t>
      </w:r>
      <w:r>
        <w:t xml:space="preserve">  </w:t>
      </w:r>
      <w:r>
        <w:rPr>
          <w:rFonts w:hint="eastAsia"/>
        </w:rPr>
        <w:t xml:space="preserve">4.4 </w:t>
      </w:r>
      <w:r>
        <w:rPr>
          <w:rFonts w:hint="eastAsia"/>
        </w:rPr>
        <w:t>异质性检验</w:t>
      </w:r>
    </w:p>
    <w:p w14:paraId="6FA6EA28" w14:textId="77777777" w:rsidR="00DA2174" w:rsidRDefault="00000000">
      <w:pPr>
        <w:spacing w:beforeLines="25" w:before="78" w:line="312" w:lineRule="auto"/>
      </w:pPr>
      <w:r>
        <w:t xml:space="preserve">      </w:t>
      </w:r>
      <w:r>
        <w:rPr>
          <w:rFonts w:hint="eastAsia"/>
        </w:rPr>
        <w:t>4.5</w:t>
      </w:r>
      <w:r>
        <w:t>基于管理层权利的中介效应分析</w:t>
      </w:r>
    </w:p>
    <w:p w14:paraId="7171EF59" w14:textId="77777777" w:rsidR="00DA2174" w:rsidRDefault="00000000">
      <w:pPr>
        <w:spacing w:beforeLines="25" w:before="78" w:line="312" w:lineRule="auto"/>
        <w:ind w:firstLineChars="200" w:firstLine="420"/>
      </w:pPr>
      <w:r>
        <w:rPr>
          <w:rFonts w:hint="eastAsia"/>
        </w:rPr>
        <w:t>第五章</w:t>
      </w:r>
      <w:r>
        <w:rPr>
          <w:rFonts w:hint="eastAsia"/>
        </w:rPr>
        <w:t xml:space="preserve"> </w:t>
      </w:r>
      <w:r>
        <w:rPr>
          <w:rFonts w:hint="eastAsia"/>
        </w:rPr>
        <w:t>研究结论与政策建议</w:t>
      </w:r>
    </w:p>
    <w:p w14:paraId="3AF82796" w14:textId="77777777" w:rsidR="00DA2174" w:rsidRDefault="00000000">
      <w:pPr>
        <w:spacing w:beforeLines="25" w:before="78" w:line="312" w:lineRule="auto"/>
        <w:ind w:firstLineChars="200" w:firstLine="420"/>
      </w:pPr>
      <w:r>
        <w:rPr>
          <w:rFonts w:hint="eastAsia"/>
        </w:rPr>
        <w:t xml:space="preserve">　</w:t>
      </w:r>
      <w:r>
        <w:rPr>
          <w:rFonts w:hint="eastAsia"/>
        </w:rPr>
        <w:t xml:space="preserve">5.1 </w:t>
      </w:r>
      <w:r>
        <w:rPr>
          <w:rFonts w:hint="eastAsia"/>
        </w:rPr>
        <w:t>主要研究结论</w:t>
      </w:r>
    </w:p>
    <w:p w14:paraId="5D1381E1" w14:textId="77777777" w:rsidR="00DA2174" w:rsidRDefault="00000000">
      <w:pPr>
        <w:spacing w:beforeLines="25" w:before="78" w:line="312" w:lineRule="auto"/>
        <w:ind w:firstLineChars="200" w:firstLine="420"/>
      </w:pPr>
      <w:r>
        <w:rPr>
          <w:rFonts w:hint="eastAsia"/>
        </w:rPr>
        <w:t xml:space="preserve">　</w:t>
      </w:r>
      <w:r>
        <w:rPr>
          <w:rFonts w:hint="eastAsia"/>
        </w:rPr>
        <w:t xml:space="preserve">5.2 </w:t>
      </w:r>
      <w:r>
        <w:rPr>
          <w:rFonts w:hint="eastAsia"/>
        </w:rPr>
        <w:t>研究不足与未来研究方向</w:t>
      </w:r>
    </w:p>
    <w:p w14:paraId="506A6D27" w14:textId="77777777" w:rsidR="00DA2174" w:rsidRDefault="00000000">
      <w:pPr>
        <w:spacing w:beforeLines="25" w:before="78" w:line="312" w:lineRule="auto"/>
        <w:ind w:firstLineChars="200" w:firstLine="420"/>
      </w:pPr>
      <w:r>
        <w:rPr>
          <w:rFonts w:hint="eastAsia"/>
        </w:rPr>
        <w:t>参考文献</w:t>
      </w:r>
    </w:p>
    <w:p w14:paraId="1DEA57E6" w14:textId="77777777" w:rsidR="00DA2174" w:rsidRDefault="00000000">
      <w:pPr>
        <w:spacing w:beforeLines="25" w:before="78" w:line="312" w:lineRule="auto"/>
        <w:rPr>
          <w:rFonts w:eastAsia="黑体"/>
          <w:sz w:val="28"/>
        </w:rPr>
      </w:pPr>
      <w:r>
        <w:rPr>
          <w:rFonts w:eastAsia="黑体"/>
          <w:sz w:val="28"/>
        </w:rPr>
        <w:br w:type="page"/>
      </w:r>
      <w:r>
        <w:rPr>
          <w:rFonts w:eastAsia="黑体"/>
          <w:sz w:val="28"/>
        </w:rPr>
        <w:lastRenderedPageBreak/>
        <w:t>三、拟采取的研究方法、研究手段及技术路线、实验方案</w:t>
      </w:r>
    </w:p>
    <w:p w14:paraId="423AC728" w14:textId="77777777" w:rsidR="00DA2174" w:rsidRDefault="00000000">
      <w:pPr>
        <w:spacing w:beforeLines="25" w:before="78" w:line="312" w:lineRule="auto"/>
        <w:ind w:firstLine="437"/>
      </w:pPr>
      <w:r>
        <w:rPr>
          <w:rFonts w:hint="eastAsia"/>
          <w:b/>
          <w:bCs/>
        </w:rPr>
        <w:t>研究方法与研究手段</w:t>
      </w:r>
      <w:r>
        <w:rPr>
          <w:rFonts w:hint="eastAsia"/>
        </w:rPr>
        <w:t>：</w:t>
      </w:r>
    </w:p>
    <w:p w14:paraId="63F710A3" w14:textId="77777777" w:rsidR="00DA2174" w:rsidRDefault="00000000">
      <w:pPr>
        <w:spacing w:beforeLines="25" w:before="78" w:line="312" w:lineRule="auto"/>
        <w:ind w:firstLine="437"/>
      </w:pPr>
      <w:r>
        <w:rPr>
          <w:rFonts w:hint="eastAsia"/>
        </w:rPr>
        <w:t>1.</w:t>
      </w:r>
      <w:r>
        <w:rPr>
          <w:rFonts w:hint="eastAsia"/>
        </w:rPr>
        <w:tab/>
      </w:r>
      <w:r>
        <w:rPr>
          <w:rFonts w:hint="eastAsia"/>
        </w:rPr>
        <w:t>文献研究法：系统查阅国内外关于财政补贴、高管超额薪酬、管理者权力等方面的研究，总结现有研究的成果与不足，为本研究提供理论基础和研究思路。</w:t>
      </w:r>
      <w:r>
        <w:t xml:space="preserve"> </w:t>
      </w:r>
    </w:p>
    <w:p w14:paraId="18462585" w14:textId="77777777" w:rsidR="00DA2174" w:rsidRDefault="00000000">
      <w:pPr>
        <w:spacing w:beforeLines="25" w:before="78" w:line="312" w:lineRule="auto"/>
        <w:ind w:firstLine="437"/>
      </w:pPr>
      <w:r>
        <w:rPr>
          <w:rFonts w:hint="eastAsia"/>
        </w:rPr>
        <w:t>2.</w:t>
      </w:r>
      <w:r>
        <w:rPr>
          <w:rFonts w:hint="eastAsia"/>
        </w:rPr>
        <w:tab/>
      </w:r>
      <w:r>
        <w:rPr>
          <w:rFonts w:hint="eastAsia"/>
        </w:rPr>
        <w:t>实证研究方法：以沪深</w:t>
      </w:r>
      <w:r>
        <w:rPr>
          <w:rFonts w:hint="eastAsia"/>
        </w:rPr>
        <w:t xml:space="preserve"> A </w:t>
      </w:r>
      <w:r>
        <w:rPr>
          <w:rFonts w:hint="eastAsia"/>
        </w:rPr>
        <w:t>股上市公司为研究对象，构建包括财政补贴强度、高管薪酬等变量的面板数据集，在此基础上运用多元线性回归模型，实证检验财政补贴强度与高管超额薪酬之间是否存在显著关系，并考察这一关系在不同所有制、不同地区、不同财务状况和不同内部治理水平企业之间的异质性，通过稳健性检验提高实证结论的可靠性。</w:t>
      </w:r>
    </w:p>
    <w:p w14:paraId="561A0CCC" w14:textId="77777777" w:rsidR="00DA2174" w:rsidRDefault="00000000">
      <w:pPr>
        <w:spacing w:beforeLines="25" w:before="78" w:line="312" w:lineRule="auto"/>
        <w:ind w:firstLine="437"/>
      </w:pPr>
      <w:r>
        <w:rPr>
          <w:rFonts w:hint="eastAsia"/>
        </w:rPr>
        <w:t>3.</w:t>
      </w:r>
      <w:r>
        <w:rPr>
          <w:rFonts w:hint="eastAsia"/>
        </w:rPr>
        <w:tab/>
      </w:r>
      <w:r>
        <w:rPr>
          <w:rFonts w:hint="eastAsia"/>
        </w:rPr>
        <w:t>数据挖掘和机器学习方法：整合财政补贴数据、财务指标、公司治理变量以及年报文本特征等多源信息，将这些变量作为模型输入，将企业是否处于超额薪酬分布的高位区间作为输出标签，选取适用的机器学习算法构建预测模型。</w:t>
      </w:r>
    </w:p>
    <w:p w14:paraId="4069D1C4" w14:textId="77777777" w:rsidR="00DA2174" w:rsidRDefault="00000000">
      <w:pPr>
        <w:spacing w:beforeLines="25" w:before="78" w:line="312" w:lineRule="auto"/>
        <w:ind w:firstLine="437"/>
        <w:rPr>
          <w:color w:val="EE0000"/>
        </w:rPr>
      </w:pPr>
      <w:r>
        <w:rPr>
          <w:rFonts w:hint="eastAsia"/>
        </w:rPr>
        <w:t>技术路线：</w:t>
      </w:r>
    </w:p>
    <w:p w14:paraId="36A11602" w14:textId="77777777" w:rsidR="00DA2174" w:rsidRDefault="00000000">
      <w:pPr>
        <w:spacing w:beforeLines="25" w:before="78" w:line="312" w:lineRule="auto"/>
        <w:ind w:firstLine="437"/>
        <w:jc w:val="center"/>
      </w:pPr>
      <w:r>
        <w:rPr>
          <w:noProof/>
        </w:rPr>
        <w:drawing>
          <wp:inline distT="0" distB="0" distL="0" distR="0" wp14:anchorId="05CF8251" wp14:editId="04C70178">
            <wp:extent cx="3024505" cy="4626610"/>
            <wp:effectExtent l="0" t="0" r="4445" b="2540"/>
            <wp:docPr id="1652100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0852" name="图片 1"/>
                    <pic:cNvPicPr>
                      <a:picLocks noChangeAspect="1"/>
                    </pic:cNvPicPr>
                  </pic:nvPicPr>
                  <pic:blipFill>
                    <a:blip r:embed="rId16"/>
                    <a:stretch>
                      <a:fillRect/>
                    </a:stretch>
                  </pic:blipFill>
                  <pic:spPr>
                    <a:xfrm>
                      <a:off x="0" y="0"/>
                      <a:ext cx="3032533" cy="4639131"/>
                    </a:xfrm>
                    <a:prstGeom prst="rect">
                      <a:avLst/>
                    </a:prstGeom>
                  </pic:spPr>
                </pic:pic>
              </a:graphicData>
            </a:graphic>
          </wp:inline>
        </w:drawing>
      </w:r>
    </w:p>
    <w:p w14:paraId="5CD62158" w14:textId="77777777" w:rsidR="00DA2174" w:rsidRDefault="00000000">
      <w:pPr>
        <w:spacing w:beforeLines="25" w:before="78" w:line="312" w:lineRule="auto"/>
        <w:ind w:firstLine="437"/>
      </w:pPr>
      <w:r>
        <w:rPr>
          <w:rFonts w:hint="eastAsia"/>
          <w:b/>
          <w:bCs/>
        </w:rPr>
        <w:t>实验方法</w:t>
      </w:r>
      <w:r>
        <w:rPr>
          <w:rFonts w:hint="eastAsia"/>
        </w:rPr>
        <w:t>：当前我国财政补贴力度持续加大、社会各界高度关注上市公司高管薪酬问</w:t>
      </w:r>
      <w:r>
        <w:rPr>
          <w:rFonts w:hint="eastAsia"/>
        </w:rPr>
        <w:t>S</w:t>
      </w:r>
      <w:r>
        <w:rPr>
          <w:rFonts w:hint="eastAsia"/>
        </w:rPr>
        <w:t>中。究在查阅相关文献基础上，首先确定了“基于数据挖掘的上市公司财政补贴与高管超额薪酬研究”这一论文题目，进而明确了研究的整体内容和总体目标</w:t>
      </w:r>
      <w:r>
        <w:rPr>
          <w:rFonts w:hint="eastAsia"/>
        </w:rPr>
        <w:t>;</w:t>
      </w:r>
      <w:r>
        <w:rPr>
          <w:rFonts w:hint="eastAsia"/>
        </w:rPr>
        <w:t>并通过对财政补贴、高管薪酬、管理者权力等</w:t>
      </w:r>
      <w:r>
        <w:rPr>
          <w:rFonts w:hint="eastAsia"/>
        </w:rPr>
        <w:lastRenderedPageBreak/>
        <w:t>相关理论和实践研究的系统分析，对研究问题的可行性进行了预判和评估。“</w:t>
      </w:r>
    </w:p>
    <w:p w14:paraId="1DCA05E9" w14:textId="77777777" w:rsidR="00DA2174" w:rsidRDefault="00000000">
      <w:pPr>
        <w:spacing w:beforeLines="25" w:before="78" w:line="312" w:lineRule="auto"/>
        <w:ind w:firstLine="437"/>
      </w:pPr>
      <w:r>
        <w:rPr>
          <w:rFonts w:hint="eastAsia"/>
        </w:rPr>
        <w:t>其次，本研究将通过文献研究法梳理财政补贴、高管薪酬与公司治理方面的中外文献，分析不同研究方法的适用场景和优缺点，初步判断财政补贴与高管超额薪酬之间的可能关系</w:t>
      </w:r>
      <w:r>
        <w:rPr>
          <w:rFonts w:hint="eastAsia"/>
        </w:rPr>
        <w:t>;</w:t>
      </w:r>
      <w:r>
        <w:rPr>
          <w:rFonts w:hint="eastAsia"/>
        </w:rPr>
        <w:t>本研究会使用</w:t>
      </w:r>
      <w:r>
        <w:rPr>
          <w:rFonts w:hint="eastAsia"/>
        </w:rPr>
        <w:t xml:space="preserve"> CSMAR </w:t>
      </w:r>
      <w:r>
        <w:rPr>
          <w:rFonts w:hint="eastAsia"/>
        </w:rPr>
        <w:t>等数据库和上市公司年报，对财政补贴金额及其构成、高管薪酬结构、公司财务指标、媒体报道数量以及年报文本进行系统的收集、归纳、整理和预处理，本研究将构造适合中国情境的财政补贴强度指标，并借鉴</w:t>
      </w:r>
      <w:r>
        <w:rPr>
          <w:rFonts w:hint="eastAsia"/>
        </w:rPr>
        <w:t>Core</w:t>
      </w:r>
      <w:r>
        <w:rPr>
          <w:rFonts w:hint="eastAsia"/>
        </w:rPr>
        <w:t>等</w:t>
      </w:r>
      <w:r>
        <w:rPr>
          <w:rFonts w:hint="eastAsia"/>
        </w:rPr>
        <w:t>(1999)</w:t>
      </w:r>
      <w:r>
        <w:rPr>
          <w:rFonts w:hint="eastAsia"/>
        </w:rPr>
        <w:t>的基准薪酬模型思路，结合合适的数据挖掘方法度量高管超额薪酬，同时选取管理者权力作为中介因素进行中介效应的研究。</w:t>
      </w:r>
    </w:p>
    <w:p w14:paraId="6A51866C" w14:textId="77777777" w:rsidR="00DA2174" w:rsidRDefault="00000000">
      <w:pPr>
        <w:spacing w:beforeLines="25" w:before="78" w:line="312" w:lineRule="auto"/>
        <w:ind w:firstLine="437"/>
      </w:pPr>
      <w:r>
        <w:rPr>
          <w:rFonts w:hint="eastAsia"/>
        </w:rPr>
        <w:t>最后，本研究将利用多元线性回归模型、异质性分析模型以及中介调节效应模型，检验财政补贴与高管超额薪酬之间的关系，并对不同所有制、不同地区和不同治理水平企业的差异进行比较</w:t>
      </w:r>
      <w:r>
        <w:rPr>
          <w:rFonts w:hint="eastAsia"/>
        </w:rPr>
        <w:t>;</w:t>
      </w:r>
      <w:r>
        <w:rPr>
          <w:rFonts w:hint="eastAsia"/>
        </w:rPr>
        <w:t>在此过程中，将尝试选用合适的机器学习算法，对财政补贴强度、财务指标等进行建模，构建识别高管超额薪酬高风险企业的预测模型</w:t>
      </w:r>
      <w:r>
        <w:rPr>
          <w:rFonts w:hint="eastAsia"/>
        </w:rPr>
        <w:t>;</w:t>
      </w:r>
      <w:r>
        <w:rPr>
          <w:rFonts w:hint="eastAsia"/>
        </w:rPr>
        <w:t>最后，提炼出具有现实意义的研究结论，并在此基础上完成毕业论文。</w:t>
      </w:r>
    </w:p>
    <w:p w14:paraId="549EC1B6" w14:textId="77777777" w:rsidR="00DA2174" w:rsidRDefault="00000000">
      <w:pPr>
        <w:spacing w:beforeLines="25" w:before="78" w:line="312" w:lineRule="auto"/>
        <w:rPr>
          <w:rFonts w:eastAsia="黑体"/>
          <w:sz w:val="28"/>
        </w:rPr>
      </w:pPr>
      <w:r>
        <w:rPr>
          <w:rFonts w:eastAsia="黑体"/>
          <w:sz w:val="28"/>
        </w:rPr>
        <w:br w:type="page"/>
      </w:r>
      <w:r>
        <w:rPr>
          <w:rFonts w:eastAsia="黑体"/>
          <w:sz w:val="28"/>
        </w:rPr>
        <w:lastRenderedPageBreak/>
        <w:t>四、中外文参考文献目录</w:t>
      </w:r>
    </w:p>
    <w:p w14:paraId="697A5335" w14:textId="77777777" w:rsidR="00DA2174" w:rsidRDefault="00000000">
      <w:pPr>
        <w:numPr>
          <w:ilvl w:val="0"/>
          <w:numId w:val="1"/>
        </w:numPr>
        <w:rPr>
          <w:snapToGrid w:val="0"/>
          <w:kern w:val="0"/>
          <w:szCs w:val="21"/>
        </w:rPr>
      </w:pPr>
      <w:r>
        <w:rPr>
          <w:rFonts w:hint="eastAsia"/>
          <w:snapToGrid w:val="0"/>
          <w:kern w:val="0"/>
          <w:szCs w:val="21"/>
        </w:rPr>
        <w:t>[1] BEBCHUK L A, FRIED J M. Executive compensation as an agency problem[J]. Journal of Economic Perspectives, 2003, 17(3): 71</w:t>
      </w:r>
      <w:r>
        <w:rPr>
          <w:rFonts w:hint="eastAsia"/>
          <w:snapToGrid w:val="0"/>
          <w:kern w:val="0"/>
          <w:szCs w:val="21"/>
        </w:rPr>
        <w:t>–</w:t>
      </w:r>
      <w:r>
        <w:rPr>
          <w:rFonts w:hint="eastAsia"/>
          <w:snapToGrid w:val="0"/>
          <w:kern w:val="0"/>
          <w:szCs w:val="21"/>
        </w:rPr>
        <w:t>92.</w:t>
      </w:r>
    </w:p>
    <w:p w14:paraId="14D70E45" w14:textId="77777777" w:rsidR="00DA2174" w:rsidRDefault="00000000">
      <w:pPr>
        <w:numPr>
          <w:ilvl w:val="0"/>
          <w:numId w:val="1"/>
        </w:numPr>
        <w:spacing w:line="400" w:lineRule="exact"/>
        <w:rPr>
          <w:snapToGrid w:val="0"/>
          <w:kern w:val="0"/>
          <w:szCs w:val="21"/>
        </w:rPr>
      </w:pPr>
      <w:r>
        <w:rPr>
          <w:rFonts w:hint="eastAsia"/>
          <w:snapToGrid w:val="0"/>
          <w:kern w:val="0"/>
          <w:szCs w:val="21"/>
        </w:rPr>
        <w:t>LI F. Annual report readability, current earnings, and earnings persistence[J]. Journal of Accounting and Economics 2008, 45(2</w:t>
      </w:r>
      <w:r>
        <w:rPr>
          <w:rFonts w:hint="eastAsia"/>
          <w:snapToGrid w:val="0"/>
          <w:kern w:val="0"/>
          <w:szCs w:val="21"/>
        </w:rPr>
        <w:t>–</w:t>
      </w:r>
      <w:r>
        <w:rPr>
          <w:rFonts w:hint="eastAsia"/>
          <w:snapToGrid w:val="0"/>
          <w:kern w:val="0"/>
          <w:szCs w:val="21"/>
        </w:rPr>
        <w:t>3): 221</w:t>
      </w:r>
      <w:r>
        <w:rPr>
          <w:rFonts w:hint="eastAsia"/>
          <w:snapToGrid w:val="0"/>
          <w:kern w:val="0"/>
          <w:szCs w:val="21"/>
        </w:rPr>
        <w:t>–</w:t>
      </w:r>
      <w:r>
        <w:rPr>
          <w:rFonts w:hint="eastAsia"/>
          <w:snapToGrid w:val="0"/>
          <w:kern w:val="0"/>
          <w:szCs w:val="21"/>
        </w:rPr>
        <w:t>247.</w:t>
      </w:r>
    </w:p>
    <w:p w14:paraId="194B23C4" w14:textId="77777777" w:rsidR="00DA2174" w:rsidRDefault="00000000">
      <w:pPr>
        <w:numPr>
          <w:ilvl w:val="0"/>
          <w:numId w:val="1"/>
        </w:numPr>
        <w:spacing w:line="400" w:lineRule="exact"/>
        <w:rPr>
          <w:snapToGrid w:val="0"/>
          <w:kern w:val="0"/>
          <w:szCs w:val="21"/>
        </w:rPr>
      </w:pPr>
      <w:r>
        <w:rPr>
          <w:rFonts w:hint="eastAsia"/>
          <w:snapToGrid w:val="0"/>
          <w:kern w:val="0"/>
          <w:szCs w:val="21"/>
        </w:rPr>
        <w:t>CORE J E, HOLTHAUSEN R W, LARCKER D F. Corporate governance, CEO compensation, and firm performance[J]. Journal of Financial Economics 1999, 51(3): 371</w:t>
      </w:r>
      <w:r>
        <w:rPr>
          <w:rFonts w:hint="eastAsia"/>
          <w:snapToGrid w:val="0"/>
          <w:kern w:val="0"/>
          <w:szCs w:val="21"/>
        </w:rPr>
        <w:t>–</w:t>
      </w:r>
      <w:r>
        <w:rPr>
          <w:rFonts w:hint="eastAsia"/>
          <w:snapToGrid w:val="0"/>
          <w:kern w:val="0"/>
          <w:szCs w:val="21"/>
        </w:rPr>
        <w:t>406.</w:t>
      </w:r>
    </w:p>
    <w:p w14:paraId="72A7E09B" w14:textId="77777777" w:rsidR="00DA2174" w:rsidRDefault="00000000">
      <w:pPr>
        <w:numPr>
          <w:ilvl w:val="0"/>
          <w:numId w:val="1"/>
        </w:numPr>
        <w:spacing w:line="400" w:lineRule="exact"/>
        <w:rPr>
          <w:snapToGrid w:val="0"/>
          <w:kern w:val="0"/>
          <w:szCs w:val="21"/>
        </w:rPr>
      </w:pPr>
      <w:r>
        <w:rPr>
          <w:rFonts w:hint="eastAsia"/>
          <w:snapToGrid w:val="0"/>
          <w:kern w:val="0"/>
          <w:szCs w:val="21"/>
        </w:rPr>
        <w:t>BU D, SHALCHIAN H, HUANG R, et al. Government subsidy, corporate pay-gap and firm</w:t>
      </w:r>
      <w:r>
        <w:rPr>
          <w:rFonts w:hint="eastAsia"/>
          <w:snapToGrid w:val="0"/>
          <w:kern w:val="0"/>
          <w:szCs w:val="21"/>
        </w:rPr>
        <w:t>’</w:t>
      </w:r>
      <w:r>
        <w:rPr>
          <w:rFonts w:hint="eastAsia"/>
          <w:snapToGrid w:val="0"/>
          <w:kern w:val="0"/>
          <w:szCs w:val="21"/>
        </w:rPr>
        <w:t>s financial performance: Evidence from China[J]. Accounting and Finance Research, 2019, 8(3): 86.</w:t>
      </w:r>
    </w:p>
    <w:p w14:paraId="2D60824F" w14:textId="77777777" w:rsidR="00DA2174" w:rsidRDefault="00000000">
      <w:pPr>
        <w:numPr>
          <w:ilvl w:val="0"/>
          <w:numId w:val="1"/>
        </w:numPr>
        <w:spacing w:line="400" w:lineRule="exact"/>
        <w:rPr>
          <w:snapToGrid w:val="0"/>
          <w:kern w:val="0"/>
          <w:szCs w:val="21"/>
        </w:rPr>
      </w:pPr>
      <w:r>
        <w:rPr>
          <w:rFonts w:hint="eastAsia"/>
          <w:snapToGrid w:val="0"/>
          <w:kern w:val="0"/>
          <w:szCs w:val="21"/>
        </w:rPr>
        <w:t>PEROLS J, BOWEN R M, ZIMMERMANN C, et al. Finding needles in a haystack: Using data analytics to improve fraud prediction[J]. The Accounting Review, 2017, 92(2): 221</w:t>
      </w:r>
      <w:r>
        <w:rPr>
          <w:rFonts w:hint="eastAsia"/>
          <w:snapToGrid w:val="0"/>
          <w:kern w:val="0"/>
          <w:szCs w:val="21"/>
        </w:rPr>
        <w:t>–</w:t>
      </w:r>
      <w:r>
        <w:rPr>
          <w:rFonts w:hint="eastAsia"/>
          <w:snapToGrid w:val="0"/>
          <w:kern w:val="0"/>
          <w:szCs w:val="21"/>
        </w:rPr>
        <w:t>245.</w:t>
      </w:r>
    </w:p>
    <w:p w14:paraId="6A73EF08" w14:textId="77777777" w:rsidR="00DA2174" w:rsidRDefault="00000000">
      <w:pPr>
        <w:numPr>
          <w:ilvl w:val="0"/>
          <w:numId w:val="1"/>
        </w:numPr>
        <w:spacing w:line="400" w:lineRule="exact"/>
        <w:rPr>
          <w:snapToGrid w:val="0"/>
          <w:kern w:val="0"/>
          <w:szCs w:val="21"/>
        </w:rPr>
      </w:pPr>
      <w:r>
        <w:rPr>
          <w:rFonts w:hint="eastAsia"/>
          <w:snapToGrid w:val="0"/>
          <w:kern w:val="0"/>
          <w:szCs w:val="21"/>
        </w:rPr>
        <w:t>JIANG H, SU K, HABIB A. Government subsidies and managerial slack: Evidence from China[J]. Journal of Contemporary Accounting &amp; Economics, 2025, 21(2): 100473.</w:t>
      </w:r>
    </w:p>
    <w:p w14:paraId="7CA5FA0B" w14:textId="77777777" w:rsidR="00DA2174" w:rsidRDefault="00000000">
      <w:pPr>
        <w:numPr>
          <w:ilvl w:val="0"/>
          <w:numId w:val="1"/>
        </w:numPr>
        <w:spacing w:line="400" w:lineRule="exact"/>
        <w:rPr>
          <w:snapToGrid w:val="0"/>
          <w:kern w:val="0"/>
          <w:szCs w:val="21"/>
        </w:rPr>
      </w:pPr>
      <w:r>
        <w:rPr>
          <w:snapToGrid w:val="0"/>
          <w:kern w:val="0"/>
          <w:szCs w:val="21"/>
        </w:rPr>
        <w:t>Rjiba H, Saadi S, Boubaker S, Ding X S. Annual report readability and the cost of equity capital[J]. Journal of Corporate Finance, 2021, 67: 101902.</w:t>
      </w:r>
    </w:p>
    <w:p w14:paraId="067666AB" w14:textId="77777777" w:rsidR="00DA2174" w:rsidRDefault="00000000">
      <w:pPr>
        <w:numPr>
          <w:ilvl w:val="0"/>
          <w:numId w:val="1"/>
        </w:numPr>
        <w:spacing w:line="400" w:lineRule="exact"/>
        <w:rPr>
          <w:snapToGrid w:val="0"/>
          <w:kern w:val="0"/>
          <w:szCs w:val="21"/>
        </w:rPr>
      </w:pPr>
      <w:r>
        <w:rPr>
          <w:snapToGrid w:val="0"/>
          <w:kern w:val="0"/>
          <w:szCs w:val="21"/>
        </w:rPr>
        <w:t xml:space="preserve">Bhattacharya I, Mićković A. Accounting fraud detection using contextual language learning[J]. International Journal of Accounting Information Systems, 2024, 53: 100682. </w:t>
      </w:r>
    </w:p>
    <w:p w14:paraId="074D6C8A" w14:textId="77777777" w:rsidR="00DA2174" w:rsidRDefault="00000000">
      <w:pPr>
        <w:numPr>
          <w:ilvl w:val="0"/>
          <w:numId w:val="1"/>
        </w:numPr>
        <w:spacing w:line="400" w:lineRule="exact"/>
        <w:rPr>
          <w:snapToGrid w:val="0"/>
          <w:kern w:val="0"/>
          <w:szCs w:val="21"/>
        </w:rPr>
      </w:pPr>
      <w:r>
        <w:rPr>
          <w:snapToGrid w:val="0"/>
          <w:kern w:val="0"/>
          <w:szCs w:val="21"/>
        </w:rPr>
        <w:t>Ketelaar F, Mićković A. Artificial Intelligence in fraud detection: textual analysis of 10-K filings[J]. Maandblad voor Accountancy en Bedrijfseconomie, 2025, 99(2): 61–71.</w:t>
      </w:r>
    </w:p>
    <w:p w14:paraId="4049A95F" w14:textId="77777777" w:rsidR="00DA2174" w:rsidRDefault="00000000">
      <w:pPr>
        <w:numPr>
          <w:ilvl w:val="0"/>
          <w:numId w:val="1"/>
        </w:numPr>
        <w:spacing w:line="400" w:lineRule="exact"/>
        <w:rPr>
          <w:snapToGrid w:val="0"/>
          <w:kern w:val="0"/>
          <w:szCs w:val="21"/>
        </w:rPr>
      </w:pPr>
      <w:r>
        <w:rPr>
          <w:rFonts w:hint="eastAsia"/>
          <w:snapToGrid w:val="0"/>
          <w:kern w:val="0"/>
          <w:szCs w:val="21"/>
        </w:rPr>
        <w:t>罗昆</w:t>
      </w:r>
      <w:r>
        <w:rPr>
          <w:rFonts w:hint="eastAsia"/>
          <w:snapToGrid w:val="0"/>
          <w:kern w:val="0"/>
          <w:szCs w:val="21"/>
        </w:rPr>
        <w:t xml:space="preserve">, </w:t>
      </w:r>
      <w:r>
        <w:rPr>
          <w:rFonts w:hint="eastAsia"/>
          <w:snapToGrid w:val="0"/>
          <w:kern w:val="0"/>
          <w:szCs w:val="21"/>
        </w:rPr>
        <w:t>曹光宇</w:t>
      </w:r>
      <w:r>
        <w:rPr>
          <w:rFonts w:hint="eastAsia"/>
          <w:snapToGrid w:val="0"/>
          <w:kern w:val="0"/>
          <w:szCs w:val="21"/>
        </w:rPr>
        <w:t xml:space="preserve">. </w:t>
      </w:r>
      <w:r>
        <w:rPr>
          <w:rFonts w:hint="eastAsia"/>
          <w:snapToGrid w:val="0"/>
          <w:kern w:val="0"/>
          <w:szCs w:val="21"/>
        </w:rPr>
        <w:t>财务困境、超额薪酬与薪酬业绩敏感性——基于政府补贴的调节效应</w:t>
      </w:r>
      <w:r>
        <w:rPr>
          <w:rFonts w:hint="eastAsia"/>
          <w:snapToGrid w:val="0"/>
          <w:kern w:val="0"/>
          <w:szCs w:val="21"/>
        </w:rPr>
        <w:t xml:space="preserve">[J]. </w:t>
      </w:r>
      <w:r>
        <w:rPr>
          <w:rFonts w:hint="eastAsia"/>
          <w:snapToGrid w:val="0"/>
          <w:kern w:val="0"/>
          <w:szCs w:val="21"/>
        </w:rPr>
        <w:t>华中农业大学学报</w:t>
      </w:r>
      <w:r>
        <w:rPr>
          <w:rFonts w:hint="eastAsia"/>
          <w:snapToGrid w:val="0"/>
          <w:kern w:val="0"/>
          <w:szCs w:val="21"/>
        </w:rPr>
        <w:t>(</w:t>
      </w:r>
      <w:r>
        <w:rPr>
          <w:rFonts w:hint="eastAsia"/>
          <w:snapToGrid w:val="0"/>
          <w:kern w:val="0"/>
          <w:szCs w:val="21"/>
        </w:rPr>
        <w:t>社会科学版</w:t>
      </w:r>
      <w:r>
        <w:rPr>
          <w:rFonts w:hint="eastAsia"/>
          <w:snapToGrid w:val="0"/>
          <w:kern w:val="0"/>
          <w:szCs w:val="21"/>
        </w:rPr>
        <w:t>), 2015(6): 109</w:t>
      </w:r>
      <w:r>
        <w:rPr>
          <w:rFonts w:hint="eastAsia"/>
          <w:snapToGrid w:val="0"/>
          <w:kern w:val="0"/>
          <w:szCs w:val="21"/>
        </w:rPr>
        <w:t>–</w:t>
      </w:r>
      <w:r>
        <w:rPr>
          <w:rFonts w:hint="eastAsia"/>
          <w:snapToGrid w:val="0"/>
          <w:kern w:val="0"/>
          <w:szCs w:val="21"/>
        </w:rPr>
        <w:t>117.</w:t>
      </w:r>
    </w:p>
    <w:p w14:paraId="64F3870A" w14:textId="77777777" w:rsidR="00DA2174" w:rsidRDefault="00000000">
      <w:pPr>
        <w:numPr>
          <w:ilvl w:val="0"/>
          <w:numId w:val="1"/>
        </w:numPr>
        <w:spacing w:line="400" w:lineRule="exact"/>
        <w:rPr>
          <w:snapToGrid w:val="0"/>
          <w:kern w:val="0"/>
          <w:szCs w:val="21"/>
        </w:rPr>
      </w:pPr>
      <w:r>
        <w:rPr>
          <w:rFonts w:hint="eastAsia"/>
          <w:snapToGrid w:val="0"/>
          <w:kern w:val="0"/>
          <w:szCs w:val="21"/>
        </w:rPr>
        <w:t>李哲</w:t>
      </w:r>
      <w:r>
        <w:rPr>
          <w:rFonts w:hint="eastAsia"/>
          <w:snapToGrid w:val="0"/>
          <w:kern w:val="0"/>
          <w:szCs w:val="21"/>
        </w:rPr>
        <w:t xml:space="preserve">, </w:t>
      </w:r>
      <w:r>
        <w:rPr>
          <w:rFonts w:hint="eastAsia"/>
          <w:snapToGrid w:val="0"/>
          <w:kern w:val="0"/>
          <w:szCs w:val="21"/>
        </w:rPr>
        <w:t>王文翰</w:t>
      </w:r>
      <w:r>
        <w:rPr>
          <w:rFonts w:hint="eastAsia"/>
          <w:snapToGrid w:val="0"/>
          <w:kern w:val="0"/>
          <w:szCs w:val="21"/>
        </w:rPr>
        <w:t xml:space="preserve">, </w:t>
      </w:r>
      <w:r>
        <w:rPr>
          <w:rFonts w:hint="eastAsia"/>
          <w:snapToGrid w:val="0"/>
          <w:kern w:val="0"/>
          <w:szCs w:val="21"/>
        </w:rPr>
        <w:t>王遥</w:t>
      </w:r>
      <w:r>
        <w:rPr>
          <w:rFonts w:hint="eastAsia"/>
          <w:snapToGrid w:val="0"/>
          <w:kern w:val="0"/>
          <w:szCs w:val="21"/>
        </w:rPr>
        <w:t xml:space="preserve">. </w:t>
      </w:r>
      <w:r>
        <w:rPr>
          <w:rFonts w:hint="eastAsia"/>
          <w:snapToGrid w:val="0"/>
          <w:kern w:val="0"/>
          <w:szCs w:val="21"/>
        </w:rPr>
        <w:t>企业环境责任表现与政府补贴获取——基于文本分析的经验证据</w:t>
      </w:r>
      <w:r>
        <w:rPr>
          <w:rFonts w:hint="eastAsia"/>
          <w:snapToGrid w:val="0"/>
          <w:kern w:val="0"/>
          <w:szCs w:val="21"/>
        </w:rPr>
        <w:t xml:space="preserve">[J]. </w:t>
      </w:r>
      <w:r>
        <w:rPr>
          <w:rFonts w:hint="eastAsia"/>
          <w:snapToGrid w:val="0"/>
          <w:kern w:val="0"/>
          <w:szCs w:val="21"/>
        </w:rPr>
        <w:t>财经研究</w:t>
      </w:r>
      <w:r>
        <w:rPr>
          <w:rFonts w:hint="eastAsia"/>
          <w:snapToGrid w:val="0"/>
          <w:kern w:val="0"/>
          <w:szCs w:val="21"/>
        </w:rPr>
        <w:t>, 2022, 48(2): 78</w:t>
      </w:r>
      <w:r>
        <w:rPr>
          <w:rFonts w:hint="eastAsia"/>
          <w:snapToGrid w:val="0"/>
          <w:kern w:val="0"/>
          <w:szCs w:val="21"/>
        </w:rPr>
        <w:t>–</w:t>
      </w:r>
      <w:r>
        <w:rPr>
          <w:rFonts w:hint="eastAsia"/>
          <w:snapToGrid w:val="0"/>
          <w:kern w:val="0"/>
          <w:szCs w:val="21"/>
        </w:rPr>
        <w:t>92.</w:t>
      </w:r>
    </w:p>
    <w:p w14:paraId="6D906931" w14:textId="77777777" w:rsidR="00DA2174" w:rsidRDefault="00000000">
      <w:pPr>
        <w:numPr>
          <w:ilvl w:val="0"/>
          <w:numId w:val="1"/>
        </w:numPr>
        <w:spacing w:line="400" w:lineRule="exact"/>
        <w:rPr>
          <w:snapToGrid w:val="0"/>
          <w:kern w:val="0"/>
          <w:szCs w:val="21"/>
        </w:rPr>
      </w:pPr>
      <w:r>
        <w:rPr>
          <w:rFonts w:hint="eastAsia"/>
          <w:snapToGrid w:val="0"/>
          <w:kern w:val="0"/>
          <w:szCs w:val="21"/>
        </w:rPr>
        <w:t>步丹璐</w:t>
      </w:r>
      <w:r>
        <w:rPr>
          <w:rFonts w:hint="eastAsia"/>
          <w:snapToGrid w:val="0"/>
          <w:kern w:val="0"/>
          <w:szCs w:val="21"/>
        </w:rPr>
        <w:t xml:space="preserve">, </w:t>
      </w:r>
      <w:r>
        <w:rPr>
          <w:rFonts w:hint="eastAsia"/>
          <w:snapToGrid w:val="0"/>
          <w:kern w:val="0"/>
          <w:szCs w:val="21"/>
        </w:rPr>
        <w:t>王晓艳</w:t>
      </w:r>
      <w:r>
        <w:rPr>
          <w:rFonts w:hint="eastAsia"/>
          <w:snapToGrid w:val="0"/>
          <w:kern w:val="0"/>
          <w:szCs w:val="21"/>
        </w:rPr>
        <w:t xml:space="preserve">. </w:t>
      </w:r>
      <w:r>
        <w:rPr>
          <w:rFonts w:hint="eastAsia"/>
          <w:snapToGrid w:val="0"/>
          <w:kern w:val="0"/>
          <w:szCs w:val="21"/>
        </w:rPr>
        <w:t>政府补助、软约束与薪酬差距</w:t>
      </w:r>
      <w:r>
        <w:rPr>
          <w:rFonts w:hint="eastAsia"/>
          <w:snapToGrid w:val="0"/>
          <w:kern w:val="0"/>
          <w:szCs w:val="21"/>
        </w:rPr>
        <w:t xml:space="preserve">[J]. </w:t>
      </w:r>
      <w:r>
        <w:rPr>
          <w:rFonts w:hint="eastAsia"/>
          <w:snapToGrid w:val="0"/>
          <w:kern w:val="0"/>
          <w:szCs w:val="21"/>
        </w:rPr>
        <w:t>南开管理评论</w:t>
      </w:r>
      <w:r>
        <w:rPr>
          <w:rFonts w:hint="eastAsia"/>
          <w:snapToGrid w:val="0"/>
          <w:kern w:val="0"/>
          <w:szCs w:val="21"/>
        </w:rPr>
        <w:t>, 2014, 17(2): 23</w:t>
      </w:r>
      <w:r>
        <w:rPr>
          <w:rFonts w:hint="eastAsia"/>
          <w:snapToGrid w:val="0"/>
          <w:kern w:val="0"/>
          <w:szCs w:val="21"/>
        </w:rPr>
        <w:t>–</w:t>
      </w:r>
      <w:r>
        <w:rPr>
          <w:rFonts w:hint="eastAsia"/>
          <w:snapToGrid w:val="0"/>
          <w:kern w:val="0"/>
          <w:szCs w:val="21"/>
        </w:rPr>
        <w:t>33.</w:t>
      </w:r>
    </w:p>
    <w:p w14:paraId="58205F7B" w14:textId="77777777" w:rsidR="00DA2174" w:rsidRDefault="00000000">
      <w:pPr>
        <w:numPr>
          <w:ilvl w:val="0"/>
          <w:numId w:val="1"/>
        </w:numPr>
        <w:spacing w:line="400" w:lineRule="exact"/>
        <w:rPr>
          <w:snapToGrid w:val="0"/>
          <w:kern w:val="0"/>
          <w:szCs w:val="21"/>
        </w:rPr>
      </w:pPr>
      <w:r>
        <w:rPr>
          <w:rFonts w:hint="eastAsia"/>
          <w:snapToGrid w:val="0"/>
          <w:kern w:val="0"/>
          <w:szCs w:val="21"/>
        </w:rPr>
        <w:t>唐清泉</w:t>
      </w:r>
      <w:r>
        <w:rPr>
          <w:rFonts w:hint="eastAsia"/>
          <w:snapToGrid w:val="0"/>
          <w:kern w:val="0"/>
          <w:szCs w:val="21"/>
        </w:rPr>
        <w:t xml:space="preserve">, </w:t>
      </w:r>
      <w:r>
        <w:rPr>
          <w:rFonts w:hint="eastAsia"/>
          <w:snapToGrid w:val="0"/>
          <w:kern w:val="0"/>
          <w:szCs w:val="21"/>
        </w:rPr>
        <w:t>罗党论</w:t>
      </w:r>
      <w:r>
        <w:rPr>
          <w:rFonts w:hint="eastAsia"/>
          <w:snapToGrid w:val="0"/>
          <w:kern w:val="0"/>
          <w:szCs w:val="21"/>
        </w:rPr>
        <w:t xml:space="preserve">. </w:t>
      </w:r>
      <w:r>
        <w:rPr>
          <w:rFonts w:hint="eastAsia"/>
          <w:snapToGrid w:val="0"/>
          <w:kern w:val="0"/>
          <w:szCs w:val="21"/>
        </w:rPr>
        <w:t>政府补贴动机及其效果的实证研究——来自中国上市公司的经验证据</w:t>
      </w:r>
      <w:r>
        <w:rPr>
          <w:rFonts w:hint="eastAsia"/>
          <w:snapToGrid w:val="0"/>
          <w:kern w:val="0"/>
          <w:szCs w:val="21"/>
        </w:rPr>
        <w:t xml:space="preserve">[J]. </w:t>
      </w:r>
      <w:r>
        <w:rPr>
          <w:rFonts w:hint="eastAsia"/>
          <w:snapToGrid w:val="0"/>
          <w:kern w:val="0"/>
          <w:szCs w:val="21"/>
        </w:rPr>
        <w:t>金融研究</w:t>
      </w:r>
      <w:r>
        <w:rPr>
          <w:rFonts w:hint="eastAsia"/>
          <w:snapToGrid w:val="0"/>
          <w:kern w:val="0"/>
          <w:szCs w:val="21"/>
        </w:rPr>
        <w:t>, 2007(6): 149</w:t>
      </w:r>
      <w:r>
        <w:rPr>
          <w:rFonts w:hint="eastAsia"/>
          <w:snapToGrid w:val="0"/>
          <w:kern w:val="0"/>
          <w:szCs w:val="21"/>
        </w:rPr>
        <w:t>–</w:t>
      </w:r>
      <w:r>
        <w:rPr>
          <w:rFonts w:hint="eastAsia"/>
          <w:snapToGrid w:val="0"/>
          <w:kern w:val="0"/>
          <w:szCs w:val="21"/>
        </w:rPr>
        <w:t>163.</w:t>
      </w:r>
    </w:p>
    <w:p w14:paraId="6CFBD410" w14:textId="77777777" w:rsidR="00DA2174" w:rsidRDefault="00000000">
      <w:pPr>
        <w:numPr>
          <w:ilvl w:val="0"/>
          <w:numId w:val="1"/>
        </w:numPr>
        <w:spacing w:line="400" w:lineRule="exact"/>
        <w:rPr>
          <w:snapToGrid w:val="0"/>
          <w:kern w:val="0"/>
          <w:szCs w:val="21"/>
        </w:rPr>
      </w:pPr>
      <w:r>
        <w:rPr>
          <w:rFonts w:hint="eastAsia"/>
          <w:snapToGrid w:val="0"/>
          <w:kern w:val="0"/>
          <w:szCs w:val="21"/>
        </w:rPr>
        <w:t>潘红波</w:t>
      </w:r>
      <w:r>
        <w:rPr>
          <w:rFonts w:hint="eastAsia"/>
          <w:snapToGrid w:val="0"/>
          <w:kern w:val="0"/>
          <w:szCs w:val="21"/>
        </w:rPr>
        <w:t xml:space="preserve">, </w:t>
      </w:r>
      <w:r>
        <w:rPr>
          <w:rFonts w:hint="eastAsia"/>
          <w:snapToGrid w:val="0"/>
          <w:kern w:val="0"/>
          <w:szCs w:val="21"/>
        </w:rPr>
        <w:t>夏新平</w:t>
      </w:r>
      <w:r>
        <w:rPr>
          <w:rFonts w:hint="eastAsia"/>
          <w:snapToGrid w:val="0"/>
          <w:kern w:val="0"/>
          <w:szCs w:val="21"/>
        </w:rPr>
        <w:t xml:space="preserve">, </w:t>
      </w:r>
      <w:r>
        <w:rPr>
          <w:rFonts w:hint="eastAsia"/>
          <w:snapToGrid w:val="0"/>
          <w:kern w:val="0"/>
          <w:szCs w:val="21"/>
        </w:rPr>
        <w:t>余明桂</w:t>
      </w:r>
      <w:r>
        <w:rPr>
          <w:rFonts w:hint="eastAsia"/>
          <w:snapToGrid w:val="0"/>
          <w:kern w:val="0"/>
          <w:szCs w:val="21"/>
        </w:rPr>
        <w:t xml:space="preserve">. </w:t>
      </w:r>
      <w:r>
        <w:rPr>
          <w:rFonts w:hint="eastAsia"/>
          <w:snapToGrid w:val="0"/>
          <w:kern w:val="0"/>
          <w:szCs w:val="21"/>
        </w:rPr>
        <w:t>政府干预、政治关联与地方国有企业并购</w:t>
      </w:r>
      <w:r>
        <w:rPr>
          <w:rFonts w:hint="eastAsia"/>
          <w:snapToGrid w:val="0"/>
          <w:kern w:val="0"/>
          <w:szCs w:val="21"/>
        </w:rPr>
        <w:t xml:space="preserve">[J]. </w:t>
      </w:r>
      <w:r>
        <w:rPr>
          <w:rFonts w:hint="eastAsia"/>
          <w:snapToGrid w:val="0"/>
          <w:kern w:val="0"/>
          <w:szCs w:val="21"/>
        </w:rPr>
        <w:t>经济研究</w:t>
      </w:r>
      <w:r>
        <w:rPr>
          <w:rFonts w:hint="eastAsia"/>
          <w:snapToGrid w:val="0"/>
          <w:kern w:val="0"/>
          <w:szCs w:val="21"/>
        </w:rPr>
        <w:t>, 2008(4): 41</w:t>
      </w:r>
      <w:r>
        <w:rPr>
          <w:rFonts w:hint="eastAsia"/>
          <w:snapToGrid w:val="0"/>
          <w:kern w:val="0"/>
          <w:szCs w:val="21"/>
        </w:rPr>
        <w:t>–</w:t>
      </w:r>
      <w:r>
        <w:rPr>
          <w:rFonts w:hint="eastAsia"/>
          <w:snapToGrid w:val="0"/>
          <w:kern w:val="0"/>
          <w:szCs w:val="21"/>
        </w:rPr>
        <w:t>52.</w:t>
      </w:r>
    </w:p>
    <w:p w14:paraId="1403569D" w14:textId="77777777" w:rsidR="00DA2174" w:rsidRDefault="00000000">
      <w:pPr>
        <w:numPr>
          <w:ilvl w:val="0"/>
          <w:numId w:val="1"/>
        </w:numPr>
        <w:spacing w:line="400" w:lineRule="exact"/>
        <w:rPr>
          <w:snapToGrid w:val="0"/>
          <w:kern w:val="0"/>
          <w:szCs w:val="21"/>
        </w:rPr>
      </w:pPr>
      <w:r>
        <w:rPr>
          <w:rFonts w:hint="eastAsia"/>
          <w:snapToGrid w:val="0"/>
          <w:kern w:val="0"/>
          <w:szCs w:val="21"/>
        </w:rPr>
        <w:t>陈冬华</w:t>
      </w:r>
      <w:r>
        <w:rPr>
          <w:rFonts w:hint="eastAsia"/>
          <w:snapToGrid w:val="0"/>
          <w:kern w:val="0"/>
          <w:szCs w:val="21"/>
        </w:rPr>
        <w:t xml:space="preserve">, </w:t>
      </w:r>
      <w:r>
        <w:rPr>
          <w:rFonts w:hint="eastAsia"/>
          <w:snapToGrid w:val="0"/>
          <w:kern w:val="0"/>
          <w:szCs w:val="21"/>
        </w:rPr>
        <w:t>陈信元</w:t>
      </w:r>
      <w:r>
        <w:rPr>
          <w:rFonts w:hint="eastAsia"/>
          <w:snapToGrid w:val="0"/>
          <w:kern w:val="0"/>
          <w:szCs w:val="21"/>
        </w:rPr>
        <w:t xml:space="preserve">, </w:t>
      </w:r>
      <w:r>
        <w:rPr>
          <w:rFonts w:hint="eastAsia"/>
          <w:snapToGrid w:val="0"/>
          <w:kern w:val="0"/>
          <w:szCs w:val="21"/>
        </w:rPr>
        <w:t>万华林</w:t>
      </w:r>
      <w:r>
        <w:rPr>
          <w:rFonts w:hint="eastAsia"/>
          <w:snapToGrid w:val="0"/>
          <w:kern w:val="0"/>
          <w:szCs w:val="21"/>
        </w:rPr>
        <w:t xml:space="preserve">. </w:t>
      </w:r>
      <w:r>
        <w:rPr>
          <w:rFonts w:hint="eastAsia"/>
          <w:snapToGrid w:val="0"/>
          <w:kern w:val="0"/>
          <w:szCs w:val="21"/>
        </w:rPr>
        <w:t>国有企业中的薪酬管制与在职消费</w:t>
      </w:r>
      <w:r>
        <w:rPr>
          <w:rFonts w:hint="eastAsia"/>
          <w:snapToGrid w:val="0"/>
          <w:kern w:val="0"/>
          <w:szCs w:val="21"/>
        </w:rPr>
        <w:t xml:space="preserve">[J]. </w:t>
      </w:r>
      <w:r>
        <w:rPr>
          <w:rFonts w:hint="eastAsia"/>
          <w:snapToGrid w:val="0"/>
          <w:kern w:val="0"/>
          <w:szCs w:val="21"/>
        </w:rPr>
        <w:t>经济研究</w:t>
      </w:r>
      <w:r>
        <w:rPr>
          <w:rFonts w:hint="eastAsia"/>
          <w:snapToGrid w:val="0"/>
          <w:kern w:val="0"/>
          <w:szCs w:val="21"/>
        </w:rPr>
        <w:t>, 2005, 40(2): 92</w:t>
      </w:r>
      <w:r>
        <w:rPr>
          <w:rFonts w:hint="eastAsia"/>
          <w:snapToGrid w:val="0"/>
          <w:kern w:val="0"/>
          <w:szCs w:val="21"/>
        </w:rPr>
        <w:t>–</w:t>
      </w:r>
      <w:r>
        <w:rPr>
          <w:rFonts w:hint="eastAsia"/>
          <w:snapToGrid w:val="0"/>
          <w:kern w:val="0"/>
          <w:szCs w:val="21"/>
        </w:rPr>
        <w:t>101.</w:t>
      </w:r>
    </w:p>
    <w:p w14:paraId="5F1E6E9E" w14:textId="77777777" w:rsidR="00DA2174" w:rsidRDefault="00000000">
      <w:pPr>
        <w:numPr>
          <w:ilvl w:val="0"/>
          <w:numId w:val="1"/>
        </w:numPr>
        <w:spacing w:line="400" w:lineRule="exact"/>
        <w:rPr>
          <w:snapToGrid w:val="0"/>
          <w:kern w:val="0"/>
          <w:szCs w:val="21"/>
        </w:rPr>
      </w:pPr>
      <w:r>
        <w:rPr>
          <w:rFonts w:hint="eastAsia"/>
          <w:snapToGrid w:val="0"/>
          <w:kern w:val="0"/>
          <w:szCs w:val="21"/>
        </w:rPr>
        <w:t>卢锐</w:t>
      </w:r>
      <w:r>
        <w:rPr>
          <w:rFonts w:hint="eastAsia"/>
          <w:snapToGrid w:val="0"/>
          <w:kern w:val="0"/>
          <w:szCs w:val="21"/>
        </w:rPr>
        <w:t xml:space="preserve">, </w:t>
      </w:r>
      <w:r>
        <w:rPr>
          <w:rFonts w:hint="eastAsia"/>
          <w:snapToGrid w:val="0"/>
          <w:kern w:val="0"/>
          <w:szCs w:val="21"/>
        </w:rPr>
        <w:t>柳建华</w:t>
      </w:r>
      <w:r>
        <w:rPr>
          <w:rFonts w:hint="eastAsia"/>
          <w:snapToGrid w:val="0"/>
          <w:kern w:val="0"/>
          <w:szCs w:val="21"/>
        </w:rPr>
        <w:t xml:space="preserve">, </w:t>
      </w:r>
      <w:r>
        <w:rPr>
          <w:rFonts w:hint="eastAsia"/>
          <w:snapToGrid w:val="0"/>
          <w:kern w:val="0"/>
          <w:szCs w:val="21"/>
        </w:rPr>
        <w:t>许宁</w:t>
      </w:r>
      <w:r>
        <w:rPr>
          <w:rFonts w:hint="eastAsia"/>
          <w:snapToGrid w:val="0"/>
          <w:kern w:val="0"/>
          <w:szCs w:val="21"/>
        </w:rPr>
        <w:t xml:space="preserve">. </w:t>
      </w:r>
      <w:r>
        <w:rPr>
          <w:rFonts w:hint="eastAsia"/>
          <w:snapToGrid w:val="0"/>
          <w:kern w:val="0"/>
          <w:szCs w:val="21"/>
        </w:rPr>
        <w:t>内部控制、产权与高管薪酬业绩敏感性</w:t>
      </w:r>
      <w:r>
        <w:rPr>
          <w:rFonts w:hint="eastAsia"/>
          <w:snapToGrid w:val="0"/>
          <w:kern w:val="0"/>
          <w:szCs w:val="21"/>
        </w:rPr>
        <w:t xml:space="preserve">[J]. </w:t>
      </w:r>
      <w:r>
        <w:rPr>
          <w:rFonts w:hint="eastAsia"/>
          <w:snapToGrid w:val="0"/>
          <w:kern w:val="0"/>
          <w:szCs w:val="21"/>
        </w:rPr>
        <w:t>会计研究</w:t>
      </w:r>
      <w:r>
        <w:rPr>
          <w:rFonts w:hint="eastAsia"/>
          <w:snapToGrid w:val="0"/>
          <w:kern w:val="0"/>
          <w:szCs w:val="21"/>
        </w:rPr>
        <w:t>, 2011(10): 42</w:t>
      </w:r>
      <w:r>
        <w:rPr>
          <w:rFonts w:hint="eastAsia"/>
          <w:snapToGrid w:val="0"/>
          <w:kern w:val="0"/>
          <w:szCs w:val="21"/>
        </w:rPr>
        <w:t>–</w:t>
      </w:r>
      <w:r>
        <w:rPr>
          <w:rFonts w:hint="eastAsia"/>
          <w:snapToGrid w:val="0"/>
          <w:kern w:val="0"/>
          <w:szCs w:val="21"/>
        </w:rPr>
        <w:t>48.</w:t>
      </w:r>
    </w:p>
    <w:p w14:paraId="2D869C56" w14:textId="77777777" w:rsidR="00DA2174" w:rsidRDefault="00000000">
      <w:pPr>
        <w:numPr>
          <w:ilvl w:val="0"/>
          <w:numId w:val="1"/>
        </w:numPr>
        <w:spacing w:line="400" w:lineRule="exact"/>
        <w:rPr>
          <w:snapToGrid w:val="0"/>
          <w:kern w:val="0"/>
          <w:szCs w:val="21"/>
        </w:rPr>
      </w:pPr>
      <w:r>
        <w:rPr>
          <w:rFonts w:hint="eastAsia"/>
          <w:snapToGrid w:val="0"/>
          <w:kern w:val="0"/>
          <w:szCs w:val="21"/>
        </w:rPr>
        <w:t>罗进辉</w:t>
      </w:r>
      <w:r>
        <w:rPr>
          <w:rFonts w:hint="eastAsia"/>
          <w:snapToGrid w:val="0"/>
          <w:kern w:val="0"/>
          <w:szCs w:val="21"/>
        </w:rPr>
        <w:t xml:space="preserve">. </w:t>
      </w:r>
      <w:r>
        <w:rPr>
          <w:rFonts w:hint="eastAsia"/>
          <w:snapToGrid w:val="0"/>
          <w:kern w:val="0"/>
          <w:szCs w:val="21"/>
        </w:rPr>
        <w:t>媒体报道与高管薪酬契约有效性</w:t>
      </w:r>
      <w:r>
        <w:rPr>
          <w:rFonts w:hint="eastAsia"/>
          <w:snapToGrid w:val="0"/>
          <w:kern w:val="0"/>
          <w:szCs w:val="21"/>
        </w:rPr>
        <w:t xml:space="preserve">[J]. </w:t>
      </w:r>
      <w:r>
        <w:rPr>
          <w:rFonts w:hint="eastAsia"/>
          <w:snapToGrid w:val="0"/>
          <w:kern w:val="0"/>
          <w:szCs w:val="21"/>
        </w:rPr>
        <w:t>金融研究</w:t>
      </w:r>
      <w:r>
        <w:rPr>
          <w:rFonts w:hint="eastAsia"/>
          <w:snapToGrid w:val="0"/>
          <w:kern w:val="0"/>
          <w:szCs w:val="21"/>
        </w:rPr>
        <w:t>, 2018(3): 190</w:t>
      </w:r>
      <w:r>
        <w:rPr>
          <w:rFonts w:hint="eastAsia"/>
          <w:snapToGrid w:val="0"/>
          <w:kern w:val="0"/>
          <w:szCs w:val="21"/>
        </w:rPr>
        <w:t>–</w:t>
      </w:r>
      <w:r>
        <w:rPr>
          <w:rFonts w:hint="eastAsia"/>
          <w:snapToGrid w:val="0"/>
          <w:kern w:val="0"/>
          <w:szCs w:val="21"/>
        </w:rPr>
        <w:t>206.</w:t>
      </w:r>
    </w:p>
    <w:p w14:paraId="2028492A" w14:textId="77777777" w:rsidR="00DA2174" w:rsidRDefault="00000000">
      <w:pPr>
        <w:numPr>
          <w:ilvl w:val="0"/>
          <w:numId w:val="1"/>
        </w:numPr>
        <w:spacing w:line="400" w:lineRule="exact"/>
        <w:rPr>
          <w:snapToGrid w:val="0"/>
          <w:kern w:val="0"/>
          <w:szCs w:val="21"/>
        </w:rPr>
      </w:pPr>
      <w:r>
        <w:rPr>
          <w:rFonts w:hint="eastAsia"/>
          <w:snapToGrid w:val="0"/>
          <w:kern w:val="0"/>
          <w:szCs w:val="21"/>
        </w:rPr>
        <w:t>王克敏</w:t>
      </w:r>
      <w:r>
        <w:rPr>
          <w:rFonts w:hint="eastAsia"/>
          <w:snapToGrid w:val="0"/>
          <w:kern w:val="0"/>
          <w:szCs w:val="21"/>
        </w:rPr>
        <w:t xml:space="preserve">, </w:t>
      </w:r>
      <w:r>
        <w:rPr>
          <w:rFonts w:hint="eastAsia"/>
          <w:snapToGrid w:val="0"/>
          <w:kern w:val="0"/>
          <w:szCs w:val="21"/>
        </w:rPr>
        <w:t>王华杰</w:t>
      </w:r>
      <w:r>
        <w:rPr>
          <w:rFonts w:hint="eastAsia"/>
          <w:snapToGrid w:val="0"/>
          <w:kern w:val="0"/>
          <w:szCs w:val="21"/>
        </w:rPr>
        <w:t xml:space="preserve">, </w:t>
      </w:r>
      <w:r>
        <w:rPr>
          <w:rFonts w:hint="eastAsia"/>
          <w:snapToGrid w:val="0"/>
          <w:kern w:val="0"/>
          <w:szCs w:val="21"/>
        </w:rPr>
        <w:t>李栋栋</w:t>
      </w:r>
      <w:r>
        <w:rPr>
          <w:rFonts w:hint="eastAsia"/>
          <w:snapToGrid w:val="0"/>
          <w:kern w:val="0"/>
          <w:szCs w:val="21"/>
        </w:rPr>
        <w:t xml:space="preserve">, </w:t>
      </w:r>
      <w:r>
        <w:rPr>
          <w:rFonts w:hint="eastAsia"/>
          <w:snapToGrid w:val="0"/>
          <w:kern w:val="0"/>
          <w:szCs w:val="21"/>
        </w:rPr>
        <w:t>等</w:t>
      </w:r>
      <w:r>
        <w:rPr>
          <w:rFonts w:hint="eastAsia"/>
          <w:snapToGrid w:val="0"/>
          <w:kern w:val="0"/>
          <w:szCs w:val="21"/>
        </w:rPr>
        <w:t xml:space="preserve">. </w:t>
      </w:r>
      <w:r>
        <w:rPr>
          <w:rFonts w:hint="eastAsia"/>
          <w:snapToGrid w:val="0"/>
          <w:kern w:val="0"/>
          <w:szCs w:val="21"/>
        </w:rPr>
        <w:t>年报文本信息复杂性与管理者自利——来自中国上市公司的证据</w:t>
      </w:r>
      <w:r>
        <w:rPr>
          <w:rFonts w:hint="eastAsia"/>
          <w:snapToGrid w:val="0"/>
          <w:kern w:val="0"/>
          <w:szCs w:val="21"/>
        </w:rPr>
        <w:t xml:space="preserve">[J]. </w:t>
      </w:r>
      <w:r>
        <w:rPr>
          <w:rFonts w:hint="eastAsia"/>
          <w:snapToGrid w:val="0"/>
          <w:kern w:val="0"/>
          <w:szCs w:val="21"/>
        </w:rPr>
        <w:t>管理世界</w:t>
      </w:r>
      <w:r>
        <w:rPr>
          <w:rFonts w:hint="eastAsia"/>
          <w:snapToGrid w:val="0"/>
          <w:kern w:val="0"/>
          <w:szCs w:val="21"/>
        </w:rPr>
        <w:t>, 2018, 34(12): 120</w:t>
      </w:r>
      <w:r>
        <w:rPr>
          <w:rFonts w:hint="eastAsia"/>
          <w:snapToGrid w:val="0"/>
          <w:kern w:val="0"/>
          <w:szCs w:val="21"/>
        </w:rPr>
        <w:t>–</w:t>
      </w:r>
      <w:r>
        <w:rPr>
          <w:rFonts w:hint="eastAsia"/>
          <w:snapToGrid w:val="0"/>
          <w:kern w:val="0"/>
          <w:szCs w:val="21"/>
        </w:rPr>
        <w:t>132.</w:t>
      </w:r>
    </w:p>
    <w:p w14:paraId="448B9365" w14:textId="77777777" w:rsidR="00DA2174" w:rsidRDefault="00000000">
      <w:pPr>
        <w:numPr>
          <w:ilvl w:val="0"/>
          <w:numId w:val="1"/>
        </w:numPr>
        <w:spacing w:line="400" w:lineRule="exact"/>
        <w:rPr>
          <w:snapToGrid w:val="0"/>
          <w:kern w:val="0"/>
          <w:szCs w:val="21"/>
        </w:rPr>
      </w:pPr>
      <w:r>
        <w:rPr>
          <w:rFonts w:hint="eastAsia"/>
          <w:snapToGrid w:val="0"/>
          <w:kern w:val="0"/>
          <w:szCs w:val="21"/>
        </w:rPr>
        <w:t>陆瑶</w:t>
      </w:r>
      <w:r>
        <w:rPr>
          <w:rFonts w:hint="eastAsia"/>
          <w:snapToGrid w:val="0"/>
          <w:kern w:val="0"/>
          <w:szCs w:val="21"/>
        </w:rPr>
        <w:t xml:space="preserve">, </w:t>
      </w:r>
      <w:r>
        <w:rPr>
          <w:rFonts w:hint="eastAsia"/>
          <w:snapToGrid w:val="0"/>
          <w:kern w:val="0"/>
          <w:szCs w:val="21"/>
        </w:rPr>
        <w:t>张叶青</w:t>
      </w:r>
      <w:r>
        <w:rPr>
          <w:rFonts w:hint="eastAsia"/>
          <w:snapToGrid w:val="0"/>
          <w:kern w:val="0"/>
          <w:szCs w:val="21"/>
        </w:rPr>
        <w:t xml:space="preserve">, </w:t>
      </w:r>
      <w:r>
        <w:rPr>
          <w:rFonts w:hint="eastAsia"/>
          <w:snapToGrid w:val="0"/>
          <w:kern w:val="0"/>
          <w:szCs w:val="21"/>
        </w:rPr>
        <w:t>黎波</w:t>
      </w:r>
      <w:r>
        <w:rPr>
          <w:rFonts w:hint="eastAsia"/>
          <w:snapToGrid w:val="0"/>
          <w:kern w:val="0"/>
          <w:szCs w:val="21"/>
        </w:rPr>
        <w:t xml:space="preserve">, </w:t>
      </w:r>
      <w:r>
        <w:rPr>
          <w:rFonts w:hint="eastAsia"/>
          <w:snapToGrid w:val="0"/>
          <w:kern w:val="0"/>
          <w:szCs w:val="21"/>
        </w:rPr>
        <w:t>赵浩宇</w:t>
      </w:r>
      <w:r>
        <w:rPr>
          <w:rFonts w:hint="eastAsia"/>
          <w:snapToGrid w:val="0"/>
          <w:kern w:val="0"/>
          <w:szCs w:val="21"/>
        </w:rPr>
        <w:t xml:space="preserve">. </w:t>
      </w:r>
      <w:r>
        <w:rPr>
          <w:rFonts w:hint="eastAsia"/>
          <w:snapToGrid w:val="0"/>
          <w:kern w:val="0"/>
          <w:szCs w:val="21"/>
        </w:rPr>
        <w:t>高管个人特征与公司业绩——基于机器学习的经验证据</w:t>
      </w:r>
      <w:r>
        <w:rPr>
          <w:rFonts w:hint="eastAsia"/>
          <w:snapToGrid w:val="0"/>
          <w:kern w:val="0"/>
          <w:szCs w:val="21"/>
        </w:rPr>
        <w:t xml:space="preserve">[J]. </w:t>
      </w:r>
      <w:r>
        <w:rPr>
          <w:rFonts w:hint="eastAsia"/>
          <w:snapToGrid w:val="0"/>
          <w:kern w:val="0"/>
          <w:szCs w:val="21"/>
        </w:rPr>
        <w:t>管理科学学报</w:t>
      </w:r>
      <w:r>
        <w:rPr>
          <w:rFonts w:hint="eastAsia"/>
          <w:snapToGrid w:val="0"/>
          <w:kern w:val="0"/>
          <w:szCs w:val="21"/>
        </w:rPr>
        <w:t>, 2020, 23(2): 120</w:t>
      </w:r>
      <w:r>
        <w:rPr>
          <w:rFonts w:hint="eastAsia"/>
          <w:snapToGrid w:val="0"/>
          <w:kern w:val="0"/>
          <w:szCs w:val="21"/>
        </w:rPr>
        <w:t>–</w:t>
      </w:r>
      <w:r>
        <w:rPr>
          <w:rFonts w:hint="eastAsia"/>
          <w:snapToGrid w:val="0"/>
          <w:kern w:val="0"/>
          <w:szCs w:val="21"/>
        </w:rPr>
        <w:t>140.</w:t>
      </w:r>
    </w:p>
    <w:p w14:paraId="39A259F1" w14:textId="77777777" w:rsidR="00DA2174" w:rsidRDefault="00000000">
      <w:pPr>
        <w:numPr>
          <w:ilvl w:val="0"/>
          <w:numId w:val="1"/>
        </w:numPr>
        <w:spacing w:line="400" w:lineRule="exact"/>
        <w:rPr>
          <w:snapToGrid w:val="0"/>
          <w:kern w:val="0"/>
          <w:szCs w:val="21"/>
        </w:rPr>
      </w:pPr>
      <w:r>
        <w:rPr>
          <w:rFonts w:hint="eastAsia"/>
          <w:snapToGrid w:val="0"/>
          <w:kern w:val="0"/>
          <w:szCs w:val="21"/>
        </w:rPr>
        <w:t>马长峰</w:t>
      </w:r>
      <w:r>
        <w:rPr>
          <w:rFonts w:hint="eastAsia"/>
          <w:snapToGrid w:val="0"/>
          <w:kern w:val="0"/>
          <w:szCs w:val="21"/>
        </w:rPr>
        <w:t xml:space="preserve">, </w:t>
      </w:r>
      <w:r>
        <w:rPr>
          <w:rFonts w:hint="eastAsia"/>
          <w:snapToGrid w:val="0"/>
          <w:kern w:val="0"/>
          <w:szCs w:val="21"/>
        </w:rPr>
        <w:t>陈志娟</w:t>
      </w:r>
      <w:r>
        <w:rPr>
          <w:rFonts w:hint="eastAsia"/>
          <w:snapToGrid w:val="0"/>
          <w:kern w:val="0"/>
          <w:szCs w:val="21"/>
        </w:rPr>
        <w:t xml:space="preserve">, </w:t>
      </w:r>
      <w:r>
        <w:rPr>
          <w:rFonts w:hint="eastAsia"/>
          <w:snapToGrid w:val="0"/>
          <w:kern w:val="0"/>
          <w:szCs w:val="21"/>
        </w:rPr>
        <w:t>张顺明</w:t>
      </w:r>
      <w:r>
        <w:rPr>
          <w:rFonts w:hint="eastAsia"/>
          <w:snapToGrid w:val="0"/>
          <w:kern w:val="0"/>
          <w:szCs w:val="21"/>
        </w:rPr>
        <w:t xml:space="preserve">. </w:t>
      </w:r>
      <w:r>
        <w:rPr>
          <w:rFonts w:hint="eastAsia"/>
          <w:snapToGrid w:val="0"/>
          <w:kern w:val="0"/>
          <w:szCs w:val="21"/>
        </w:rPr>
        <w:t>基于文本大数据分析的会计和金融研究综述</w:t>
      </w:r>
      <w:r>
        <w:rPr>
          <w:rFonts w:hint="eastAsia"/>
          <w:snapToGrid w:val="0"/>
          <w:kern w:val="0"/>
          <w:szCs w:val="21"/>
        </w:rPr>
        <w:t xml:space="preserve">[J]. </w:t>
      </w:r>
      <w:r>
        <w:rPr>
          <w:rFonts w:hint="eastAsia"/>
          <w:snapToGrid w:val="0"/>
          <w:kern w:val="0"/>
          <w:szCs w:val="21"/>
        </w:rPr>
        <w:t>管理科学学报</w:t>
      </w:r>
      <w:r>
        <w:rPr>
          <w:rFonts w:hint="eastAsia"/>
          <w:snapToGrid w:val="0"/>
          <w:kern w:val="0"/>
          <w:szCs w:val="21"/>
        </w:rPr>
        <w:t xml:space="preserve">, 2020, </w:t>
      </w:r>
      <w:r>
        <w:rPr>
          <w:rFonts w:hint="eastAsia"/>
          <w:snapToGrid w:val="0"/>
          <w:kern w:val="0"/>
          <w:szCs w:val="21"/>
        </w:rPr>
        <w:lastRenderedPageBreak/>
        <w:t>23(9): 19</w:t>
      </w:r>
      <w:r>
        <w:rPr>
          <w:rFonts w:hint="eastAsia"/>
          <w:snapToGrid w:val="0"/>
          <w:kern w:val="0"/>
          <w:szCs w:val="21"/>
        </w:rPr>
        <w:t>–</w:t>
      </w:r>
      <w:r>
        <w:rPr>
          <w:rFonts w:hint="eastAsia"/>
          <w:snapToGrid w:val="0"/>
          <w:kern w:val="0"/>
          <w:szCs w:val="21"/>
        </w:rPr>
        <w:t>30.</w:t>
      </w:r>
    </w:p>
    <w:p w14:paraId="24613AA2" w14:textId="77777777" w:rsidR="00DA2174" w:rsidRDefault="00000000">
      <w:pPr>
        <w:numPr>
          <w:ilvl w:val="0"/>
          <w:numId w:val="1"/>
        </w:numPr>
        <w:spacing w:line="400" w:lineRule="exact"/>
        <w:rPr>
          <w:snapToGrid w:val="0"/>
          <w:kern w:val="0"/>
          <w:szCs w:val="21"/>
        </w:rPr>
      </w:pPr>
      <w:r>
        <w:rPr>
          <w:rFonts w:hint="eastAsia"/>
          <w:snapToGrid w:val="0"/>
          <w:kern w:val="0"/>
          <w:szCs w:val="21"/>
        </w:rPr>
        <w:t>吴妍</w:t>
      </w:r>
      <w:r>
        <w:rPr>
          <w:rFonts w:hint="eastAsia"/>
          <w:snapToGrid w:val="0"/>
          <w:kern w:val="0"/>
          <w:szCs w:val="21"/>
        </w:rPr>
        <w:t xml:space="preserve">. </w:t>
      </w:r>
      <w:r>
        <w:rPr>
          <w:rFonts w:hint="eastAsia"/>
          <w:snapToGrid w:val="0"/>
          <w:kern w:val="0"/>
          <w:szCs w:val="21"/>
        </w:rPr>
        <w:t>政府补助与高管超额薪酬的实证研究</w:t>
      </w:r>
      <w:r>
        <w:rPr>
          <w:rFonts w:hint="eastAsia"/>
          <w:snapToGrid w:val="0"/>
          <w:kern w:val="0"/>
          <w:szCs w:val="21"/>
        </w:rPr>
        <w:t xml:space="preserve">[D]. </w:t>
      </w:r>
      <w:r>
        <w:rPr>
          <w:rFonts w:hint="eastAsia"/>
          <w:snapToGrid w:val="0"/>
          <w:kern w:val="0"/>
          <w:szCs w:val="21"/>
        </w:rPr>
        <w:t>武汉</w:t>
      </w:r>
      <w:r>
        <w:rPr>
          <w:rFonts w:hint="eastAsia"/>
          <w:snapToGrid w:val="0"/>
          <w:kern w:val="0"/>
          <w:szCs w:val="21"/>
        </w:rPr>
        <w:t xml:space="preserve">: </w:t>
      </w:r>
      <w:r>
        <w:rPr>
          <w:rFonts w:hint="eastAsia"/>
          <w:snapToGrid w:val="0"/>
          <w:kern w:val="0"/>
          <w:szCs w:val="21"/>
        </w:rPr>
        <w:t>中南财经政法大学</w:t>
      </w:r>
      <w:r>
        <w:rPr>
          <w:rFonts w:hint="eastAsia"/>
          <w:snapToGrid w:val="0"/>
          <w:kern w:val="0"/>
          <w:szCs w:val="21"/>
        </w:rPr>
        <w:t xml:space="preserve">, 2019.  </w:t>
      </w:r>
    </w:p>
    <w:p w14:paraId="411328A7" w14:textId="77777777" w:rsidR="00DA2174" w:rsidRDefault="00000000">
      <w:pPr>
        <w:numPr>
          <w:ilvl w:val="0"/>
          <w:numId w:val="1"/>
        </w:numPr>
        <w:spacing w:line="400" w:lineRule="exact"/>
        <w:rPr>
          <w:snapToGrid w:val="0"/>
          <w:kern w:val="0"/>
          <w:szCs w:val="21"/>
        </w:rPr>
      </w:pPr>
      <w:r>
        <w:rPr>
          <w:rFonts w:hint="eastAsia"/>
          <w:snapToGrid w:val="0"/>
          <w:kern w:val="0"/>
          <w:szCs w:val="21"/>
        </w:rPr>
        <w:t>张莉莉</w:t>
      </w:r>
      <w:r>
        <w:rPr>
          <w:rFonts w:hint="eastAsia"/>
          <w:snapToGrid w:val="0"/>
          <w:kern w:val="0"/>
          <w:szCs w:val="21"/>
        </w:rPr>
        <w:t xml:space="preserve">. </w:t>
      </w:r>
      <w:r>
        <w:rPr>
          <w:rFonts w:hint="eastAsia"/>
          <w:snapToGrid w:val="0"/>
          <w:kern w:val="0"/>
          <w:szCs w:val="21"/>
        </w:rPr>
        <w:t>政府补助对国企上市公司高管超额薪酬的影响研究</w:t>
      </w:r>
      <w:r>
        <w:rPr>
          <w:rFonts w:hint="eastAsia"/>
          <w:snapToGrid w:val="0"/>
          <w:kern w:val="0"/>
          <w:szCs w:val="21"/>
        </w:rPr>
        <w:t xml:space="preserve">[D]. </w:t>
      </w:r>
      <w:r>
        <w:rPr>
          <w:rFonts w:hint="eastAsia"/>
          <w:snapToGrid w:val="0"/>
          <w:kern w:val="0"/>
          <w:szCs w:val="21"/>
        </w:rPr>
        <w:t>湘潭</w:t>
      </w:r>
      <w:r>
        <w:rPr>
          <w:rFonts w:hint="eastAsia"/>
          <w:snapToGrid w:val="0"/>
          <w:kern w:val="0"/>
          <w:szCs w:val="21"/>
        </w:rPr>
        <w:t xml:space="preserve">: </w:t>
      </w:r>
      <w:r>
        <w:rPr>
          <w:rFonts w:hint="eastAsia"/>
          <w:snapToGrid w:val="0"/>
          <w:kern w:val="0"/>
          <w:szCs w:val="21"/>
        </w:rPr>
        <w:t>湖南科技大学</w:t>
      </w:r>
      <w:r>
        <w:rPr>
          <w:rFonts w:hint="eastAsia"/>
          <w:snapToGrid w:val="0"/>
          <w:kern w:val="0"/>
          <w:szCs w:val="21"/>
        </w:rPr>
        <w:t xml:space="preserve">, 2019.  </w:t>
      </w:r>
    </w:p>
    <w:p w14:paraId="170B534E" w14:textId="77777777" w:rsidR="00DA2174" w:rsidRDefault="00000000">
      <w:pPr>
        <w:numPr>
          <w:ilvl w:val="0"/>
          <w:numId w:val="1"/>
        </w:numPr>
        <w:spacing w:line="400" w:lineRule="exact"/>
        <w:rPr>
          <w:snapToGrid w:val="0"/>
          <w:kern w:val="0"/>
          <w:szCs w:val="21"/>
        </w:rPr>
      </w:pPr>
      <w:r>
        <w:rPr>
          <w:rFonts w:hint="eastAsia"/>
          <w:snapToGrid w:val="0"/>
          <w:kern w:val="0"/>
          <w:szCs w:val="21"/>
        </w:rPr>
        <w:t>连君莎</w:t>
      </w:r>
      <w:r>
        <w:rPr>
          <w:rFonts w:hint="eastAsia"/>
          <w:snapToGrid w:val="0"/>
          <w:kern w:val="0"/>
          <w:szCs w:val="21"/>
        </w:rPr>
        <w:t xml:space="preserve">. </w:t>
      </w:r>
      <w:r>
        <w:rPr>
          <w:rFonts w:hint="eastAsia"/>
          <w:snapToGrid w:val="0"/>
          <w:kern w:val="0"/>
          <w:szCs w:val="21"/>
        </w:rPr>
        <w:t>政府补贴、内部控制质量与企业投资效率</w:t>
      </w:r>
      <w:r>
        <w:rPr>
          <w:rFonts w:hint="eastAsia"/>
          <w:snapToGrid w:val="0"/>
          <w:kern w:val="0"/>
          <w:szCs w:val="21"/>
        </w:rPr>
        <w:t xml:space="preserve">[D]. </w:t>
      </w:r>
      <w:r>
        <w:rPr>
          <w:rFonts w:hint="eastAsia"/>
          <w:snapToGrid w:val="0"/>
          <w:kern w:val="0"/>
          <w:szCs w:val="21"/>
        </w:rPr>
        <w:t>武汉</w:t>
      </w:r>
      <w:r>
        <w:rPr>
          <w:rFonts w:hint="eastAsia"/>
          <w:snapToGrid w:val="0"/>
          <w:kern w:val="0"/>
          <w:szCs w:val="21"/>
        </w:rPr>
        <w:t xml:space="preserve">: </w:t>
      </w:r>
      <w:r>
        <w:rPr>
          <w:rFonts w:hint="eastAsia"/>
          <w:snapToGrid w:val="0"/>
          <w:kern w:val="0"/>
          <w:szCs w:val="21"/>
        </w:rPr>
        <w:t>武汉理工大学</w:t>
      </w:r>
      <w:r>
        <w:rPr>
          <w:rFonts w:hint="eastAsia"/>
          <w:snapToGrid w:val="0"/>
          <w:kern w:val="0"/>
          <w:szCs w:val="21"/>
        </w:rPr>
        <w:t xml:space="preserve">, 2020.  </w:t>
      </w:r>
    </w:p>
    <w:p w14:paraId="28879980" w14:textId="77777777" w:rsidR="00DA2174" w:rsidRDefault="00000000">
      <w:pPr>
        <w:numPr>
          <w:ilvl w:val="0"/>
          <w:numId w:val="1"/>
        </w:numPr>
        <w:spacing w:line="400" w:lineRule="exact"/>
        <w:rPr>
          <w:snapToGrid w:val="0"/>
          <w:kern w:val="0"/>
          <w:szCs w:val="21"/>
        </w:rPr>
      </w:pPr>
      <w:r>
        <w:rPr>
          <w:rFonts w:hint="eastAsia"/>
          <w:snapToGrid w:val="0"/>
          <w:kern w:val="0"/>
          <w:szCs w:val="21"/>
        </w:rPr>
        <w:t>章海浪</w:t>
      </w:r>
      <w:r>
        <w:rPr>
          <w:rFonts w:hint="eastAsia"/>
          <w:snapToGrid w:val="0"/>
          <w:kern w:val="0"/>
          <w:szCs w:val="21"/>
        </w:rPr>
        <w:t xml:space="preserve">. </w:t>
      </w:r>
      <w:r>
        <w:rPr>
          <w:rFonts w:hint="eastAsia"/>
          <w:snapToGrid w:val="0"/>
          <w:kern w:val="0"/>
          <w:szCs w:val="21"/>
        </w:rPr>
        <w:t>内部控制缺陷、薪酬公平性与高管腐败</w:t>
      </w:r>
      <w:r>
        <w:rPr>
          <w:rFonts w:hint="eastAsia"/>
          <w:snapToGrid w:val="0"/>
          <w:kern w:val="0"/>
          <w:szCs w:val="21"/>
        </w:rPr>
        <w:t xml:space="preserve">[D]. </w:t>
      </w:r>
      <w:r>
        <w:rPr>
          <w:rFonts w:hint="eastAsia"/>
          <w:snapToGrid w:val="0"/>
          <w:kern w:val="0"/>
          <w:szCs w:val="21"/>
        </w:rPr>
        <w:t>杭州</w:t>
      </w:r>
      <w:r>
        <w:rPr>
          <w:rFonts w:hint="eastAsia"/>
          <w:snapToGrid w:val="0"/>
          <w:kern w:val="0"/>
          <w:szCs w:val="21"/>
        </w:rPr>
        <w:t xml:space="preserve">: </w:t>
      </w:r>
      <w:r>
        <w:rPr>
          <w:rFonts w:hint="eastAsia"/>
          <w:snapToGrid w:val="0"/>
          <w:kern w:val="0"/>
          <w:szCs w:val="21"/>
        </w:rPr>
        <w:t>浙江工商大学</w:t>
      </w:r>
      <w:r>
        <w:rPr>
          <w:rFonts w:hint="eastAsia"/>
          <w:snapToGrid w:val="0"/>
          <w:kern w:val="0"/>
          <w:szCs w:val="21"/>
        </w:rPr>
        <w:t>, 2021.</w:t>
      </w:r>
    </w:p>
    <w:p w14:paraId="751885E2" w14:textId="77777777" w:rsidR="00DA2174" w:rsidRDefault="00000000">
      <w:pPr>
        <w:numPr>
          <w:ilvl w:val="0"/>
          <w:numId w:val="1"/>
        </w:numPr>
        <w:spacing w:line="400" w:lineRule="exact"/>
        <w:rPr>
          <w:snapToGrid w:val="0"/>
          <w:kern w:val="0"/>
          <w:szCs w:val="21"/>
        </w:rPr>
      </w:pPr>
      <w:r>
        <w:rPr>
          <w:rFonts w:hint="eastAsia"/>
          <w:snapToGrid w:val="0"/>
          <w:kern w:val="0"/>
          <w:szCs w:val="21"/>
        </w:rPr>
        <w:t>徐坤</w:t>
      </w:r>
      <w:r>
        <w:rPr>
          <w:rFonts w:hint="eastAsia"/>
          <w:snapToGrid w:val="0"/>
          <w:kern w:val="0"/>
          <w:szCs w:val="21"/>
        </w:rPr>
        <w:t xml:space="preserve">. </w:t>
      </w:r>
      <w:r>
        <w:rPr>
          <w:rFonts w:hint="eastAsia"/>
          <w:snapToGrid w:val="0"/>
          <w:kern w:val="0"/>
          <w:szCs w:val="21"/>
        </w:rPr>
        <w:t>管理层语调与企业未来业绩的关系</w:t>
      </w:r>
      <w:r>
        <w:rPr>
          <w:rFonts w:hint="eastAsia"/>
          <w:snapToGrid w:val="0"/>
          <w:kern w:val="0"/>
          <w:szCs w:val="21"/>
        </w:rPr>
        <w:t xml:space="preserve">[D]. </w:t>
      </w:r>
      <w:r>
        <w:rPr>
          <w:rFonts w:hint="eastAsia"/>
          <w:snapToGrid w:val="0"/>
          <w:kern w:val="0"/>
          <w:szCs w:val="21"/>
        </w:rPr>
        <w:t>北京</w:t>
      </w:r>
      <w:r>
        <w:rPr>
          <w:rFonts w:hint="eastAsia"/>
          <w:snapToGrid w:val="0"/>
          <w:kern w:val="0"/>
          <w:szCs w:val="21"/>
        </w:rPr>
        <w:t xml:space="preserve">: </w:t>
      </w:r>
      <w:r>
        <w:rPr>
          <w:rFonts w:hint="eastAsia"/>
          <w:snapToGrid w:val="0"/>
          <w:kern w:val="0"/>
          <w:szCs w:val="21"/>
        </w:rPr>
        <w:t>北京交通大学</w:t>
      </w:r>
      <w:r>
        <w:rPr>
          <w:rFonts w:hint="eastAsia"/>
          <w:snapToGrid w:val="0"/>
          <w:kern w:val="0"/>
          <w:szCs w:val="21"/>
        </w:rPr>
        <w:t>, 2021</w:t>
      </w:r>
    </w:p>
    <w:p w14:paraId="48D52CC2" w14:textId="77777777" w:rsidR="00DA2174" w:rsidRDefault="00DA2174">
      <w:pPr>
        <w:spacing w:line="400" w:lineRule="exact"/>
        <w:rPr>
          <w:snapToGrid w:val="0"/>
          <w:kern w:val="0"/>
          <w:szCs w:val="21"/>
        </w:rPr>
      </w:pPr>
    </w:p>
    <w:p w14:paraId="3522D97B" w14:textId="77777777" w:rsidR="00DA2174" w:rsidRDefault="00DA2174">
      <w:pPr>
        <w:spacing w:line="400" w:lineRule="exact"/>
        <w:rPr>
          <w:snapToGrid w:val="0"/>
          <w:color w:val="EE0000"/>
          <w:kern w:val="0"/>
          <w:szCs w:val="21"/>
        </w:rPr>
      </w:pPr>
    </w:p>
    <w:p w14:paraId="14FE16B5" w14:textId="77777777" w:rsidR="00DA2174" w:rsidRDefault="00DA2174">
      <w:pPr>
        <w:spacing w:beforeLines="25" w:before="78" w:line="312" w:lineRule="auto"/>
        <w:ind w:firstLineChars="200" w:firstLine="420"/>
      </w:pPr>
    </w:p>
    <w:p w14:paraId="72B9DB1E" w14:textId="77777777" w:rsidR="00DA2174" w:rsidRDefault="00000000">
      <w:pPr>
        <w:spacing w:beforeLines="25" w:before="78"/>
        <w:rPr>
          <w:rFonts w:eastAsia="黑体"/>
          <w:sz w:val="28"/>
        </w:rPr>
      </w:pPr>
      <w:r>
        <w:rPr>
          <w:rFonts w:eastAsia="黑体"/>
          <w:sz w:val="28"/>
        </w:rPr>
        <w:br w:type="page"/>
      </w:r>
      <w:r>
        <w:rPr>
          <w:rFonts w:eastAsia="黑体"/>
          <w:sz w:val="28"/>
        </w:rPr>
        <w:lastRenderedPageBreak/>
        <w:t>五、研究的整体方案与工作进度安排</w:t>
      </w:r>
    </w:p>
    <w:tbl>
      <w:tblPr>
        <w:tblW w:w="0" w:type="auto"/>
        <w:jc w:val="center"/>
        <w:tblBorders>
          <w:bottom w:val="single" w:sz="4" w:space="0" w:color="auto"/>
        </w:tblBorders>
        <w:tblLayout w:type="fixed"/>
        <w:tblLook w:val="04A0" w:firstRow="1" w:lastRow="0" w:firstColumn="1" w:lastColumn="0" w:noHBand="0" w:noVBand="1"/>
      </w:tblPr>
      <w:tblGrid>
        <w:gridCol w:w="1477"/>
        <w:gridCol w:w="768"/>
        <w:gridCol w:w="574"/>
        <w:gridCol w:w="574"/>
        <w:gridCol w:w="574"/>
        <w:gridCol w:w="574"/>
        <w:gridCol w:w="957"/>
        <w:gridCol w:w="766"/>
        <w:gridCol w:w="574"/>
        <w:gridCol w:w="574"/>
        <w:gridCol w:w="574"/>
        <w:gridCol w:w="455"/>
        <w:gridCol w:w="502"/>
      </w:tblGrid>
      <w:tr w:rsidR="00DA2174" w14:paraId="38F96A6A" w14:textId="77777777">
        <w:trPr>
          <w:trHeight w:hRule="exact" w:val="468"/>
          <w:jc w:val="center"/>
        </w:trPr>
        <w:tc>
          <w:tcPr>
            <w:tcW w:w="1477" w:type="dxa"/>
            <w:tcBorders>
              <w:bottom w:val="nil"/>
            </w:tcBorders>
            <w:vAlign w:val="bottom"/>
          </w:tcPr>
          <w:p w14:paraId="5F180508" w14:textId="77777777" w:rsidR="00DA2174" w:rsidRDefault="00000000">
            <w:pPr>
              <w:spacing w:line="360" w:lineRule="auto"/>
              <w:jc w:val="center"/>
              <w:rPr>
                <w:b/>
                <w:bCs/>
                <w:szCs w:val="21"/>
              </w:rPr>
            </w:pPr>
            <w:r>
              <w:rPr>
                <w:b/>
                <w:bCs/>
                <w:szCs w:val="21"/>
              </w:rPr>
              <w:t>起止日期：</w:t>
            </w:r>
          </w:p>
        </w:tc>
        <w:tc>
          <w:tcPr>
            <w:tcW w:w="768" w:type="dxa"/>
            <w:vAlign w:val="bottom"/>
          </w:tcPr>
          <w:p w14:paraId="3785FCEB" w14:textId="77777777" w:rsidR="00DA2174" w:rsidRDefault="00000000">
            <w:pPr>
              <w:spacing w:line="360" w:lineRule="auto"/>
              <w:jc w:val="center"/>
              <w:rPr>
                <w:b/>
                <w:bCs/>
                <w:szCs w:val="21"/>
              </w:rPr>
            </w:pPr>
            <w:r>
              <w:rPr>
                <w:rFonts w:hint="eastAsia"/>
                <w:b/>
                <w:bCs/>
                <w:szCs w:val="21"/>
              </w:rPr>
              <w:t>2025</w:t>
            </w:r>
          </w:p>
        </w:tc>
        <w:tc>
          <w:tcPr>
            <w:tcW w:w="574" w:type="dxa"/>
            <w:tcBorders>
              <w:bottom w:val="nil"/>
            </w:tcBorders>
            <w:vAlign w:val="bottom"/>
          </w:tcPr>
          <w:p w14:paraId="2A448443" w14:textId="77777777" w:rsidR="00DA2174" w:rsidRDefault="00000000">
            <w:pPr>
              <w:spacing w:line="360" w:lineRule="auto"/>
              <w:jc w:val="center"/>
              <w:rPr>
                <w:b/>
                <w:bCs/>
                <w:szCs w:val="21"/>
              </w:rPr>
            </w:pPr>
            <w:r>
              <w:rPr>
                <w:b/>
                <w:bCs/>
                <w:szCs w:val="21"/>
              </w:rPr>
              <w:t>年</w:t>
            </w:r>
          </w:p>
        </w:tc>
        <w:tc>
          <w:tcPr>
            <w:tcW w:w="574" w:type="dxa"/>
            <w:vAlign w:val="bottom"/>
          </w:tcPr>
          <w:p w14:paraId="2192BD5B" w14:textId="77777777" w:rsidR="00DA2174" w:rsidRDefault="00000000">
            <w:pPr>
              <w:spacing w:line="360" w:lineRule="auto"/>
              <w:jc w:val="center"/>
              <w:rPr>
                <w:b/>
                <w:bCs/>
                <w:szCs w:val="21"/>
              </w:rPr>
            </w:pPr>
            <w:r>
              <w:rPr>
                <w:rFonts w:hint="eastAsia"/>
                <w:b/>
                <w:bCs/>
                <w:szCs w:val="21"/>
              </w:rPr>
              <w:t>9</w:t>
            </w:r>
          </w:p>
        </w:tc>
        <w:tc>
          <w:tcPr>
            <w:tcW w:w="574" w:type="dxa"/>
            <w:tcBorders>
              <w:bottom w:val="nil"/>
            </w:tcBorders>
            <w:vAlign w:val="bottom"/>
          </w:tcPr>
          <w:p w14:paraId="15771CAF" w14:textId="77777777" w:rsidR="00DA2174" w:rsidRDefault="00000000">
            <w:pPr>
              <w:spacing w:line="360" w:lineRule="auto"/>
              <w:jc w:val="center"/>
              <w:rPr>
                <w:b/>
                <w:bCs/>
                <w:szCs w:val="21"/>
              </w:rPr>
            </w:pPr>
            <w:r>
              <w:rPr>
                <w:b/>
                <w:bCs/>
                <w:szCs w:val="21"/>
              </w:rPr>
              <w:t>月</w:t>
            </w:r>
          </w:p>
        </w:tc>
        <w:tc>
          <w:tcPr>
            <w:tcW w:w="574" w:type="dxa"/>
            <w:vAlign w:val="bottom"/>
          </w:tcPr>
          <w:p w14:paraId="15942A23" w14:textId="77777777" w:rsidR="00DA2174" w:rsidRDefault="00000000">
            <w:pPr>
              <w:spacing w:line="360" w:lineRule="auto"/>
              <w:jc w:val="center"/>
              <w:rPr>
                <w:b/>
                <w:bCs/>
                <w:szCs w:val="21"/>
              </w:rPr>
            </w:pPr>
            <w:r>
              <w:rPr>
                <w:rFonts w:hint="eastAsia"/>
                <w:b/>
                <w:bCs/>
                <w:szCs w:val="21"/>
              </w:rPr>
              <w:t>25</w:t>
            </w:r>
          </w:p>
        </w:tc>
        <w:tc>
          <w:tcPr>
            <w:tcW w:w="957" w:type="dxa"/>
            <w:tcBorders>
              <w:bottom w:val="nil"/>
            </w:tcBorders>
            <w:vAlign w:val="bottom"/>
          </w:tcPr>
          <w:p w14:paraId="70213BE8" w14:textId="77777777" w:rsidR="00DA2174" w:rsidRDefault="00000000">
            <w:pPr>
              <w:spacing w:line="360" w:lineRule="auto"/>
              <w:jc w:val="center"/>
              <w:rPr>
                <w:b/>
                <w:bCs/>
                <w:szCs w:val="21"/>
              </w:rPr>
            </w:pPr>
            <w:r>
              <w:rPr>
                <w:b/>
                <w:bCs/>
                <w:szCs w:val="21"/>
              </w:rPr>
              <w:t>日</w:t>
            </w:r>
            <w:r>
              <w:rPr>
                <w:b/>
                <w:bCs/>
                <w:szCs w:val="21"/>
              </w:rPr>
              <w:t xml:space="preserve"> </w:t>
            </w:r>
            <w:r>
              <w:rPr>
                <w:b/>
                <w:bCs/>
                <w:szCs w:val="21"/>
              </w:rPr>
              <w:t>至</w:t>
            </w:r>
          </w:p>
        </w:tc>
        <w:tc>
          <w:tcPr>
            <w:tcW w:w="766" w:type="dxa"/>
            <w:vAlign w:val="bottom"/>
          </w:tcPr>
          <w:p w14:paraId="46042027" w14:textId="77777777" w:rsidR="00DA2174" w:rsidRDefault="00000000">
            <w:pPr>
              <w:spacing w:line="360" w:lineRule="auto"/>
              <w:jc w:val="center"/>
              <w:rPr>
                <w:b/>
                <w:bCs/>
                <w:szCs w:val="21"/>
              </w:rPr>
            </w:pPr>
            <w:r>
              <w:rPr>
                <w:rFonts w:hint="eastAsia"/>
                <w:b/>
                <w:bCs/>
                <w:szCs w:val="21"/>
              </w:rPr>
              <w:t>2026</w:t>
            </w:r>
          </w:p>
        </w:tc>
        <w:tc>
          <w:tcPr>
            <w:tcW w:w="574" w:type="dxa"/>
            <w:tcBorders>
              <w:bottom w:val="nil"/>
            </w:tcBorders>
            <w:vAlign w:val="bottom"/>
          </w:tcPr>
          <w:p w14:paraId="27524F29" w14:textId="77777777" w:rsidR="00DA2174" w:rsidRDefault="00000000">
            <w:pPr>
              <w:spacing w:line="360" w:lineRule="auto"/>
              <w:jc w:val="center"/>
              <w:rPr>
                <w:b/>
                <w:bCs/>
                <w:szCs w:val="21"/>
              </w:rPr>
            </w:pPr>
            <w:r>
              <w:rPr>
                <w:b/>
                <w:bCs/>
                <w:szCs w:val="21"/>
              </w:rPr>
              <w:t>年</w:t>
            </w:r>
          </w:p>
        </w:tc>
        <w:tc>
          <w:tcPr>
            <w:tcW w:w="574" w:type="dxa"/>
            <w:vAlign w:val="bottom"/>
          </w:tcPr>
          <w:p w14:paraId="1BB3AD51" w14:textId="77777777" w:rsidR="00DA2174" w:rsidRDefault="00000000">
            <w:pPr>
              <w:spacing w:line="360" w:lineRule="auto"/>
              <w:jc w:val="center"/>
              <w:rPr>
                <w:b/>
                <w:bCs/>
                <w:szCs w:val="21"/>
              </w:rPr>
            </w:pPr>
            <w:r>
              <w:rPr>
                <w:rFonts w:hint="eastAsia"/>
                <w:b/>
                <w:bCs/>
                <w:szCs w:val="21"/>
              </w:rPr>
              <w:t>5</w:t>
            </w:r>
          </w:p>
        </w:tc>
        <w:tc>
          <w:tcPr>
            <w:tcW w:w="574" w:type="dxa"/>
            <w:tcBorders>
              <w:bottom w:val="nil"/>
            </w:tcBorders>
            <w:vAlign w:val="bottom"/>
          </w:tcPr>
          <w:p w14:paraId="570CB299" w14:textId="77777777" w:rsidR="00DA2174" w:rsidRDefault="00000000">
            <w:pPr>
              <w:spacing w:line="360" w:lineRule="auto"/>
              <w:jc w:val="center"/>
              <w:rPr>
                <w:b/>
                <w:bCs/>
                <w:szCs w:val="21"/>
              </w:rPr>
            </w:pPr>
            <w:r>
              <w:rPr>
                <w:b/>
                <w:bCs/>
                <w:szCs w:val="21"/>
              </w:rPr>
              <w:t>月</w:t>
            </w:r>
          </w:p>
        </w:tc>
        <w:tc>
          <w:tcPr>
            <w:tcW w:w="455" w:type="dxa"/>
            <w:vAlign w:val="bottom"/>
          </w:tcPr>
          <w:p w14:paraId="1D2C7DF0" w14:textId="77777777" w:rsidR="00DA2174" w:rsidRDefault="00000000">
            <w:pPr>
              <w:spacing w:line="360" w:lineRule="auto"/>
              <w:jc w:val="center"/>
              <w:rPr>
                <w:b/>
                <w:bCs/>
                <w:szCs w:val="21"/>
              </w:rPr>
            </w:pPr>
            <w:r>
              <w:rPr>
                <w:rFonts w:hint="eastAsia"/>
                <w:b/>
                <w:bCs/>
                <w:szCs w:val="21"/>
              </w:rPr>
              <w:t>25</w:t>
            </w:r>
          </w:p>
        </w:tc>
        <w:tc>
          <w:tcPr>
            <w:tcW w:w="502" w:type="dxa"/>
            <w:tcBorders>
              <w:bottom w:val="nil"/>
            </w:tcBorders>
            <w:vAlign w:val="bottom"/>
          </w:tcPr>
          <w:p w14:paraId="4EE8184F" w14:textId="77777777" w:rsidR="00DA2174" w:rsidRDefault="00000000">
            <w:pPr>
              <w:spacing w:line="360" w:lineRule="auto"/>
              <w:jc w:val="center"/>
              <w:rPr>
                <w:b/>
                <w:bCs/>
                <w:szCs w:val="21"/>
              </w:rPr>
            </w:pPr>
            <w:r>
              <w:rPr>
                <w:b/>
                <w:bCs/>
                <w:szCs w:val="21"/>
              </w:rPr>
              <w:t>日</w:t>
            </w:r>
          </w:p>
        </w:tc>
      </w:tr>
    </w:tbl>
    <w:p w14:paraId="53742492" w14:textId="77777777" w:rsidR="00DA2174" w:rsidRDefault="00DA2174">
      <w:pPr>
        <w:spacing w:beforeLines="25" w:before="78" w:line="312" w:lineRule="auto"/>
      </w:pPr>
    </w:p>
    <w:tbl>
      <w:tblPr>
        <w:tblW w:w="0" w:type="auto"/>
        <w:jc w:val="center"/>
        <w:tblLook w:val="04A0" w:firstRow="1" w:lastRow="0" w:firstColumn="1" w:lastColumn="0" w:noHBand="0" w:noVBand="1"/>
      </w:tblPr>
      <w:tblGrid>
        <w:gridCol w:w="723"/>
        <w:gridCol w:w="2675"/>
        <w:gridCol w:w="5646"/>
      </w:tblGrid>
      <w:tr w:rsidR="00DA2174" w14:paraId="40E9EB5D" w14:textId="77777777">
        <w:trPr>
          <w:trHeight w:val="360"/>
          <w:jc w:val="center"/>
        </w:trPr>
        <w:tc>
          <w:tcPr>
            <w:tcW w:w="9044" w:type="dxa"/>
            <w:gridSpan w:val="3"/>
            <w:tcBorders>
              <w:bottom w:val="single" w:sz="4" w:space="0" w:color="auto"/>
            </w:tcBorders>
            <w:vAlign w:val="center"/>
          </w:tcPr>
          <w:p w14:paraId="29ABDA7E" w14:textId="77777777" w:rsidR="00DA2174" w:rsidRDefault="00000000">
            <w:pPr>
              <w:spacing w:line="360" w:lineRule="auto"/>
              <w:rPr>
                <w:b/>
                <w:bCs/>
                <w:szCs w:val="21"/>
              </w:rPr>
            </w:pPr>
            <w:r>
              <w:rPr>
                <w:b/>
                <w:bCs/>
                <w:szCs w:val="21"/>
              </w:rPr>
              <w:t>进度安排：</w:t>
            </w:r>
          </w:p>
        </w:tc>
      </w:tr>
      <w:tr w:rsidR="00DA2174" w14:paraId="6ECF9D6C" w14:textId="77777777">
        <w:trPr>
          <w:trHeight w:val="360"/>
          <w:jc w:val="center"/>
        </w:trPr>
        <w:tc>
          <w:tcPr>
            <w:tcW w:w="9044" w:type="dxa"/>
            <w:gridSpan w:val="3"/>
            <w:tcBorders>
              <w:bottom w:val="single" w:sz="4" w:space="0" w:color="auto"/>
            </w:tcBorders>
            <w:vAlign w:val="center"/>
          </w:tcPr>
          <w:p w14:paraId="68F73596" w14:textId="77777777" w:rsidR="00DA2174" w:rsidRDefault="00DA2174">
            <w:pPr>
              <w:spacing w:line="360" w:lineRule="auto"/>
              <w:rPr>
                <w:b/>
                <w:bCs/>
                <w:szCs w:val="21"/>
              </w:rPr>
            </w:pPr>
          </w:p>
        </w:tc>
      </w:tr>
      <w:tr w:rsidR="00DA2174" w14:paraId="126A1BBA" w14:textId="77777777">
        <w:trPr>
          <w:trHeight w:val="337"/>
          <w:jc w:val="center"/>
        </w:trPr>
        <w:tc>
          <w:tcPr>
            <w:tcW w:w="723" w:type="dxa"/>
            <w:tcBorders>
              <w:top w:val="single" w:sz="4" w:space="0" w:color="auto"/>
              <w:bottom w:val="single" w:sz="4" w:space="0" w:color="auto"/>
            </w:tcBorders>
            <w:vAlign w:val="center"/>
          </w:tcPr>
          <w:p w14:paraId="2DD72196" w14:textId="77777777" w:rsidR="00DA2174" w:rsidRDefault="00000000">
            <w:pPr>
              <w:spacing w:line="360" w:lineRule="auto"/>
              <w:jc w:val="center"/>
              <w:rPr>
                <w:b/>
                <w:bCs/>
              </w:rPr>
            </w:pPr>
            <w:r>
              <w:rPr>
                <w:b/>
                <w:bCs/>
              </w:rPr>
              <w:t>序号</w:t>
            </w:r>
          </w:p>
        </w:tc>
        <w:tc>
          <w:tcPr>
            <w:tcW w:w="2675" w:type="dxa"/>
            <w:tcBorders>
              <w:top w:val="single" w:sz="4" w:space="0" w:color="auto"/>
              <w:bottom w:val="single" w:sz="4" w:space="0" w:color="auto"/>
            </w:tcBorders>
          </w:tcPr>
          <w:p w14:paraId="313039F4" w14:textId="77777777" w:rsidR="00DA2174" w:rsidRDefault="00000000">
            <w:pPr>
              <w:spacing w:line="360" w:lineRule="auto"/>
              <w:jc w:val="center"/>
              <w:rPr>
                <w:b/>
                <w:bCs/>
              </w:rPr>
            </w:pPr>
            <w:r>
              <w:rPr>
                <w:b/>
                <w:bCs/>
              </w:rPr>
              <w:t>时间</w:t>
            </w:r>
          </w:p>
        </w:tc>
        <w:tc>
          <w:tcPr>
            <w:tcW w:w="5646" w:type="dxa"/>
            <w:tcBorders>
              <w:top w:val="single" w:sz="4" w:space="0" w:color="auto"/>
              <w:bottom w:val="single" w:sz="4" w:space="0" w:color="auto"/>
            </w:tcBorders>
            <w:vAlign w:val="center"/>
          </w:tcPr>
          <w:p w14:paraId="222C23E7" w14:textId="77777777" w:rsidR="00DA2174" w:rsidRDefault="00000000">
            <w:pPr>
              <w:spacing w:line="360" w:lineRule="auto"/>
              <w:jc w:val="center"/>
              <w:rPr>
                <w:b/>
                <w:bCs/>
              </w:rPr>
            </w:pPr>
            <w:r>
              <w:rPr>
                <w:b/>
                <w:bCs/>
              </w:rPr>
              <w:t>内容</w:t>
            </w:r>
          </w:p>
        </w:tc>
      </w:tr>
      <w:tr w:rsidR="00DA2174" w14:paraId="377ED982" w14:textId="77777777">
        <w:trPr>
          <w:trHeight w:hRule="exact" w:val="779"/>
          <w:jc w:val="center"/>
        </w:trPr>
        <w:tc>
          <w:tcPr>
            <w:tcW w:w="723" w:type="dxa"/>
            <w:tcBorders>
              <w:top w:val="single" w:sz="4" w:space="0" w:color="auto"/>
            </w:tcBorders>
            <w:vAlign w:val="center"/>
          </w:tcPr>
          <w:p w14:paraId="0BB67B00" w14:textId="77777777" w:rsidR="00DA2174" w:rsidRDefault="00000000">
            <w:pPr>
              <w:adjustRightInd w:val="0"/>
              <w:snapToGrid w:val="0"/>
              <w:spacing w:line="312" w:lineRule="auto"/>
              <w:jc w:val="center"/>
              <w:rPr>
                <w:rFonts w:ascii="宋体" w:hAnsi="宋体"/>
                <w:bCs/>
              </w:rPr>
            </w:pPr>
            <w:r>
              <w:rPr>
                <w:rFonts w:ascii="宋体" w:hAnsi="宋体" w:hint="eastAsia"/>
                <w:bCs/>
              </w:rPr>
              <w:t>1</w:t>
            </w:r>
          </w:p>
        </w:tc>
        <w:tc>
          <w:tcPr>
            <w:tcW w:w="2675" w:type="dxa"/>
            <w:tcBorders>
              <w:top w:val="single" w:sz="4" w:space="0" w:color="auto"/>
            </w:tcBorders>
            <w:vAlign w:val="center"/>
          </w:tcPr>
          <w:p w14:paraId="72996CF7" w14:textId="77777777" w:rsidR="00DA2174" w:rsidRDefault="00000000">
            <w:pPr>
              <w:adjustRightInd w:val="0"/>
              <w:snapToGrid w:val="0"/>
              <w:spacing w:line="312" w:lineRule="auto"/>
              <w:jc w:val="center"/>
              <w:rPr>
                <w:rFonts w:ascii="宋体" w:hAnsi="宋体"/>
              </w:rPr>
            </w:pPr>
            <w:r>
              <w:rPr>
                <w:rFonts w:ascii="宋体" w:hAnsi="宋体" w:hint="eastAsia"/>
              </w:rPr>
              <w:t xml:space="preserve">  2025.09.25-2025.10.17</w:t>
            </w:r>
          </w:p>
        </w:tc>
        <w:tc>
          <w:tcPr>
            <w:tcW w:w="5646" w:type="dxa"/>
            <w:tcBorders>
              <w:top w:val="single" w:sz="4" w:space="0" w:color="auto"/>
            </w:tcBorders>
            <w:vAlign w:val="center"/>
          </w:tcPr>
          <w:p w14:paraId="02F621E4" w14:textId="77777777" w:rsidR="00DA2174" w:rsidRDefault="00000000">
            <w:pPr>
              <w:adjustRightInd w:val="0"/>
              <w:snapToGrid w:val="0"/>
              <w:spacing w:line="312" w:lineRule="auto"/>
              <w:jc w:val="center"/>
              <w:rPr>
                <w:rFonts w:ascii="宋体" w:hAnsi="宋体"/>
                <w:bCs/>
              </w:rPr>
            </w:pPr>
            <w:r>
              <w:rPr>
                <w:rFonts w:ascii="宋体" w:hAnsi="宋体" w:hint="eastAsia"/>
                <w:bCs/>
              </w:rPr>
              <w:t>确定选题</w:t>
            </w:r>
          </w:p>
        </w:tc>
      </w:tr>
      <w:tr w:rsidR="00DA2174" w14:paraId="793E86F4" w14:textId="77777777">
        <w:trPr>
          <w:trHeight w:hRule="exact" w:val="737"/>
          <w:jc w:val="center"/>
        </w:trPr>
        <w:tc>
          <w:tcPr>
            <w:tcW w:w="723" w:type="dxa"/>
            <w:vAlign w:val="center"/>
          </w:tcPr>
          <w:p w14:paraId="186B141E" w14:textId="77777777" w:rsidR="00DA2174" w:rsidRDefault="00000000">
            <w:pPr>
              <w:adjustRightInd w:val="0"/>
              <w:snapToGrid w:val="0"/>
              <w:spacing w:line="312" w:lineRule="auto"/>
              <w:jc w:val="center"/>
              <w:rPr>
                <w:rFonts w:ascii="宋体" w:hAnsi="宋体"/>
                <w:bCs/>
              </w:rPr>
            </w:pPr>
            <w:r>
              <w:rPr>
                <w:rFonts w:ascii="宋体" w:hAnsi="宋体" w:hint="eastAsia"/>
                <w:bCs/>
              </w:rPr>
              <w:t>2</w:t>
            </w:r>
          </w:p>
        </w:tc>
        <w:tc>
          <w:tcPr>
            <w:tcW w:w="2675" w:type="dxa"/>
            <w:vAlign w:val="center"/>
          </w:tcPr>
          <w:p w14:paraId="5EEF7CBE" w14:textId="77777777" w:rsidR="00DA2174" w:rsidRDefault="00000000">
            <w:pPr>
              <w:adjustRightInd w:val="0"/>
              <w:snapToGrid w:val="0"/>
              <w:spacing w:line="312" w:lineRule="auto"/>
              <w:jc w:val="center"/>
              <w:rPr>
                <w:rFonts w:ascii="宋体" w:hAnsi="宋体"/>
              </w:rPr>
            </w:pPr>
            <w:r>
              <w:rPr>
                <w:rFonts w:ascii="宋体" w:hAnsi="宋体" w:hint="eastAsia"/>
              </w:rPr>
              <w:t>2025.10.18-2025.12.19</w:t>
            </w:r>
          </w:p>
        </w:tc>
        <w:tc>
          <w:tcPr>
            <w:tcW w:w="5646" w:type="dxa"/>
            <w:vAlign w:val="center"/>
          </w:tcPr>
          <w:p w14:paraId="2491678E" w14:textId="77777777" w:rsidR="00DA2174" w:rsidRDefault="00000000">
            <w:pPr>
              <w:adjustRightInd w:val="0"/>
              <w:snapToGrid w:val="0"/>
              <w:spacing w:line="312" w:lineRule="auto"/>
              <w:jc w:val="center"/>
              <w:rPr>
                <w:rFonts w:ascii="宋体" w:hAnsi="宋体"/>
                <w:bCs/>
              </w:rPr>
            </w:pPr>
            <w:r>
              <w:rPr>
                <w:rFonts w:ascii="宋体" w:hAnsi="宋体" w:hint="eastAsia"/>
                <w:bCs/>
              </w:rPr>
              <w:t>上传外文翻译、文献综述、开题报告，同时完成作品设计框架、论文大纲。</w:t>
            </w:r>
          </w:p>
        </w:tc>
      </w:tr>
      <w:tr w:rsidR="00DA2174" w14:paraId="4D70AE83" w14:textId="77777777">
        <w:trPr>
          <w:trHeight w:hRule="exact" w:val="747"/>
          <w:jc w:val="center"/>
        </w:trPr>
        <w:tc>
          <w:tcPr>
            <w:tcW w:w="723" w:type="dxa"/>
            <w:vAlign w:val="center"/>
          </w:tcPr>
          <w:p w14:paraId="6ECC2CB5" w14:textId="77777777" w:rsidR="00DA2174" w:rsidRDefault="00000000">
            <w:pPr>
              <w:adjustRightInd w:val="0"/>
              <w:snapToGrid w:val="0"/>
              <w:spacing w:line="312" w:lineRule="auto"/>
              <w:jc w:val="center"/>
              <w:rPr>
                <w:rFonts w:ascii="宋体" w:hAnsi="宋体"/>
                <w:bCs/>
              </w:rPr>
            </w:pPr>
            <w:r>
              <w:rPr>
                <w:rFonts w:ascii="宋体" w:hAnsi="宋体" w:hint="eastAsia"/>
                <w:bCs/>
              </w:rPr>
              <w:t>3</w:t>
            </w:r>
          </w:p>
        </w:tc>
        <w:tc>
          <w:tcPr>
            <w:tcW w:w="2675" w:type="dxa"/>
            <w:vAlign w:val="center"/>
          </w:tcPr>
          <w:p w14:paraId="29DC1584" w14:textId="77777777" w:rsidR="00DA2174" w:rsidRDefault="00000000">
            <w:pPr>
              <w:adjustRightInd w:val="0"/>
              <w:snapToGrid w:val="0"/>
              <w:spacing w:line="312" w:lineRule="auto"/>
              <w:jc w:val="center"/>
              <w:rPr>
                <w:rFonts w:ascii="宋体" w:hAnsi="宋体"/>
                <w:bCs/>
              </w:rPr>
            </w:pPr>
            <w:r>
              <w:rPr>
                <w:rFonts w:ascii="宋体" w:hAnsi="宋体" w:hint="eastAsia"/>
                <w:bCs/>
              </w:rPr>
              <w:t>2025.12.20-2025.12.31</w:t>
            </w:r>
          </w:p>
        </w:tc>
        <w:tc>
          <w:tcPr>
            <w:tcW w:w="5646" w:type="dxa"/>
            <w:vAlign w:val="center"/>
          </w:tcPr>
          <w:p w14:paraId="7B3222DF" w14:textId="77777777" w:rsidR="00DA2174" w:rsidRDefault="00000000">
            <w:pPr>
              <w:adjustRightInd w:val="0"/>
              <w:snapToGrid w:val="0"/>
              <w:spacing w:line="312" w:lineRule="auto"/>
              <w:jc w:val="center"/>
              <w:rPr>
                <w:rFonts w:ascii="宋体" w:hAnsi="宋体"/>
                <w:bCs/>
              </w:rPr>
            </w:pPr>
            <w:r>
              <w:rPr>
                <w:rFonts w:ascii="宋体" w:hAnsi="宋体" w:hint="eastAsia"/>
                <w:bCs/>
              </w:rPr>
              <w:t>开题答辩</w:t>
            </w:r>
          </w:p>
        </w:tc>
      </w:tr>
      <w:tr w:rsidR="00DA2174" w14:paraId="4AC54889" w14:textId="77777777">
        <w:trPr>
          <w:trHeight w:hRule="exact" w:val="728"/>
          <w:jc w:val="center"/>
        </w:trPr>
        <w:tc>
          <w:tcPr>
            <w:tcW w:w="723" w:type="dxa"/>
            <w:vAlign w:val="center"/>
          </w:tcPr>
          <w:p w14:paraId="76E3A7D6" w14:textId="77777777" w:rsidR="00DA2174" w:rsidRDefault="00000000">
            <w:pPr>
              <w:adjustRightInd w:val="0"/>
              <w:snapToGrid w:val="0"/>
              <w:spacing w:line="312" w:lineRule="auto"/>
              <w:jc w:val="center"/>
              <w:rPr>
                <w:rFonts w:ascii="宋体" w:hAnsi="宋体"/>
                <w:bCs/>
              </w:rPr>
            </w:pPr>
            <w:r>
              <w:rPr>
                <w:rFonts w:ascii="宋体" w:hAnsi="宋体" w:hint="eastAsia"/>
                <w:bCs/>
              </w:rPr>
              <w:t>4</w:t>
            </w:r>
          </w:p>
        </w:tc>
        <w:tc>
          <w:tcPr>
            <w:tcW w:w="2675" w:type="dxa"/>
            <w:vAlign w:val="center"/>
          </w:tcPr>
          <w:p w14:paraId="16AAAB30" w14:textId="77777777" w:rsidR="00DA2174" w:rsidRDefault="00000000">
            <w:pPr>
              <w:adjustRightInd w:val="0"/>
              <w:snapToGrid w:val="0"/>
              <w:spacing w:line="312" w:lineRule="auto"/>
              <w:jc w:val="center"/>
              <w:rPr>
                <w:rFonts w:ascii="宋体" w:hAnsi="宋体"/>
                <w:bCs/>
              </w:rPr>
            </w:pPr>
            <w:r>
              <w:rPr>
                <w:rFonts w:ascii="宋体" w:hAnsi="宋体" w:hint="eastAsia"/>
                <w:bCs/>
              </w:rPr>
              <w:t>2026.3.10-2026.3.18</w:t>
            </w:r>
          </w:p>
        </w:tc>
        <w:tc>
          <w:tcPr>
            <w:tcW w:w="5646" w:type="dxa"/>
            <w:vAlign w:val="center"/>
          </w:tcPr>
          <w:p w14:paraId="2C762063" w14:textId="77777777" w:rsidR="00DA2174" w:rsidRDefault="00000000">
            <w:pPr>
              <w:adjustRightInd w:val="0"/>
              <w:snapToGrid w:val="0"/>
              <w:spacing w:line="312" w:lineRule="auto"/>
              <w:jc w:val="center"/>
              <w:rPr>
                <w:rFonts w:ascii="宋体" w:hAnsi="宋体"/>
                <w:bCs/>
              </w:rPr>
            </w:pPr>
            <w:r>
              <w:rPr>
                <w:rFonts w:ascii="宋体" w:hAnsi="宋体" w:hint="eastAsia"/>
                <w:bCs/>
              </w:rPr>
              <w:t>完成中期检查，在系统内填写中期检查表</w:t>
            </w:r>
          </w:p>
        </w:tc>
      </w:tr>
      <w:tr w:rsidR="00DA2174" w14:paraId="3C54BD29" w14:textId="77777777">
        <w:trPr>
          <w:trHeight w:hRule="exact" w:val="728"/>
          <w:jc w:val="center"/>
        </w:trPr>
        <w:tc>
          <w:tcPr>
            <w:tcW w:w="723" w:type="dxa"/>
            <w:vAlign w:val="center"/>
          </w:tcPr>
          <w:p w14:paraId="0D7C900E" w14:textId="77777777" w:rsidR="00DA2174" w:rsidRDefault="00000000">
            <w:pPr>
              <w:adjustRightInd w:val="0"/>
              <w:snapToGrid w:val="0"/>
              <w:spacing w:line="312" w:lineRule="auto"/>
              <w:jc w:val="center"/>
              <w:rPr>
                <w:rFonts w:ascii="宋体" w:hAnsi="宋体"/>
                <w:bCs/>
              </w:rPr>
            </w:pPr>
            <w:r>
              <w:rPr>
                <w:rFonts w:ascii="宋体" w:hAnsi="宋体" w:hint="eastAsia"/>
                <w:bCs/>
              </w:rPr>
              <w:t>5</w:t>
            </w:r>
          </w:p>
        </w:tc>
        <w:tc>
          <w:tcPr>
            <w:tcW w:w="2675" w:type="dxa"/>
            <w:vAlign w:val="center"/>
          </w:tcPr>
          <w:p w14:paraId="7EAF2C38" w14:textId="77777777" w:rsidR="00DA2174" w:rsidRDefault="00000000">
            <w:pPr>
              <w:adjustRightInd w:val="0"/>
              <w:snapToGrid w:val="0"/>
              <w:spacing w:line="312" w:lineRule="auto"/>
              <w:jc w:val="center"/>
              <w:rPr>
                <w:rFonts w:ascii="宋体" w:hAnsi="宋体"/>
                <w:bCs/>
              </w:rPr>
            </w:pPr>
            <w:r>
              <w:rPr>
                <w:rFonts w:ascii="宋体" w:hAnsi="宋体" w:hint="eastAsia"/>
                <w:bCs/>
              </w:rPr>
              <w:t>2026.3.19-2026.4.10</w:t>
            </w:r>
          </w:p>
        </w:tc>
        <w:tc>
          <w:tcPr>
            <w:tcW w:w="5646" w:type="dxa"/>
            <w:vAlign w:val="center"/>
          </w:tcPr>
          <w:p w14:paraId="214056F5" w14:textId="77777777" w:rsidR="00DA2174" w:rsidRDefault="00000000">
            <w:pPr>
              <w:adjustRightInd w:val="0"/>
              <w:snapToGrid w:val="0"/>
              <w:spacing w:line="312" w:lineRule="auto"/>
              <w:jc w:val="center"/>
              <w:rPr>
                <w:rFonts w:ascii="宋体" w:hAnsi="宋体"/>
                <w:bCs/>
              </w:rPr>
            </w:pPr>
            <w:r>
              <w:rPr>
                <w:rFonts w:ascii="宋体" w:hAnsi="宋体" w:hint="eastAsia"/>
                <w:bCs/>
              </w:rPr>
              <w:t>上传所有论文材料</w:t>
            </w:r>
          </w:p>
        </w:tc>
      </w:tr>
      <w:tr w:rsidR="00DA2174" w14:paraId="6B8389F5" w14:textId="77777777">
        <w:trPr>
          <w:trHeight w:hRule="exact" w:val="642"/>
          <w:jc w:val="center"/>
        </w:trPr>
        <w:tc>
          <w:tcPr>
            <w:tcW w:w="723" w:type="dxa"/>
            <w:vAlign w:val="center"/>
          </w:tcPr>
          <w:p w14:paraId="19E9A4AA" w14:textId="77777777" w:rsidR="00DA2174" w:rsidRDefault="00000000">
            <w:pPr>
              <w:adjustRightInd w:val="0"/>
              <w:snapToGrid w:val="0"/>
              <w:spacing w:line="312" w:lineRule="auto"/>
              <w:jc w:val="center"/>
              <w:rPr>
                <w:rFonts w:ascii="宋体" w:hAnsi="宋体"/>
                <w:bCs/>
              </w:rPr>
            </w:pPr>
            <w:r>
              <w:rPr>
                <w:rFonts w:ascii="宋体" w:hAnsi="宋体" w:hint="eastAsia"/>
                <w:bCs/>
              </w:rPr>
              <w:t>6</w:t>
            </w:r>
          </w:p>
        </w:tc>
        <w:tc>
          <w:tcPr>
            <w:tcW w:w="2675" w:type="dxa"/>
            <w:vAlign w:val="center"/>
          </w:tcPr>
          <w:p w14:paraId="335ECE46" w14:textId="77777777" w:rsidR="00DA2174" w:rsidRDefault="00000000">
            <w:pPr>
              <w:adjustRightInd w:val="0"/>
              <w:snapToGrid w:val="0"/>
              <w:spacing w:line="312" w:lineRule="auto"/>
              <w:jc w:val="center"/>
              <w:rPr>
                <w:rFonts w:ascii="宋体" w:hAnsi="宋体"/>
                <w:bCs/>
              </w:rPr>
            </w:pPr>
            <w:r>
              <w:rPr>
                <w:rFonts w:ascii="宋体" w:hAnsi="宋体" w:hint="eastAsia"/>
                <w:bCs/>
              </w:rPr>
              <w:t>2026.4.11-2026.4.21</w:t>
            </w:r>
          </w:p>
        </w:tc>
        <w:tc>
          <w:tcPr>
            <w:tcW w:w="5646" w:type="dxa"/>
            <w:vAlign w:val="center"/>
          </w:tcPr>
          <w:p w14:paraId="571C15F7" w14:textId="77777777" w:rsidR="00DA2174" w:rsidRDefault="00000000">
            <w:pPr>
              <w:adjustRightInd w:val="0"/>
              <w:snapToGrid w:val="0"/>
              <w:spacing w:line="312" w:lineRule="auto"/>
              <w:jc w:val="center"/>
              <w:rPr>
                <w:rFonts w:ascii="宋体" w:hAnsi="宋体"/>
                <w:bCs/>
              </w:rPr>
            </w:pPr>
            <w:r>
              <w:rPr>
                <w:rFonts w:ascii="宋体" w:hAnsi="宋体" w:hint="eastAsia"/>
                <w:bCs/>
              </w:rPr>
              <w:t>完成指导老师评审、评阅、学院复审</w:t>
            </w:r>
          </w:p>
        </w:tc>
      </w:tr>
      <w:tr w:rsidR="00DA2174" w14:paraId="65E815C3" w14:textId="77777777">
        <w:trPr>
          <w:trHeight w:hRule="exact" w:val="747"/>
          <w:jc w:val="center"/>
        </w:trPr>
        <w:tc>
          <w:tcPr>
            <w:tcW w:w="723" w:type="dxa"/>
            <w:vAlign w:val="center"/>
          </w:tcPr>
          <w:p w14:paraId="3050650E" w14:textId="77777777" w:rsidR="00DA2174" w:rsidRDefault="00000000">
            <w:pPr>
              <w:adjustRightInd w:val="0"/>
              <w:snapToGrid w:val="0"/>
              <w:spacing w:line="312" w:lineRule="auto"/>
              <w:jc w:val="center"/>
              <w:rPr>
                <w:rFonts w:ascii="宋体" w:hAnsi="宋体"/>
                <w:bCs/>
              </w:rPr>
            </w:pPr>
            <w:r>
              <w:rPr>
                <w:rFonts w:ascii="宋体" w:hAnsi="宋体" w:hint="eastAsia"/>
                <w:bCs/>
              </w:rPr>
              <w:t>7</w:t>
            </w:r>
          </w:p>
        </w:tc>
        <w:tc>
          <w:tcPr>
            <w:tcW w:w="2675" w:type="dxa"/>
            <w:vAlign w:val="center"/>
          </w:tcPr>
          <w:p w14:paraId="1741970A" w14:textId="77777777" w:rsidR="00DA2174" w:rsidRDefault="00000000">
            <w:pPr>
              <w:adjustRightInd w:val="0"/>
              <w:snapToGrid w:val="0"/>
              <w:spacing w:line="312" w:lineRule="auto"/>
              <w:jc w:val="center"/>
              <w:rPr>
                <w:rFonts w:ascii="宋体" w:hAnsi="宋体"/>
                <w:bCs/>
              </w:rPr>
            </w:pPr>
            <w:r>
              <w:rPr>
                <w:rFonts w:ascii="宋体" w:hAnsi="宋体" w:hint="eastAsia"/>
                <w:bCs/>
              </w:rPr>
              <w:t>2026.4.22</w:t>
            </w:r>
          </w:p>
        </w:tc>
        <w:tc>
          <w:tcPr>
            <w:tcW w:w="5646" w:type="dxa"/>
            <w:vAlign w:val="center"/>
          </w:tcPr>
          <w:p w14:paraId="4A4C2303" w14:textId="77777777" w:rsidR="00DA2174" w:rsidRDefault="00000000">
            <w:pPr>
              <w:adjustRightInd w:val="0"/>
              <w:snapToGrid w:val="0"/>
              <w:spacing w:line="312" w:lineRule="auto"/>
              <w:jc w:val="center"/>
              <w:rPr>
                <w:rFonts w:ascii="宋体" w:hAnsi="宋体"/>
                <w:bCs/>
              </w:rPr>
            </w:pPr>
            <w:r>
              <w:rPr>
                <w:rFonts w:hint="eastAsia"/>
                <w:bCs/>
              </w:rPr>
              <w:t>第一次论文答辩</w:t>
            </w:r>
          </w:p>
        </w:tc>
      </w:tr>
      <w:tr w:rsidR="00DA2174" w14:paraId="1A9C7FD3" w14:textId="77777777">
        <w:trPr>
          <w:trHeight w:hRule="exact" w:val="737"/>
          <w:jc w:val="center"/>
        </w:trPr>
        <w:tc>
          <w:tcPr>
            <w:tcW w:w="723" w:type="dxa"/>
            <w:vAlign w:val="center"/>
          </w:tcPr>
          <w:p w14:paraId="1397B45B" w14:textId="77777777" w:rsidR="00DA2174" w:rsidRDefault="00000000">
            <w:pPr>
              <w:adjustRightInd w:val="0"/>
              <w:snapToGrid w:val="0"/>
              <w:spacing w:line="312" w:lineRule="auto"/>
              <w:jc w:val="center"/>
              <w:rPr>
                <w:rFonts w:ascii="宋体" w:hAnsi="宋体"/>
                <w:bCs/>
              </w:rPr>
            </w:pPr>
            <w:r>
              <w:rPr>
                <w:rFonts w:ascii="宋体" w:hAnsi="宋体" w:hint="eastAsia"/>
                <w:bCs/>
              </w:rPr>
              <w:t>8</w:t>
            </w:r>
          </w:p>
        </w:tc>
        <w:tc>
          <w:tcPr>
            <w:tcW w:w="2675" w:type="dxa"/>
            <w:vAlign w:val="center"/>
          </w:tcPr>
          <w:p w14:paraId="3DEECAB8" w14:textId="77777777" w:rsidR="00DA2174" w:rsidRDefault="00000000">
            <w:pPr>
              <w:adjustRightInd w:val="0"/>
              <w:snapToGrid w:val="0"/>
              <w:spacing w:line="312" w:lineRule="auto"/>
              <w:jc w:val="center"/>
              <w:rPr>
                <w:rFonts w:ascii="宋体" w:hAnsi="宋体"/>
                <w:bCs/>
              </w:rPr>
            </w:pPr>
            <w:r>
              <w:rPr>
                <w:rFonts w:ascii="宋体" w:hAnsi="宋体" w:hint="eastAsia"/>
                <w:bCs/>
              </w:rPr>
              <w:t>2026.5.25</w:t>
            </w:r>
          </w:p>
        </w:tc>
        <w:tc>
          <w:tcPr>
            <w:tcW w:w="5646" w:type="dxa"/>
            <w:vAlign w:val="center"/>
          </w:tcPr>
          <w:p w14:paraId="0CE3CF83" w14:textId="77777777" w:rsidR="00DA2174" w:rsidRDefault="00000000">
            <w:pPr>
              <w:adjustRightInd w:val="0"/>
              <w:snapToGrid w:val="0"/>
              <w:spacing w:line="312" w:lineRule="auto"/>
              <w:jc w:val="center"/>
              <w:rPr>
                <w:bCs/>
              </w:rPr>
            </w:pPr>
            <w:r>
              <w:rPr>
                <w:rFonts w:hint="eastAsia"/>
                <w:bCs/>
              </w:rPr>
              <w:t>上交所有论文材料</w:t>
            </w:r>
          </w:p>
        </w:tc>
      </w:tr>
      <w:tr w:rsidR="00DA2174" w14:paraId="1E61BC74" w14:textId="77777777">
        <w:trPr>
          <w:trHeight w:hRule="exact" w:val="641"/>
          <w:jc w:val="center"/>
        </w:trPr>
        <w:tc>
          <w:tcPr>
            <w:tcW w:w="723" w:type="dxa"/>
            <w:tcBorders>
              <w:bottom w:val="single" w:sz="4" w:space="0" w:color="auto"/>
            </w:tcBorders>
            <w:vAlign w:val="center"/>
          </w:tcPr>
          <w:p w14:paraId="00E09414" w14:textId="77777777" w:rsidR="00DA2174" w:rsidRDefault="00DA2174">
            <w:pPr>
              <w:adjustRightInd w:val="0"/>
              <w:snapToGrid w:val="0"/>
              <w:spacing w:line="312" w:lineRule="auto"/>
              <w:rPr>
                <w:rFonts w:ascii="宋体" w:hAnsi="宋体"/>
                <w:bCs/>
              </w:rPr>
            </w:pPr>
          </w:p>
        </w:tc>
        <w:tc>
          <w:tcPr>
            <w:tcW w:w="2675" w:type="dxa"/>
            <w:tcBorders>
              <w:bottom w:val="single" w:sz="4" w:space="0" w:color="auto"/>
            </w:tcBorders>
            <w:vAlign w:val="center"/>
          </w:tcPr>
          <w:p w14:paraId="429D6F40" w14:textId="77777777" w:rsidR="00DA2174" w:rsidRDefault="00DA2174">
            <w:pPr>
              <w:adjustRightInd w:val="0"/>
              <w:snapToGrid w:val="0"/>
              <w:spacing w:line="312" w:lineRule="auto"/>
              <w:jc w:val="center"/>
              <w:rPr>
                <w:rFonts w:ascii="宋体" w:hAnsi="宋体"/>
                <w:bCs/>
              </w:rPr>
            </w:pPr>
          </w:p>
        </w:tc>
        <w:tc>
          <w:tcPr>
            <w:tcW w:w="5646" w:type="dxa"/>
            <w:tcBorders>
              <w:bottom w:val="single" w:sz="4" w:space="0" w:color="auto"/>
            </w:tcBorders>
            <w:vAlign w:val="center"/>
          </w:tcPr>
          <w:p w14:paraId="2CC1B5A1" w14:textId="77777777" w:rsidR="00DA2174" w:rsidRDefault="00DA2174">
            <w:pPr>
              <w:adjustRightInd w:val="0"/>
              <w:snapToGrid w:val="0"/>
              <w:spacing w:line="312" w:lineRule="auto"/>
              <w:jc w:val="center"/>
              <w:rPr>
                <w:bCs/>
              </w:rPr>
            </w:pPr>
          </w:p>
        </w:tc>
      </w:tr>
    </w:tbl>
    <w:p w14:paraId="26877540" w14:textId="77777777" w:rsidR="00DA2174" w:rsidRDefault="00DA2174">
      <w:pPr>
        <w:spacing w:beforeLines="25" w:before="78" w:line="312" w:lineRule="auto"/>
      </w:pPr>
    </w:p>
    <w:p w14:paraId="35A9DA30" w14:textId="77777777" w:rsidR="00DA2174" w:rsidRDefault="00000000">
      <w:pPr>
        <w:rPr>
          <w:rFonts w:eastAsia="黑体"/>
          <w:sz w:val="28"/>
        </w:rPr>
      </w:pPr>
      <w:r>
        <w:rPr>
          <w:rFonts w:eastAsia="黑体"/>
          <w:sz w:val="28"/>
        </w:rPr>
        <w:br w:type="page"/>
      </w:r>
      <w:r>
        <w:rPr>
          <w:rFonts w:eastAsia="黑体"/>
          <w:sz w:val="28"/>
        </w:rPr>
        <w:lastRenderedPageBreak/>
        <w:t>六、研究的预期目标及主要特点、创新点</w:t>
      </w:r>
    </w:p>
    <w:p w14:paraId="50243748" w14:textId="77777777" w:rsidR="00DA2174" w:rsidRDefault="00000000">
      <w:pPr>
        <w:spacing w:beforeLines="25" w:before="78" w:line="312" w:lineRule="auto"/>
        <w:ind w:firstLine="435"/>
      </w:pPr>
      <w:r>
        <w:rPr>
          <w:b/>
        </w:rPr>
        <w:t>预期目标</w:t>
      </w:r>
      <w:r>
        <w:t>：</w:t>
      </w:r>
    </w:p>
    <w:p w14:paraId="1869A8D0" w14:textId="77777777" w:rsidR="00DA2174" w:rsidRDefault="00000000">
      <w:pPr>
        <w:spacing w:beforeLines="25" w:before="78" w:line="312" w:lineRule="auto"/>
        <w:ind w:firstLine="435"/>
      </w:pPr>
      <w:r>
        <w:rPr>
          <w:rFonts w:hint="eastAsia"/>
        </w:rPr>
        <w:t xml:space="preserve">1. </w:t>
      </w:r>
      <w:r>
        <w:rPr>
          <w:rFonts w:hint="eastAsia"/>
        </w:rPr>
        <w:t>通过构建多元线性回归模型进行实证分析，判断财政补贴强度与上市公司高管超额薪酬之间的关联机制。</w:t>
      </w:r>
    </w:p>
    <w:p w14:paraId="287DFD5E" w14:textId="77777777" w:rsidR="00DA2174" w:rsidRDefault="00000000">
      <w:pPr>
        <w:spacing w:beforeLines="25" w:before="78" w:line="312" w:lineRule="auto"/>
        <w:ind w:firstLine="435"/>
      </w:pPr>
      <w:r>
        <w:rPr>
          <w:rFonts w:hint="eastAsia"/>
        </w:rPr>
        <w:t>2.</w:t>
      </w:r>
      <w:r>
        <w:rPr>
          <w:rFonts w:hint="eastAsia"/>
        </w:rPr>
        <w:t>分析公司管理层权力等因素可能存在的中介作用，进一步揭示财政补贴通过哪些具体路径影响高管超额薪酬。</w:t>
      </w:r>
    </w:p>
    <w:p w14:paraId="046DD5C5" w14:textId="77777777" w:rsidR="00DA2174" w:rsidRDefault="00000000">
      <w:pPr>
        <w:spacing w:beforeLines="25" w:before="78" w:line="312" w:lineRule="auto"/>
        <w:ind w:firstLine="435"/>
      </w:pPr>
      <w:r>
        <w:rPr>
          <w:rFonts w:hint="eastAsia"/>
        </w:rPr>
        <w:t xml:space="preserve">3. </w:t>
      </w:r>
      <w:r>
        <w:rPr>
          <w:rFonts w:hint="eastAsia"/>
        </w:rPr>
        <w:t>利用财政补贴数据、财务指标、上市公司年报等多源信息</w:t>
      </w:r>
      <w:r>
        <w:rPr>
          <w:rFonts w:hint="eastAsia"/>
        </w:rPr>
        <w:t>,</w:t>
      </w:r>
      <w:r>
        <w:rPr>
          <w:rFonts w:hint="eastAsia"/>
        </w:rPr>
        <w:t>尝试选用适当的机器学习方法</w:t>
      </w:r>
      <w:r>
        <w:rPr>
          <w:rFonts w:hint="eastAsia"/>
        </w:rPr>
        <w:t>,</w:t>
      </w:r>
      <w:r>
        <w:rPr>
          <w:rFonts w:hint="eastAsia"/>
        </w:rPr>
        <w:t>对财政补贴强度与上市公司高管超额薪酬之间的关联机制进行分析，并将其结果与多元线性回归模型进行对比分析。</w:t>
      </w:r>
    </w:p>
    <w:p w14:paraId="04AE9926" w14:textId="77777777" w:rsidR="00DA2174" w:rsidRDefault="00000000">
      <w:pPr>
        <w:spacing w:beforeLines="25" w:before="78" w:line="312" w:lineRule="auto"/>
        <w:ind w:firstLine="435"/>
      </w:pPr>
      <w:r>
        <w:rPr>
          <w:b/>
        </w:rPr>
        <w:t>特点及创新点</w:t>
      </w:r>
      <w:r>
        <w:t>：</w:t>
      </w:r>
    </w:p>
    <w:p w14:paraId="3935EB38" w14:textId="77777777" w:rsidR="00DA2174" w:rsidRDefault="00000000">
      <w:pPr>
        <w:spacing w:beforeLines="25" w:before="78" w:line="312" w:lineRule="auto"/>
        <w:ind w:firstLine="435"/>
      </w:pPr>
      <w:r>
        <w:rPr>
          <w:rFonts w:hint="eastAsia"/>
        </w:rPr>
        <w:t>1.</w:t>
      </w:r>
      <w:r>
        <w:rPr>
          <w:rFonts w:hint="eastAsia"/>
        </w:rPr>
        <w:t>在财政补贴与上市公司高管超额薪酬关联分析中引入管理层权力这一中介变量，分析财政补贴对高管超额薪酬影响的具体路径。</w:t>
      </w:r>
    </w:p>
    <w:p w14:paraId="648DA7D2" w14:textId="77777777" w:rsidR="00DA2174" w:rsidRDefault="00000000">
      <w:pPr>
        <w:spacing w:beforeLines="25" w:before="78" w:line="312" w:lineRule="auto"/>
        <w:ind w:firstLine="435"/>
      </w:pPr>
      <w:r>
        <w:rPr>
          <w:rFonts w:hint="eastAsia"/>
        </w:rPr>
        <w:t xml:space="preserve">2. </w:t>
      </w:r>
      <w:r>
        <w:rPr>
          <w:rFonts w:hint="eastAsia"/>
        </w:rPr>
        <w:t>利用企业规模、业绩、资产结构、区域及行业特征等因素构建期望薪酬回归模型，以高管前三名薪酬总和的对数与回归得出的期望薪酬对数的差额作为高管超额薪酬的度量指标，有别于传统经典高管薪酬决定模型。</w:t>
      </w:r>
    </w:p>
    <w:sectPr w:rsidR="00DA2174">
      <w:footerReference w:type="default" r:id="rId17"/>
      <w:pgSz w:w="11906" w:h="16838"/>
      <w:pgMar w:top="1134" w:right="1134" w:bottom="1134" w:left="1701" w:header="624"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941F8" w14:textId="77777777" w:rsidR="008A6196" w:rsidRDefault="008A6196">
      <w:r>
        <w:separator/>
      </w:r>
    </w:p>
  </w:endnote>
  <w:endnote w:type="continuationSeparator" w:id="0">
    <w:p w14:paraId="14A7EACB" w14:textId="77777777" w:rsidR="008A6196" w:rsidRDefault="008A6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仿宋">
    <w:altName w:val="汉仪仿宋KW"/>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7089" w14:textId="77777777" w:rsidR="0048659B" w:rsidRDefault="0048659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C5FF" w14:textId="77777777" w:rsidR="0048659B" w:rsidRDefault="0048659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0C18" w14:textId="77777777" w:rsidR="0048659B" w:rsidRDefault="0048659B">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FB38D" w14:textId="77777777" w:rsidR="00DA2174" w:rsidRDefault="00DA2174">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52DA" w14:textId="2EE24B33" w:rsidR="00DA2174" w:rsidRDefault="00000000">
    <w:pPr>
      <w:pStyle w:val="a6"/>
      <w:jc w:val="center"/>
      <w:rPr>
        <w:lang w:val="zh-CN"/>
      </w:rPr>
    </w:pPr>
    <w:r>
      <w:rPr>
        <w:rFonts w:hint="eastAsia"/>
        <w:lang w:val="zh-CN"/>
      </w:rPr>
      <w:t>第</w:t>
    </w:r>
    <w:r>
      <w:rPr>
        <w:lang w:val="zh-CN"/>
      </w:rPr>
      <w:fldChar w:fldCharType="begin"/>
    </w:r>
    <w:r>
      <w:rPr>
        <w:lang w:val="zh-CN"/>
      </w:rPr>
      <w:instrText>PAGE</w:instrText>
    </w:r>
    <w:r>
      <w:rPr>
        <w:lang w:val="zh-CN"/>
      </w:rPr>
      <w:fldChar w:fldCharType="separate"/>
    </w:r>
    <w:r>
      <w:rPr>
        <w:lang w:val="zh-CN"/>
      </w:rPr>
      <w:t>6</w:t>
    </w:r>
    <w:r>
      <w:rPr>
        <w:lang w:val="zh-CN"/>
      </w:rPr>
      <w:fldChar w:fldCharType="end"/>
    </w:r>
    <w:r>
      <w:rPr>
        <w:rFonts w:hint="eastAsia"/>
        <w:lang w:val="zh-CN"/>
      </w:rPr>
      <w:t>页</w:t>
    </w:r>
    <w:r>
      <w:rPr>
        <w:rFonts w:hint="eastAsia"/>
        <w:lang w:val="zh-CN"/>
      </w:rPr>
      <w:t xml:space="preserve"> </w:t>
    </w:r>
    <w:r>
      <w:rPr>
        <w:lang w:val="zh-CN"/>
      </w:rPr>
      <w:t xml:space="preserve"> </w:t>
    </w:r>
    <w:r>
      <w:rPr>
        <w:rFonts w:hint="eastAsia"/>
        <w:lang w:val="zh-CN"/>
      </w:rPr>
      <w:t>共</w:t>
    </w:r>
    <w:r>
      <w:rPr>
        <w:rFonts w:hint="eastAsia"/>
        <w:lang w:val="zh-CN"/>
      </w:rPr>
      <w:t>1</w:t>
    </w:r>
    <w:r w:rsidR="0048659B">
      <w:rPr>
        <w:rFonts w:hint="eastAsia"/>
        <w:lang w:val="zh-CN"/>
      </w:rPr>
      <w:t>3</w:t>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07F6" w14:textId="77777777" w:rsidR="008A6196" w:rsidRDefault="008A6196">
      <w:r>
        <w:separator/>
      </w:r>
    </w:p>
  </w:footnote>
  <w:footnote w:type="continuationSeparator" w:id="0">
    <w:p w14:paraId="1A1079C1" w14:textId="77777777" w:rsidR="008A6196" w:rsidRDefault="008A6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5BFD" w14:textId="77777777" w:rsidR="0048659B" w:rsidRDefault="0048659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4EA6" w14:textId="77777777" w:rsidR="00DA2174" w:rsidRDefault="00DA2174">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DB63" w14:textId="77777777" w:rsidR="0048659B" w:rsidRDefault="0048659B">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D932" w14:textId="77777777" w:rsidR="00DA2174" w:rsidRDefault="00000000">
    <w:pPr>
      <w:pStyle w:val="a8"/>
      <w:ind w:leftChars="-1" w:left="-2" w:firstLineChars="1" w:firstLine="2"/>
    </w:pPr>
    <w:r>
      <w:rPr>
        <w:rFonts w:hint="eastAsia"/>
      </w:rPr>
      <w:t>本科生毕业设计（论文</w:t>
    </w:r>
    <w:r>
      <w:t>）</w:t>
    </w:r>
    <w:r>
      <w:t xml:space="preserve"> </w:t>
    </w:r>
    <w:r>
      <w:rPr>
        <w:rFonts w:hint="eastAsia"/>
      </w:rPr>
      <w:t xml:space="preserve">  </w:t>
    </w:r>
    <w:r>
      <w:t xml:space="preserve">                                                                   </w:t>
    </w:r>
    <w:r>
      <w:rPr>
        <w:rFonts w:hint="eastAsia"/>
      </w:rPr>
      <w:t>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6AB"/>
    <w:multiLevelType w:val="multilevel"/>
    <w:tmpl w:val="07A326AB"/>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11158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60007"/>
    <w:rsid w:val="00070446"/>
    <w:rsid w:val="00077E55"/>
    <w:rsid w:val="00094E8D"/>
    <w:rsid w:val="000C0EA9"/>
    <w:rsid w:val="00146E5B"/>
    <w:rsid w:val="0014773C"/>
    <w:rsid w:val="00152058"/>
    <w:rsid w:val="00156822"/>
    <w:rsid w:val="001618D2"/>
    <w:rsid w:val="00191A94"/>
    <w:rsid w:val="001A6C81"/>
    <w:rsid w:val="001C7554"/>
    <w:rsid w:val="001D3DA3"/>
    <w:rsid w:val="001D4582"/>
    <w:rsid w:val="001E0B91"/>
    <w:rsid w:val="001E19B8"/>
    <w:rsid w:val="002463FE"/>
    <w:rsid w:val="00261A2C"/>
    <w:rsid w:val="00264305"/>
    <w:rsid w:val="0027549E"/>
    <w:rsid w:val="00275FD9"/>
    <w:rsid w:val="00285F75"/>
    <w:rsid w:val="00287C37"/>
    <w:rsid w:val="002B1F9A"/>
    <w:rsid w:val="002D0201"/>
    <w:rsid w:val="00311A7B"/>
    <w:rsid w:val="00314A09"/>
    <w:rsid w:val="00315937"/>
    <w:rsid w:val="0031756E"/>
    <w:rsid w:val="003304B7"/>
    <w:rsid w:val="00340BE8"/>
    <w:rsid w:val="003A0442"/>
    <w:rsid w:val="003A6A4D"/>
    <w:rsid w:val="003B4591"/>
    <w:rsid w:val="003B5473"/>
    <w:rsid w:val="003C2FBC"/>
    <w:rsid w:val="003D0CE9"/>
    <w:rsid w:val="004008E6"/>
    <w:rsid w:val="004033F2"/>
    <w:rsid w:val="0042181D"/>
    <w:rsid w:val="00440E19"/>
    <w:rsid w:val="00463E52"/>
    <w:rsid w:val="00477275"/>
    <w:rsid w:val="0048659B"/>
    <w:rsid w:val="0049028A"/>
    <w:rsid w:val="004962D8"/>
    <w:rsid w:val="004A32EE"/>
    <w:rsid w:val="00502BBB"/>
    <w:rsid w:val="00505A1D"/>
    <w:rsid w:val="00506A7E"/>
    <w:rsid w:val="005070C9"/>
    <w:rsid w:val="005232D3"/>
    <w:rsid w:val="005236DA"/>
    <w:rsid w:val="00527776"/>
    <w:rsid w:val="005415EA"/>
    <w:rsid w:val="0054461B"/>
    <w:rsid w:val="00544C2B"/>
    <w:rsid w:val="00547F28"/>
    <w:rsid w:val="00576515"/>
    <w:rsid w:val="005B520E"/>
    <w:rsid w:val="005E4781"/>
    <w:rsid w:val="005F008C"/>
    <w:rsid w:val="006006F0"/>
    <w:rsid w:val="00600F6A"/>
    <w:rsid w:val="0061393A"/>
    <w:rsid w:val="00620AAB"/>
    <w:rsid w:val="00627CAF"/>
    <w:rsid w:val="00635C38"/>
    <w:rsid w:val="00642E7A"/>
    <w:rsid w:val="006654D9"/>
    <w:rsid w:val="00666718"/>
    <w:rsid w:val="0068237C"/>
    <w:rsid w:val="00685868"/>
    <w:rsid w:val="00692707"/>
    <w:rsid w:val="006B2C13"/>
    <w:rsid w:val="006B6D1C"/>
    <w:rsid w:val="006D432F"/>
    <w:rsid w:val="006E0E53"/>
    <w:rsid w:val="006E42C5"/>
    <w:rsid w:val="006F20D7"/>
    <w:rsid w:val="006F5F2D"/>
    <w:rsid w:val="007031B1"/>
    <w:rsid w:val="007119DB"/>
    <w:rsid w:val="007154D6"/>
    <w:rsid w:val="00715884"/>
    <w:rsid w:val="00716073"/>
    <w:rsid w:val="0072449F"/>
    <w:rsid w:val="007366B1"/>
    <w:rsid w:val="00736D8C"/>
    <w:rsid w:val="007402A0"/>
    <w:rsid w:val="00751F2D"/>
    <w:rsid w:val="00787E6E"/>
    <w:rsid w:val="007C11A4"/>
    <w:rsid w:val="007E2639"/>
    <w:rsid w:val="00817B19"/>
    <w:rsid w:val="00827200"/>
    <w:rsid w:val="008448F4"/>
    <w:rsid w:val="0085264B"/>
    <w:rsid w:val="00855165"/>
    <w:rsid w:val="00867178"/>
    <w:rsid w:val="00874909"/>
    <w:rsid w:val="00881470"/>
    <w:rsid w:val="0089503D"/>
    <w:rsid w:val="008A6196"/>
    <w:rsid w:val="008B494C"/>
    <w:rsid w:val="008D25A0"/>
    <w:rsid w:val="008D3815"/>
    <w:rsid w:val="008D4804"/>
    <w:rsid w:val="0090353D"/>
    <w:rsid w:val="009317A4"/>
    <w:rsid w:val="0093290F"/>
    <w:rsid w:val="0093327E"/>
    <w:rsid w:val="00942930"/>
    <w:rsid w:val="0098308D"/>
    <w:rsid w:val="00993748"/>
    <w:rsid w:val="009A1D5C"/>
    <w:rsid w:val="009C4044"/>
    <w:rsid w:val="009C70D4"/>
    <w:rsid w:val="009D6B57"/>
    <w:rsid w:val="009F5965"/>
    <w:rsid w:val="00A04289"/>
    <w:rsid w:val="00A53AE0"/>
    <w:rsid w:val="00A70912"/>
    <w:rsid w:val="00A86B99"/>
    <w:rsid w:val="00A92ACC"/>
    <w:rsid w:val="00AA0EA9"/>
    <w:rsid w:val="00AA4297"/>
    <w:rsid w:val="00AB303B"/>
    <w:rsid w:val="00AE5ECE"/>
    <w:rsid w:val="00B0631F"/>
    <w:rsid w:val="00B10DB1"/>
    <w:rsid w:val="00B12819"/>
    <w:rsid w:val="00B20F71"/>
    <w:rsid w:val="00B21D8F"/>
    <w:rsid w:val="00B2751F"/>
    <w:rsid w:val="00B63ACA"/>
    <w:rsid w:val="00B679F5"/>
    <w:rsid w:val="00B941F1"/>
    <w:rsid w:val="00BA7C19"/>
    <w:rsid w:val="00BD6FD1"/>
    <w:rsid w:val="00C17555"/>
    <w:rsid w:val="00C2545A"/>
    <w:rsid w:val="00C26AED"/>
    <w:rsid w:val="00C4228D"/>
    <w:rsid w:val="00C7580E"/>
    <w:rsid w:val="00C84865"/>
    <w:rsid w:val="00C944E2"/>
    <w:rsid w:val="00CA0793"/>
    <w:rsid w:val="00CA61AF"/>
    <w:rsid w:val="00CC6556"/>
    <w:rsid w:val="00CD4689"/>
    <w:rsid w:val="00CE2183"/>
    <w:rsid w:val="00D2407A"/>
    <w:rsid w:val="00D53261"/>
    <w:rsid w:val="00D76276"/>
    <w:rsid w:val="00D909C6"/>
    <w:rsid w:val="00D97078"/>
    <w:rsid w:val="00DA2174"/>
    <w:rsid w:val="00DA50CD"/>
    <w:rsid w:val="00DB7E8C"/>
    <w:rsid w:val="00DD2A24"/>
    <w:rsid w:val="00DE72F2"/>
    <w:rsid w:val="00E01CB4"/>
    <w:rsid w:val="00E05415"/>
    <w:rsid w:val="00E12FEC"/>
    <w:rsid w:val="00E41A42"/>
    <w:rsid w:val="00E56FCA"/>
    <w:rsid w:val="00E9405F"/>
    <w:rsid w:val="00EA460D"/>
    <w:rsid w:val="00EF59CE"/>
    <w:rsid w:val="00F02035"/>
    <w:rsid w:val="00F06CC4"/>
    <w:rsid w:val="00F07B71"/>
    <w:rsid w:val="00F13B66"/>
    <w:rsid w:val="00F17FEE"/>
    <w:rsid w:val="00F32273"/>
    <w:rsid w:val="00F36027"/>
    <w:rsid w:val="00F42F4A"/>
    <w:rsid w:val="00F50AC1"/>
    <w:rsid w:val="00F650E9"/>
    <w:rsid w:val="00F665D4"/>
    <w:rsid w:val="00F701A0"/>
    <w:rsid w:val="00F71F08"/>
    <w:rsid w:val="00F81A84"/>
    <w:rsid w:val="00F83C1B"/>
    <w:rsid w:val="00F96213"/>
    <w:rsid w:val="00FB280B"/>
    <w:rsid w:val="00FB6AC1"/>
    <w:rsid w:val="00FC70AD"/>
    <w:rsid w:val="00FD5BF2"/>
    <w:rsid w:val="00FD6620"/>
    <w:rsid w:val="37133ACA"/>
    <w:rsid w:val="52914783"/>
    <w:rsid w:val="BF375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13A2FF6"/>
  <w15:docId w15:val="{60448B5F-04B3-4842-B1FA-C8F89BC16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Body Text Indent" w:qFormat="1"/>
    <w:lsdException w:name="Subtitle" w:qFormat="1"/>
    <w:lsdException w:name="Dat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jc w:val="center"/>
    </w:pPr>
    <w:rPr>
      <w:b/>
      <w:sz w:val="28"/>
      <w:szCs w:val="28"/>
    </w:rPr>
  </w:style>
  <w:style w:type="paragraph" w:styleId="a4">
    <w:name w:val="Body Text Indent"/>
    <w:basedOn w:val="a"/>
    <w:qFormat/>
    <w:pPr>
      <w:widowControl/>
      <w:spacing w:line="360" w:lineRule="auto"/>
      <w:ind w:firstLine="435"/>
    </w:pPr>
    <w:rPr>
      <w:kern w:val="0"/>
      <w:sz w:val="24"/>
      <w:szCs w:val="20"/>
    </w:rPr>
  </w:style>
  <w:style w:type="paragraph" w:styleId="a5">
    <w:name w:val="Date"/>
    <w:basedOn w:val="a"/>
    <w:next w:val="a"/>
    <w:qFormat/>
    <w:pPr>
      <w:ind w:leftChars="2500" w:left="100"/>
    </w:pPr>
    <w:rPr>
      <w:rFonts w:ascii="宋体" w:hAnsi="宋体"/>
      <w:sz w:val="24"/>
    </w:r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uiPriority w:val="99"/>
    <w:unhideWhenUsed/>
    <w:qFormat/>
    <w:rPr>
      <w:color w:val="0000FF"/>
      <w:u w:val="single"/>
    </w:rPr>
  </w:style>
  <w:style w:type="character" w:customStyle="1" w:styleId="a9">
    <w:name w:val="页眉 字符"/>
    <w:link w:val="a8"/>
    <w:uiPriority w:val="99"/>
    <w:qFormat/>
    <w:rPr>
      <w:kern w:val="2"/>
      <w:sz w:val="18"/>
      <w:szCs w:val="18"/>
    </w:rPr>
  </w:style>
  <w:style w:type="character" w:customStyle="1" w:styleId="a7">
    <w:name w:val="页脚 字符"/>
    <w:link w:val="a6"/>
    <w:uiPriority w:val="99"/>
    <w:qFormat/>
    <w:rPr>
      <w:kern w:val="2"/>
      <w:sz w:val="18"/>
      <w:szCs w:val="18"/>
    </w:rPr>
  </w:style>
  <w:style w:type="character" w:styleId="ac">
    <w:name w:val="Placeholder Text"/>
    <w:basedOn w:val="a0"/>
    <w:uiPriority w:val="99"/>
    <w:unhideWhenUsed/>
    <w:rPr>
      <w:color w:val="666666"/>
    </w:rPr>
  </w:style>
  <w:style w:type="paragraph" w:styleId="ad">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1662</Words>
  <Characters>9474</Characters>
  <Application>Microsoft Office Word</Application>
  <DocSecurity>0</DocSecurity>
  <Lines>78</Lines>
  <Paragraphs>22</Paragraphs>
  <ScaleCrop>false</ScaleCrop>
  <Company>zsb</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E3-B1764</cp:lastModifiedBy>
  <cp:revision>2</cp:revision>
  <cp:lastPrinted>2009-10-22T14:19:00Z</cp:lastPrinted>
  <dcterms:created xsi:type="dcterms:W3CDTF">2025-12-23T13:38:00Z</dcterms:created>
  <dcterms:modified xsi:type="dcterms:W3CDTF">2025-12-23T13:38:00Z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A14B8731FB3B47B59B14FCF0AE2A192B_12</vt:lpwstr>
  </property>
</Properties>
</file>