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数据分析部分论文第四五章"/>
    <w:p>
      <w:pPr>
        <w:pStyle w:val="Heading1"/>
      </w:pPr>
      <w:r>
        <w:rPr>
          <w:rFonts w:hint="eastAsia"/>
        </w:rPr>
        <w:t xml:space="preserve">数据分析部分（论文第四、五章）</w:t>
      </w:r>
    </w:p>
    <w:p>
      <w:pPr>
        <w:pStyle w:val="BlockText"/>
      </w:pPr>
      <w:r>
        <w:rPr>
          <w:rFonts w:hint="eastAsia"/>
          <w:b/>
          <w:bCs/>
        </w:rPr>
        <w:t xml:space="preserve">论文题目</w:t>
      </w:r>
      <w:r>
        <w:rPr>
          <w:rFonts w:hint="eastAsia"/>
        </w:rPr>
        <w:t xml:space="preserve">：基于数据挖掘的上市公司财政补贴与高管超额薪酬研究</w:t>
      </w:r>
      <w:r>
        <w:t xml:space="preserve"> </w:t>
      </w:r>
      <w:r>
        <w:rPr>
          <w:rFonts w:hint="eastAsia"/>
          <w:b/>
          <w:bCs/>
        </w:rPr>
        <w:t xml:space="preserve">数据来源</w:t>
      </w:r>
      <w:r>
        <w:rPr>
          <w:rFonts w:hint="eastAsia"/>
        </w:rPr>
        <w:t xml:space="preserve">：CSMAR</w:t>
      </w:r>
      <w:r>
        <w:t xml:space="preserve"> </w:t>
      </w:r>
      <w:r>
        <w:rPr>
          <w:rFonts w:hint="eastAsia"/>
        </w:rPr>
        <w:t xml:space="preserve">数据库，沪深</w:t>
      </w:r>
      <w:r>
        <w:t xml:space="preserve"> A </w:t>
      </w:r>
      <w:r>
        <w:rPr>
          <w:rFonts w:hint="eastAsia"/>
        </w:rPr>
        <w:t xml:space="preserve">股上市公司（剔除金融行业）</w:t>
      </w:r>
      <w:r>
        <w:t xml:space="preserve"> </w:t>
      </w:r>
      <w:r>
        <w:rPr>
          <w:rFonts w:hint="eastAsia"/>
          <w:b/>
          <w:bCs/>
        </w:rPr>
        <w:t xml:space="preserve">样本区间</w:t>
      </w:r>
      <w:r>
        <w:rPr>
          <w:rFonts w:hint="eastAsia"/>
        </w:rPr>
        <w:t xml:space="preserve">：2003–2024</w:t>
      </w:r>
      <w:r>
        <w:t xml:space="preserve"> </w:t>
      </w:r>
      <w:r>
        <w:rPr>
          <w:rFonts w:hint="eastAsia"/>
        </w:rPr>
        <w:t xml:space="preserve">年</w:t>
      </w:r>
      <w:r>
        <w:t xml:space="preserve"> </w:t>
      </w:r>
      <w:r>
        <w:rPr>
          <w:rFonts w:hint="eastAsia"/>
          <w:b/>
          <w:bCs/>
        </w:rPr>
        <w:t xml:space="preserve">估计方法</w:t>
      </w:r>
      <w:r>
        <w:rPr>
          <w:rFonts w:hint="eastAsia"/>
        </w:rPr>
        <w:t xml:space="preserve">：OLS</w:t>
      </w:r>
      <w:r>
        <w:t xml:space="preserve"> + </w:t>
      </w:r>
      <w:r>
        <w:rPr>
          <w:rFonts w:hint="eastAsia"/>
        </w:rPr>
        <w:t xml:space="preserve">行业固定效应</w:t>
      </w:r>
      <w:r>
        <w:t xml:space="preserve"> + </w:t>
      </w:r>
      <w:r>
        <w:rPr>
          <w:rFonts w:hint="eastAsia"/>
        </w:rPr>
        <w:t xml:space="preserve">年份固定效应</w:t>
      </w:r>
      <w:r>
        <w:t xml:space="preserve"> + </w:t>
      </w:r>
      <w:r>
        <w:rPr>
          <w:rFonts w:hint="eastAsia"/>
        </w:rPr>
        <w:t xml:space="preserve">公司层面聚类稳健标准误</w:t>
      </w:r>
      <w:r>
        <w:t xml:space="preserve"> </w:t>
      </w:r>
      <w:r>
        <w:rPr>
          <w:rFonts w:hint="eastAsia"/>
          <w:b/>
          <w:bCs/>
        </w:rPr>
        <w:t xml:space="preserve">样本处理</w:t>
      </w:r>
      <w:r>
        <w:rPr>
          <w:rFonts w:hint="eastAsia"/>
        </w:rPr>
        <w:t xml:space="preserve">：连续变量在</w:t>
      </w:r>
      <w:r>
        <w:t xml:space="preserve"> 1% </w:t>
      </w:r>
      <w:r>
        <w:rPr>
          <w:rFonts w:hint="eastAsia"/>
        </w:rPr>
        <w:t xml:space="preserve">和</w:t>
      </w:r>
      <w:r>
        <w:t xml:space="preserve"> 99% </w:t>
      </w:r>
      <w:r>
        <w:rPr>
          <w:rFonts w:hint="eastAsia"/>
        </w:rPr>
        <w:t xml:space="preserve">分位数处进行</w:t>
      </w:r>
      <w:r>
        <w:t xml:space="preserve"> Winsorize </w:t>
      </w:r>
      <w:r>
        <w:rPr>
          <w:rFonts w:hint="eastAsia"/>
        </w:rPr>
        <w:t xml:space="preserve">缩尾；超额薪酬（Overpay）作为期望薪酬模型残差，同样在</w:t>
      </w:r>
      <w:r>
        <w:t xml:space="preserve"> 1%/99% </w:t>
      </w:r>
      <w:r>
        <w:rPr>
          <w:rFonts w:hint="eastAsia"/>
        </w:rPr>
        <w:t xml:space="preserve">分位数处进行</w:t>
      </w:r>
      <w:r>
        <w:t xml:space="preserve"> Winsorize </w:t>
      </w:r>
      <w:r>
        <w:rPr>
          <w:rFonts w:hint="eastAsia"/>
        </w:rPr>
        <w:t xml:space="preserve">缩尾</w:t>
      </w:r>
    </w:p>
    <w:p>
      <w:r>
        <w:pict>
          <v:rect style="width:0;height:1.5pt" o:hralign="center" o:hrstd="t" o:hr="t"/>
        </w:pict>
      </w:r>
    </w:p>
    <w:bookmarkStart w:id="9" w:name="研究假设"/>
    <w:p>
      <w:pPr>
        <w:pStyle w:val="Heading2"/>
      </w:pPr>
      <w:r>
        <w:t xml:space="preserve">4. </w:t>
      </w:r>
      <w:r>
        <w:rPr>
          <w:rFonts w:hint="eastAsia"/>
        </w:rPr>
        <w:t xml:space="preserve">研究假设</w:t>
      </w:r>
    </w:p>
    <w:p>
      <w:pPr>
        <w:pStyle w:val="FirstParagraph"/>
      </w:pPr>
      <w:r>
        <w:rPr>
          <w:rFonts w:hint="eastAsia"/>
          <w:b/>
          <w:bCs/>
        </w:rPr>
        <w:t xml:space="preserve">假设</w:t>
      </w:r>
      <w:r>
        <w:rPr>
          <w:b/>
          <w:bCs/>
        </w:rPr>
        <w:t xml:space="preserve"> </w:t>
      </w:r>
      <w:r>
        <w:rPr>
          <w:rFonts w:hint="eastAsia"/>
          <w:b/>
          <w:bCs/>
        </w:rPr>
        <w:t xml:space="preserve">H1（主效应假设）</w:t>
      </w:r>
      <w:r>
        <w:t xml:space="preserve"> </w:t>
      </w:r>
      <w:r>
        <w:rPr>
          <w:rFonts w:hint="eastAsia"/>
        </w:rPr>
        <w:t xml:space="preserve">政府补助（lnSubsidy）对高管超额薪酬（Overpay）具有显著正向影响，即财政补贴越多，高管获得超额薪酬越高。根据代理理论，在股东与经理层信息不对称的条件下，财政补贴增大了企业可支配资源规模，当公司治理机制不完善时，高管可能借助这一外部资源拉升自身薪酬水平（Bebchuk</w:t>
      </w:r>
      <w:r>
        <w:t xml:space="preserve"> &amp; </w:t>
      </w:r>
      <w:r>
        <w:rPr>
          <w:rFonts w:hint="eastAsia"/>
        </w:rPr>
        <w:t xml:space="preserve">Fried，2003）。</w:t>
      </w:r>
    </w:p>
    <w:p>
      <w:pPr>
        <w:pStyle w:val="BodyText"/>
      </w:pPr>
      <w:r>
        <w:rPr>
          <w:rFonts w:hint="eastAsia"/>
          <w:b/>
          <w:bCs/>
        </w:rPr>
        <w:t xml:space="preserve">假设</w:t>
      </w:r>
      <w:r>
        <w:rPr>
          <w:b/>
          <w:bCs/>
        </w:rPr>
        <w:t xml:space="preserve"> </w:t>
      </w:r>
      <w:r>
        <w:rPr>
          <w:rFonts w:hint="eastAsia"/>
          <w:b/>
          <w:bCs/>
        </w:rPr>
        <w:t xml:space="preserve">H2（中介效应假设）</w:t>
      </w:r>
      <w:r>
        <w:t xml:space="preserve"> </w:t>
      </w:r>
      <w:r>
        <w:rPr>
          <w:rFonts w:hint="eastAsia"/>
        </w:rPr>
        <w:t xml:space="preserve">管理层权力（Power）在政府补助与高管超额薪酬之间发挥显著中介作用，即政府补助通过增强管理层权力间接提升高管超额薪酬。政府补贴增大了管理层可支配的资源规模，强化了管理层在薪酬谈判中的议价能力，进而推高超额薪酬。</w:t>
      </w:r>
    </w:p>
    <w:p>
      <w:r>
        <w:pict>
          <v:rect style="width:0;height:1.5pt" o:hralign="center" o:hrstd="t" o:hr="t"/>
        </w:pict>
      </w:r>
    </w:p>
    <w:bookmarkEnd w:id="9"/>
    <w:bookmarkStart w:id="25" w:name="实证结果与分析"/>
    <w:p>
      <w:pPr>
        <w:pStyle w:val="Heading2"/>
      </w:pPr>
      <w:r>
        <w:t xml:space="preserve">5. </w:t>
      </w:r>
      <w:r>
        <w:rPr>
          <w:rFonts w:hint="eastAsia"/>
        </w:rPr>
        <w:t xml:space="preserve">实证结果与分析</w:t>
      </w:r>
    </w:p>
    <w:bookmarkStart w:id="10" w:name="描述性统计"/>
    <w:p>
      <w:pPr>
        <w:pStyle w:val="Heading3"/>
      </w:pPr>
      <w:r>
        <w:t xml:space="preserve">5.1 </w:t>
      </w:r>
      <w:r>
        <w:rPr>
          <w:rFonts w:hint="eastAsia"/>
        </w:rPr>
        <w:t xml:space="preserve">描述性统计</w:t>
      </w:r>
    </w:p>
    <w:p>
      <w:pPr>
        <w:pStyle w:val="FirstParagraph"/>
      </w:pPr>
      <w:r>
        <w:rPr>
          <w:rFonts w:hint="eastAsia"/>
        </w:rPr>
        <w:t xml:space="preserve">表</w:t>
      </w:r>
      <w:r>
        <w:t xml:space="preserve"> 1 </w:t>
      </w:r>
      <w:r>
        <w:rPr>
          <w:rFonts w:hint="eastAsia"/>
        </w:rPr>
        <w:t xml:space="preserve">报告了主要变量的描述性统计结果。样本包含</w:t>
      </w:r>
      <w:r>
        <w:t xml:space="preserve"> 52,402 </w:t>
      </w:r>
      <w:r>
        <w:rPr>
          <w:rFonts w:hint="eastAsia"/>
        </w:rPr>
        <w:t xml:space="preserve">个公司-年观测值（部分变量因缺失值略有差异）。高管前三名薪酬总额均值为</w:t>
      </w:r>
      <w:r>
        <w:t xml:space="preserve"> 261 </w:t>
      </w:r>
      <w:r>
        <w:rPr>
          <w:rFonts w:hint="eastAsia"/>
        </w:rPr>
        <w:t xml:space="preserve">万元，标准差为</w:t>
      </w:r>
      <w:r>
        <w:t xml:space="preserve"> 291 </w:t>
      </w:r>
      <w:r>
        <w:rPr>
          <w:rFonts w:hint="eastAsia"/>
        </w:rPr>
        <w:t xml:space="preserve">万元，变异系数超过</w:t>
      </w:r>
      <w:r>
        <w:t xml:space="preserve"> </w:t>
      </w:r>
      <w:r>
        <w:rPr>
          <w:rFonts w:hint="eastAsia"/>
        </w:rPr>
        <w:t xml:space="preserve">1，显示个体间差异较大；政府补助均值约为</w:t>
      </w:r>
      <w:r>
        <w:t xml:space="preserve"> 5,260 </w:t>
      </w:r>
      <w:r>
        <w:rPr>
          <w:rFonts w:hint="eastAsia"/>
        </w:rPr>
        <w:t xml:space="preserve">万元，最小值为</w:t>
      </w:r>
      <w:r>
        <w:t xml:space="preserve"> 12.63 </w:t>
      </w:r>
      <w:r>
        <w:rPr>
          <w:rFonts w:hint="eastAsia"/>
        </w:rPr>
        <w:t xml:space="preserve">元，最大值为</w:t>
      </w:r>
      <w:r>
        <w:t xml:space="preserve"> 841 </w:t>
      </w:r>
      <w:r>
        <w:rPr>
          <w:rFonts w:hint="eastAsia"/>
        </w:rPr>
        <w:t xml:space="preserve">亿元，不同企业间补贴规模差异悬殊。超额薪酬（Overpay）均值接近</w:t>
      </w:r>
      <w:r>
        <w:t xml:space="preserve"> </w:t>
      </w:r>
      <w:r>
        <w:rPr>
          <w:rFonts w:hint="eastAsia"/>
        </w:rPr>
        <w:t xml:space="preserve">0（符合残差分布预期），标准差为</w:t>
      </w:r>
      <w:r>
        <w:t xml:space="preserve"> </w:t>
      </w:r>
      <w:r>
        <w:rPr>
          <w:rFonts w:hint="eastAsia"/>
        </w:rPr>
        <w:t xml:space="preserve">0.5466，说明超额薪酬在样本中存在较大波动。管理层权力（Power）由五个分指标经</w:t>
      </w:r>
      <w:r>
        <w:t xml:space="preserve"> PCA </w:t>
      </w:r>
      <w:r>
        <w:rPr>
          <w:rFonts w:hint="eastAsia"/>
        </w:rPr>
        <w:t xml:space="preserve">提取第一主成分而得，均值为</w:t>
      </w:r>
      <w:r>
        <w:t xml:space="preserve"> </w:t>
      </w:r>
      <w:r>
        <w:rPr>
          <w:rFonts w:hint="eastAsia"/>
        </w:rPr>
        <w:t xml:space="preserve">0，标准差为</w:t>
      </w:r>
      <w:r>
        <w:t xml:space="preserve"> 1.3145。</w:t>
      </w:r>
    </w:p>
    <w:p>
      <w:pPr>
        <w:pStyle w:val="BodyText"/>
      </w:pPr>
      <w:r>
        <w:rPr>
          <w:rFonts w:hint="eastAsia"/>
          <w:b/>
          <w:bCs/>
        </w:rPr>
        <w:t xml:space="preserve">表</w:t>
      </w:r>
      <w:r>
        <w:rPr>
          <w:b/>
          <w:bCs/>
        </w:rPr>
        <w:t xml:space="preserve"> 1 </w:t>
      </w:r>
      <w:r>
        <w:rPr>
          <w:rFonts w:hint="eastAsia"/>
          <w:b/>
          <w:bCs/>
        </w:rPr>
        <w:t xml:space="preserve">主要变量描述性统计</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变量</w:t>
            </w:r>
          </w:p>
        </w:tc>
        <w:tc>
          <w:tcPr/>
          <w:p>
            <w:pPr>
              <w:pStyle w:val="Compact"/>
              <w:jc w:val="center"/>
            </w:pPr>
            <w:r>
              <w:t xml:space="preserve">N</w:t>
            </w:r>
          </w:p>
        </w:tc>
        <w:tc>
          <w:tcPr/>
          <w:p>
            <w:pPr>
              <w:pStyle w:val="Compact"/>
              <w:jc w:val="center"/>
            </w:pPr>
            <w:r>
              <w:rPr>
                <w:rFonts w:hint="eastAsia"/>
              </w:rPr>
              <w:t xml:space="preserve">均值</w:t>
            </w:r>
          </w:p>
        </w:tc>
        <w:tc>
          <w:tcPr/>
          <w:p>
            <w:pPr>
              <w:pStyle w:val="Compact"/>
              <w:jc w:val="center"/>
            </w:pPr>
            <w:r>
              <w:rPr>
                <w:rFonts w:hint="eastAsia"/>
              </w:rPr>
              <w:t xml:space="preserve">标准差</w:t>
            </w:r>
          </w:p>
        </w:tc>
        <w:tc>
          <w:tcPr/>
          <w:p>
            <w:pPr>
              <w:pStyle w:val="Compact"/>
              <w:jc w:val="center"/>
            </w:pPr>
            <w:r>
              <w:rPr>
                <w:rFonts w:hint="eastAsia"/>
              </w:rPr>
              <w:t xml:space="preserve">最小值</w:t>
            </w:r>
          </w:p>
        </w:tc>
        <w:tc>
          <w:tcPr/>
          <w:p>
            <w:pPr>
              <w:pStyle w:val="Compact"/>
              <w:jc w:val="center"/>
            </w:pPr>
            <w:r>
              <w:rPr>
                <w:rFonts w:hint="eastAsia"/>
              </w:rPr>
              <w:t xml:space="preserve">最大值</w:t>
            </w:r>
          </w:p>
        </w:tc>
      </w:tr>
      <w:tr>
        <w:tc>
          <w:tcPr/>
          <w:p>
            <w:pPr>
              <w:pStyle w:val="Compact"/>
              <w:jc w:val="left"/>
            </w:pPr>
            <w:r>
              <w:rPr>
                <w:rFonts w:hint="eastAsia"/>
              </w:rPr>
              <w:t xml:space="preserve">高管前三名薪酬总额</w:t>
            </w:r>
          </w:p>
        </w:tc>
        <w:tc>
          <w:tcPr/>
          <w:p>
            <w:pPr>
              <w:pStyle w:val="Compact"/>
              <w:jc w:val="center"/>
            </w:pPr>
            <w:r>
              <w:t xml:space="preserve">52,402</w:t>
            </w:r>
          </w:p>
        </w:tc>
        <w:tc>
          <w:tcPr/>
          <w:p>
            <w:pPr>
              <w:pStyle w:val="Compact"/>
              <w:jc w:val="center"/>
            </w:pPr>
            <w:r>
              <w:t xml:space="preserve">2.61×10⁶</w:t>
            </w:r>
          </w:p>
        </w:tc>
        <w:tc>
          <w:tcPr/>
          <w:p>
            <w:pPr>
              <w:pStyle w:val="Compact"/>
              <w:jc w:val="center"/>
            </w:pPr>
            <w:r>
              <w:t xml:space="preserve">2.91×10⁶</w:t>
            </w:r>
          </w:p>
        </w:tc>
        <w:tc>
          <w:tcPr/>
          <w:p>
            <w:pPr>
              <w:pStyle w:val="Compact"/>
              <w:jc w:val="center"/>
            </w:pPr>
            <w:r>
              <w:t xml:space="preserve">0.0000</w:t>
            </w:r>
          </w:p>
        </w:tc>
        <w:tc>
          <w:tcPr/>
          <w:p>
            <w:pPr>
              <w:pStyle w:val="Compact"/>
              <w:jc w:val="center"/>
            </w:pPr>
            <w:r>
              <w:t xml:space="preserve">1.18×10⁸</w:t>
            </w:r>
          </w:p>
        </w:tc>
      </w:tr>
      <w:tr>
        <w:tc>
          <w:tcPr/>
          <w:p>
            <w:pPr>
              <w:pStyle w:val="Compact"/>
              <w:jc w:val="left"/>
            </w:pPr>
            <w:r>
              <w:rPr>
                <w:rFonts w:hint="eastAsia"/>
              </w:rPr>
              <w:t xml:space="preserve">政府补助</w:t>
            </w:r>
          </w:p>
        </w:tc>
        <w:tc>
          <w:tcPr/>
          <w:p>
            <w:pPr>
              <w:pStyle w:val="Compact"/>
              <w:jc w:val="center"/>
            </w:pPr>
            <w:r>
              <w:t xml:space="preserve">52,402</w:t>
            </w:r>
          </w:p>
        </w:tc>
        <w:tc>
          <w:tcPr/>
          <w:p>
            <w:pPr>
              <w:pStyle w:val="Compact"/>
              <w:jc w:val="center"/>
            </w:pPr>
            <w:r>
              <w:t xml:space="preserve">5.26×10⁷</w:t>
            </w:r>
          </w:p>
        </w:tc>
        <w:tc>
          <w:tcPr/>
          <w:p>
            <w:pPr>
              <w:pStyle w:val="Compact"/>
              <w:jc w:val="center"/>
            </w:pPr>
            <w:r>
              <w:t xml:space="preserve">4.35×10⁸</w:t>
            </w:r>
          </w:p>
        </w:tc>
        <w:tc>
          <w:tcPr/>
          <w:p>
            <w:pPr>
              <w:pStyle w:val="Compact"/>
              <w:jc w:val="center"/>
            </w:pPr>
            <w:r>
              <w:t xml:space="preserve">12.6300</w:t>
            </w:r>
          </w:p>
        </w:tc>
        <w:tc>
          <w:tcPr/>
          <w:p>
            <w:pPr>
              <w:pStyle w:val="Compact"/>
              <w:jc w:val="center"/>
            </w:pPr>
            <w:r>
              <w:t xml:space="preserve">8.41×10¹⁰</w:t>
            </w:r>
          </w:p>
        </w:tc>
      </w:tr>
      <w:tr>
        <w:tc>
          <w:tcPr/>
          <w:p>
            <w:pPr>
              <w:pStyle w:val="Compact"/>
              <w:jc w:val="left"/>
            </w:pPr>
            <w:r>
              <w:rPr>
                <w:rFonts w:hint="eastAsia"/>
              </w:rPr>
              <w:t xml:space="preserve">超额薪酬（Overpay）</w:t>
            </w:r>
          </w:p>
        </w:tc>
        <w:tc>
          <w:tcPr/>
          <w:p>
            <w:pPr>
              <w:pStyle w:val="Compact"/>
              <w:jc w:val="center"/>
            </w:pPr>
            <w:r>
              <w:t xml:space="preserve">52,224</w:t>
            </w:r>
          </w:p>
        </w:tc>
        <w:tc>
          <w:tcPr/>
          <w:p>
            <w:pPr>
              <w:pStyle w:val="Compact"/>
              <w:jc w:val="center"/>
            </w:pPr>
            <w:r>
              <w:t xml:space="preserve">0.0004</w:t>
            </w:r>
          </w:p>
        </w:tc>
        <w:tc>
          <w:tcPr/>
          <w:p>
            <w:pPr>
              <w:pStyle w:val="Compact"/>
              <w:jc w:val="center"/>
            </w:pPr>
            <w:r>
              <w:t xml:space="preserve">0.5466</w:t>
            </w:r>
          </w:p>
        </w:tc>
        <w:tc>
          <w:tcPr/>
          <w:p>
            <w:pPr>
              <w:pStyle w:val="Compact"/>
              <w:jc w:val="center"/>
            </w:pPr>
            <w:r>
              <w:t xml:space="preserve">-1.3254</w:t>
            </w:r>
          </w:p>
        </w:tc>
        <w:tc>
          <w:tcPr/>
          <w:p>
            <w:pPr>
              <w:pStyle w:val="Compact"/>
              <w:jc w:val="center"/>
            </w:pPr>
            <w:r>
              <w:t xml:space="preserve">1.4003</w:t>
            </w:r>
          </w:p>
        </w:tc>
      </w:tr>
      <w:tr>
        <w:tc>
          <w:tcPr/>
          <w:p>
            <w:pPr>
              <w:pStyle w:val="Compact"/>
              <w:jc w:val="left"/>
            </w:pPr>
            <w:r>
              <w:rPr>
                <w:rFonts w:hint="eastAsia"/>
              </w:rPr>
              <w:t xml:space="preserve">管理层权力（Power）</w:t>
            </w:r>
          </w:p>
        </w:tc>
        <w:tc>
          <w:tcPr/>
          <w:p>
            <w:pPr>
              <w:pStyle w:val="Compact"/>
              <w:jc w:val="center"/>
            </w:pPr>
            <w:r>
              <w:t xml:space="preserve">44,996</w:t>
            </w:r>
          </w:p>
        </w:tc>
        <w:tc>
          <w:tcPr/>
          <w:p>
            <w:pPr>
              <w:pStyle w:val="Compact"/>
              <w:jc w:val="center"/>
            </w:pPr>
            <w:r>
              <w:t xml:space="preserve">0.0000</w:t>
            </w:r>
          </w:p>
        </w:tc>
        <w:tc>
          <w:tcPr/>
          <w:p>
            <w:pPr>
              <w:pStyle w:val="Compact"/>
              <w:jc w:val="center"/>
            </w:pPr>
            <w:r>
              <w:t xml:space="preserve">1.3145</w:t>
            </w:r>
          </w:p>
        </w:tc>
        <w:tc>
          <w:tcPr/>
          <w:p>
            <w:pPr>
              <w:pStyle w:val="Compact"/>
              <w:jc w:val="center"/>
            </w:pPr>
            <w:r>
              <w:t xml:space="preserve">-6.0321</w:t>
            </w:r>
          </w:p>
        </w:tc>
        <w:tc>
          <w:tcPr/>
          <w:p>
            <w:pPr>
              <w:pStyle w:val="Compact"/>
              <w:jc w:val="center"/>
            </w:pPr>
            <w:r>
              <w:t xml:space="preserve">4.4987</w:t>
            </w:r>
          </w:p>
        </w:tc>
      </w:tr>
      <w:tr>
        <w:tc>
          <w:tcPr/>
          <w:p>
            <w:pPr>
              <w:pStyle w:val="Compact"/>
              <w:jc w:val="left"/>
            </w:pPr>
            <w:r>
              <w:rPr>
                <w:rFonts w:hint="eastAsia"/>
              </w:rPr>
              <w:t xml:space="preserve">业绩（Roa）</w:t>
            </w:r>
          </w:p>
        </w:tc>
        <w:tc>
          <w:tcPr/>
          <w:p>
            <w:pPr>
              <w:pStyle w:val="Compact"/>
              <w:jc w:val="center"/>
            </w:pPr>
            <w:r>
              <w:t xml:space="preserve">52,402</w:t>
            </w:r>
          </w:p>
        </w:tc>
        <w:tc>
          <w:tcPr/>
          <w:p>
            <w:pPr>
              <w:pStyle w:val="Compact"/>
              <w:jc w:val="center"/>
            </w:pPr>
            <w:r>
              <w:t xml:space="preserve">0.0310</w:t>
            </w:r>
          </w:p>
        </w:tc>
        <w:tc>
          <w:tcPr/>
          <w:p>
            <w:pPr>
              <w:pStyle w:val="Compact"/>
              <w:jc w:val="center"/>
            </w:pPr>
            <w:r>
              <w:t xml:space="preserve">0.0709</w:t>
            </w:r>
          </w:p>
        </w:tc>
        <w:tc>
          <w:tcPr/>
          <w:p>
            <w:pPr>
              <w:pStyle w:val="Compact"/>
              <w:jc w:val="center"/>
            </w:pPr>
            <w:r>
              <w:t xml:space="preserve">-0.3109</w:t>
            </w:r>
          </w:p>
        </w:tc>
        <w:tc>
          <w:tcPr/>
          <w:p>
            <w:pPr>
              <w:pStyle w:val="Compact"/>
              <w:jc w:val="center"/>
            </w:pPr>
            <w:r>
              <w:t xml:space="preserve">0.1993</w:t>
            </w:r>
          </w:p>
        </w:tc>
      </w:tr>
      <w:tr>
        <w:tc>
          <w:tcPr/>
          <w:p>
            <w:pPr>
              <w:pStyle w:val="Compact"/>
              <w:jc w:val="left"/>
            </w:pPr>
            <w:r>
              <w:rPr>
                <w:rFonts w:hint="eastAsia"/>
              </w:rPr>
              <w:t xml:space="preserve">营业收入</w:t>
            </w:r>
          </w:p>
        </w:tc>
        <w:tc>
          <w:tcPr/>
          <w:p>
            <w:pPr>
              <w:pStyle w:val="Compact"/>
              <w:jc w:val="center"/>
            </w:pPr>
            <w:r>
              <w:t xml:space="preserve">52,388</w:t>
            </w:r>
          </w:p>
        </w:tc>
        <w:tc>
          <w:tcPr/>
          <w:p>
            <w:pPr>
              <w:pStyle w:val="Compact"/>
              <w:jc w:val="center"/>
            </w:pPr>
            <w:r>
              <w:t xml:space="preserve">8.57×10⁹</w:t>
            </w:r>
          </w:p>
        </w:tc>
        <w:tc>
          <w:tcPr/>
          <w:p>
            <w:pPr>
              <w:pStyle w:val="Compact"/>
              <w:jc w:val="center"/>
            </w:pPr>
            <w:r>
              <w:t xml:space="preserve">5.38×10¹⁰</w:t>
            </w:r>
          </w:p>
        </w:tc>
        <w:tc>
          <w:tcPr/>
          <w:p>
            <w:pPr>
              <w:pStyle w:val="Compact"/>
              <w:jc w:val="center"/>
            </w:pPr>
            <w:r>
              <w:t xml:space="preserve">-1.15×10⁸</w:t>
            </w:r>
          </w:p>
        </w:tc>
        <w:tc>
          <w:tcPr/>
          <w:p>
            <w:pPr>
              <w:pStyle w:val="Compact"/>
              <w:jc w:val="center"/>
            </w:pPr>
            <w:r>
              <w:t xml:space="preserve">2.89×10¹²</w:t>
            </w:r>
          </w:p>
        </w:tc>
      </w:tr>
      <w:tr>
        <w:tc>
          <w:tcPr/>
          <w:p>
            <w:pPr>
              <w:pStyle w:val="Compact"/>
              <w:jc w:val="left"/>
            </w:pPr>
            <w:r>
              <w:rPr>
                <w:rFonts w:hint="eastAsia"/>
              </w:rPr>
              <w:t xml:space="preserve">财务杠杆（Lever）</w:t>
            </w:r>
          </w:p>
        </w:tc>
        <w:tc>
          <w:tcPr/>
          <w:p>
            <w:pPr>
              <w:pStyle w:val="Compact"/>
              <w:jc w:val="center"/>
            </w:pPr>
            <w:r>
              <w:t xml:space="preserve">52,402</w:t>
            </w:r>
          </w:p>
        </w:tc>
        <w:tc>
          <w:tcPr/>
          <w:p>
            <w:pPr>
              <w:pStyle w:val="Compact"/>
              <w:jc w:val="center"/>
            </w:pPr>
            <w:r>
              <w:t xml:space="preserve">0.4261</w:t>
            </w:r>
          </w:p>
        </w:tc>
        <w:tc>
          <w:tcPr/>
          <w:p>
            <w:pPr>
              <w:pStyle w:val="Compact"/>
              <w:jc w:val="center"/>
            </w:pPr>
            <w:r>
              <w:t xml:space="preserve">0.2146</w:t>
            </w:r>
          </w:p>
        </w:tc>
        <w:tc>
          <w:tcPr/>
          <w:p>
            <w:pPr>
              <w:pStyle w:val="Compact"/>
              <w:jc w:val="center"/>
            </w:pPr>
            <w:r>
              <w:t xml:space="preserve">0.0514</w:t>
            </w:r>
          </w:p>
        </w:tc>
        <w:tc>
          <w:tcPr/>
          <w:p>
            <w:pPr>
              <w:pStyle w:val="Compact"/>
              <w:jc w:val="center"/>
            </w:pPr>
            <w:r>
              <w:t xml:space="preserve">0.9669</w:t>
            </w:r>
          </w:p>
        </w:tc>
      </w:tr>
      <w:tr>
        <w:tc>
          <w:tcPr/>
          <w:p>
            <w:pPr>
              <w:pStyle w:val="Compact"/>
              <w:jc w:val="left"/>
            </w:pPr>
            <w:r>
              <w:rPr>
                <w:rFonts w:hint="eastAsia"/>
              </w:rPr>
              <w:t xml:space="preserve">第一大股东持股比例（Top1）</w:t>
            </w:r>
          </w:p>
        </w:tc>
        <w:tc>
          <w:tcPr/>
          <w:p>
            <w:pPr>
              <w:pStyle w:val="Compact"/>
              <w:jc w:val="center"/>
            </w:pPr>
            <w:r>
              <w:t xml:space="preserve">52,402</w:t>
            </w:r>
          </w:p>
        </w:tc>
        <w:tc>
          <w:tcPr/>
          <w:p>
            <w:pPr>
              <w:pStyle w:val="Compact"/>
              <w:jc w:val="center"/>
            </w:pPr>
            <w:r>
              <w:t xml:space="preserve">33.7618</w:t>
            </w:r>
          </w:p>
        </w:tc>
        <w:tc>
          <w:tcPr/>
          <w:p>
            <w:pPr>
              <w:pStyle w:val="Compact"/>
              <w:jc w:val="center"/>
            </w:pPr>
            <w:r>
              <w:t xml:space="preserve">14.8090</w:t>
            </w:r>
          </w:p>
        </w:tc>
        <w:tc>
          <w:tcPr/>
          <w:p>
            <w:pPr>
              <w:pStyle w:val="Compact"/>
              <w:jc w:val="center"/>
            </w:pPr>
            <w:r>
              <w:t xml:space="preserve">8.3101</w:t>
            </w:r>
          </w:p>
        </w:tc>
        <w:tc>
          <w:tcPr/>
          <w:p>
            <w:pPr>
              <w:pStyle w:val="Compact"/>
              <w:jc w:val="center"/>
            </w:pPr>
            <w:r>
              <w:t xml:space="preserve">73.3500</w:t>
            </w:r>
          </w:p>
        </w:tc>
      </w:tr>
    </w:tbl>
    <w:p>
      <w:pPr>
        <w:pStyle w:val="BodyText"/>
      </w:pPr>
      <w:r>
        <w:rPr>
          <w:rFonts w:hint="eastAsia"/>
        </w:rPr>
        <w:t xml:space="preserve">注：政府补助和高管薪酬单位为元。Roa、Lever、Top1</w:t>
      </w:r>
      <w:r>
        <w:t xml:space="preserve"> </w:t>
      </w:r>
      <w:r>
        <w:rPr>
          <w:rFonts w:hint="eastAsia"/>
        </w:rPr>
        <w:t xml:space="preserve">及对数变量在</w:t>
      </w:r>
      <w:r>
        <w:t xml:space="preserve"> 1%/99% </w:t>
      </w:r>
      <w:r>
        <w:rPr>
          <w:rFonts w:hint="eastAsia"/>
        </w:rPr>
        <w:t xml:space="preserve">分位数处进行了</w:t>
      </w:r>
      <w:r>
        <w:t xml:space="preserve"> Winsorize </w:t>
      </w:r>
      <w:r>
        <w:rPr>
          <w:rFonts w:hint="eastAsia"/>
        </w:rPr>
        <w:t xml:space="preserve">缩尾处理，Overpay</w:t>
      </w:r>
      <w:r>
        <w:t xml:space="preserve"> </w:t>
      </w:r>
      <w:r>
        <w:rPr>
          <w:rFonts w:hint="eastAsia"/>
        </w:rPr>
        <w:t xml:space="preserve">作为期望薪酬模型残差亦经</w:t>
      </w:r>
      <w:r>
        <w:t xml:space="preserve"> 1%/99% Winsorize </w:t>
      </w:r>
      <w:r>
        <w:rPr>
          <w:rFonts w:hint="eastAsia"/>
        </w:rPr>
        <w:t xml:space="preserve">缩尾。</w:t>
      </w:r>
    </w:p>
    <w:p>
      <w:r>
        <w:pict>
          <v:rect style="width:0;height:1.5pt" o:hralign="center" o:hrstd="t" o:hr="t"/>
        </w:pict>
      </w:r>
    </w:p>
    <w:bookmarkEnd w:id="10"/>
    <w:bookmarkStart w:id="11" w:name="主回归结果"/>
    <w:p>
      <w:pPr>
        <w:pStyle w:val="Heading3"/>
      </w:pPr>
      <w:r>
        <w:t xml:space="preserve">5.2 </w:t>
      </w:r>
      <w:r>
        <w:rPr>
          <w:rFonts w:hint="eastAsia"/>
        </w:rPr>
        <w:t xml:space="preserve">主回归结果</w:t>
      </w:r>
    </w:p>
    <w:p>
      <w:pPr>
        <w:pStyle w:val="FirstParagraph"/>
      </w:pPr>
      <w:r>
        <w:rPr>
          <w:rFonts w:hint="eastAsia"/>
        </w:rPr>
        <w:t xml:space="preserve">表</w:t>
      </w:r>
      <w:r>
        <w:t xml:space="preserve"> 2 </w:t>
      </w:r>
      <w:r>
        <w:rPr>
          <w:rFonts w:hint="eastAsia"/>
        </w:rPr>
        <w:t xml:space="preserve">报告了政府补助对高管超额薪酬影响的主回归结果。模型（3）以超额薪酬（Overpay）为被解释变量，纳入政府补助（lnSubsidy）作为核心解释变量，同时控制业绩（Roa）、财务杠杆（Lever）、第一大股东持股比例（Top1）、区域虚拟变量（Zone）以及行业和年份固定效应。结果显示</w:t>
      </w:r>
      <w:r>
        <w:t xml:space="preserve"> lnSubsidy </w:t>
      </w:r>
      <w:r>
        <w:rPr>
          <w:rFonts w:hint="eastAsia"/>
        </w:rPr>
        <w:t xml:space="preserve">的系数为</w:t>
      </w:r>
      <w:r>
        <w:t xml:space="preserve"> </w:t>
      </w:r>
      <w:r>
        <w:rPr>
          <w:rFonts w:hint="eastAsia"/>
        </w:rPr>
        <w:t xml:space="preserve">0.0552（t</w:t>
      </w:r>
      <w:r>
        <w:t xml:space="preserve"> = </w:t>
      </w:r>
      <w:r>
        <w:rPr>
          <w:rFonts w:hint="eastAsia"/>
        </w:rPr>
        <w:t xml:space="preserve">14.56，p</w:t>
      </w:r>
      <w:r>
        <w:t xml:space="preserve"> &lt; </w:t>
      </w:r>
      <w:r>
        <w:rPr>
          <w:rFonts w:hint="eastAsia"/>
        </w:rPr>
        <w:t xml:space="preserve">0.01），表明政府补助显著正向影响高管超额薪酬。模型（4）进一步加入管理层权力（Power）作为中介变量后，lnSubsidy</w:t>
      </w:r>
      <w:r>
        <w:t xml:space="preserve"> </w:t>
      </w:r>
      <w:r>
        <w:rPr>
          <w:rFonts w:hint="eastAsia"/>
        </w:rPr>
        <w:t xml:space="preserve">的系数为</w:t>
      </w:r>
      <w:r>
        <w:t xml:space="preserve"> </w:t>
      </w:r>
      <w:r>
        <w:rPr>
          <w:rFonts w:hint="eastAsia"/>
        </w:rPr>
        <w:t xml:space="preserve">0.0545（t</w:t>
      </w:r>
      <w:r>
        <w:t xml:space="preserve"> = </w:t>
      </w:r>
      <w:r>
        <w:rPr>
          <w:rFonts w:hint="eastAsia"/>
        </w:rPr>
        <w:t xml:space="preserve">14.33，p</w:t>
      </w:r>
      <w:r>
        <w:t xml:space="preserve"> &lt; </w:t>
      </w:r>
      <w:r>
        <w:rPr>
          <w:rFonts w:hint="eastAsia"/>
        </w:rPr>
        <w:t xml:space="preserve">0.01），显著性与经济意义基本不变，而</w:t>
      </w:r>
      <w:r>
        <w:t xml:space="preserve"> Power </w:t>
      </w:r>
      <w:r>
        <w:rPr>
          <w:rFonts w:hint="eastAsia"/>
        </w:rPr>
        <w:t xml:space="preserve">的系数为</w:t>
      </w:r>
      <w:r>
        <w:t xml:space="preserve"> </w:t>
      </w:r>
      <w:r>
        <w:rPr>
          <w:rFonts w:hint="eastAsia"/>
        </w:rPr>
        <w:t xml:space="preserve">0.0066（t</w:t>
      </w:r>
      <w:r>
        <w:t xml:space="preserve"> = </w:t>
      </w:r>
      <w:r>
        <w:rPr>
          <w:rFonts w:hint="eastAsia"/>
        </w:rPr>
        <w:t xml:space="preserve">1.37），统计上不显著。模型（5）以管理层权力（Power）为被解释变量，lnSubsidy</w:t>
      </w:r>
      <w:r>
        <w:t xml:space="preserve"> </w:t>
      </w:r>
      <w:r>
        <w:rPr>
          <w:rFonts w:hint="eastAsia"/>
        </w:rPr>
        <w:t xml:space="preserve">的系数为</w:t>
      </w:r>
      <w:r>
        <w:t xml:space="preserve"> </w:t>
      </w:r>
      <w:r>
        <w:rPr>
          <w:rFonts w:hint="eastAsia"/>
        </w:rPr>
        <w:t xml:space="preserve">0.0974（t</w:t>
      </w:r>
      <w:r>
        <w:t xml:space="preserve"> = </w:t>
      </w:r>
      <w:r>
        <w:rPr>
          <w:rFonts w:hint="eastAsia"/>
        </w:rPr>
        <w:t xml:space="preserve">11.28，p</w:t>
      </w:r>
      <w:r>
        <w:t xml:space="preserve"> &lt; </w:t>
      </w:r>
      <w:r>
        <w:rPr>
          <w:rFonts w:hint="eastAsia"/>
        </w:rPr>
        <w:t xml:space="preserve">0.01），表明政府补助对管理层权力有显著正向影响。上述结果支持了</w:t>
      </w:r>
      <w:r>
        <w:rPr>
          <w:rFonts w:hint="eastAsia"/>
          <w:b/>
          <w:bCs/>
        </w:rPr>
        <w:t xml:space="preserve">假设</w:t>
      </w:r>
      <w:r>
        <w:rPr>
          <w:b/>
          <w:bCs/>
        </w:rPr>
        <w:t xml:space="preserve"> H1</w:t>
      </w:r>
      <w:r>
        <w:t xml:space="preserve">。</w:t>
      </w:r>
    </w:p>
    <w:p>
      <w:pPr>
        <w:pStyle w:val="BodyText"/>
      </w:pPr>
      <w:r>
        <w:rPr>
          <w:rFonts w:hint="eastAsia"/>
          <w:b/>
          <w:bCs/>
        </w:rPr>
        <w:t xml:space="preserve">表</w:t>
      </w:r>
      <w:r>
        <w:rPr>
          <w:b/>
          <w:bCs/>
        </w:rPr>
        <w:t xml:space="preserve"> 2 </w:t>
      </w:r>
      <w:r>
        <w:rPr>
          <w:rFonts w:hint="eastAsia"/>
          <w:b/>
          <w:bCs/>
        </w:rPr>
        <w:t xml:space="preserve">政府补助、管理层权力与高管超额薪酬的回归结果（聚类标准误）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模型（3）</w:t>
            </w:r>
          </w:p>
        </w:tc>
        <w:tc>
          <w:tcPr/>
          <w:p>
            <w:pPr>
              <w:pStyle w:val="Compact"/>
              <w:jc w:val="center"/>
            </w:pPr>
            <w:r>
              <w:rPr>
                <w:rFonts w:hint="eastAsia"/>
              </w:rPr>
              <w:t xml:space="preserve">模型（4）</w:t>
            </w:r>
          </w:p>
        </w:tc>
        <w:tc>
          <w:tcPr/>
          <w:p>
            <w:pPr>
              <w:pStyle w:val="Compact"/>
              <w:jc w:val="center"/>
            </w:pPr>
            <w:r>
              <w:rPr>
                <w:rFonts w:hint="eastAsia"/>
              </w:rPr>
              <w:t xml:space="preserve">模型（5）</w:t>
            </w:r>
          </w:p>
        </w:tc>
      </w:tr>
      <w:tr>
        <w:tc>
          <w:tcPr/>
          <w:p>
            <w:pPr>
              <w:pStyle w:val="Compact"/>
            </w:pPr>
          </w:p>
        </w:tc>
        <w:tc>
          <w:tcPr/>
          <w:p>
            <w:pPr>
              <w:pStyle w:val="Compact"/>
              <w:jc w:val="center"/>
            </w:pPr>
            <w:r>
              <w:rPr>
                <w:rFonts w:hint="eastAsia"/>
              </w:rPr>
              <w:t xml:space="preserve">因变量：Overpay</w:t>
            </w:r>
          </w:p>
        </w:tc>
        <w:tc>
          <w:tcPr/>
          <w:p>
            <w:pPr>
              <w:pStyle w:val="Compact"/>
              <w:jc w:val="center"/>
            </w:pPr>
            <w:r>
              <w:rPr>
                <w:rFonts w:hint="eastAsia"/>
              </w:rPr>
              <w:t xml:space="preserve">因变量：Overpay</w:t>
            </w:r>
          </w:p>
        </w:tc>
        <w:tc>
          <w:tcPr/>
          <w:p>
            <w:pPr>
              <w:pStyle w:val="Compact"/>
              <w:jc w:val="center"/>
            </w:pPr>
            <w:r>
              <w:rPr>
                <w:rFonts w:hint="eastAsia"/>
              </w:rPr>
              <w:t xml:space="preserve">因变量：Power</w:t>
            </w:r>
          </w:p>
        </w:tc>
      </w:tr>
      <w:tr>
        <w:tc>
          <w:tcPr/>
          <w:p>
            <w:pPr>
              <w:pStyle w:val="Compact"/>
              <w:jc w:val="left"/>
            </w:pPr>
            <w:r>
              <w:t xml:space="preserve">lnSubsidy</w:t>
            </w:r>
          </w:p>
        </w:tc>
        <w:tc>
          <w:tcPr/>
          <w:p>
            <w:pPr>
              <w:pStyle w:val="Compact"/>
              <w:jc w:val="center"/>
            </w:pPr>
            <w:r>
              <w:t xml:space="preserve">0.0552***</w:t>
            </w:r>
          </w:p>
        </w:tc>
        <w:tc>
          <w:tcPr/>
          <w:p>
            <w:pPr>
              <w:pStyle w:val="Compact"/>
              <w:jc w:val="center"/>
            </w:pPr>
            <w:r>
              <w:t xml:space="preserve">0.0545***</w:t>
            </w:r>
          </w:p>
        </w:tc>
        <w:tc>
          <w:tcPr/>
          <w:p>
            <w:pPr>
              <w:pStyle w:val="Compact"/>
              <w:jc w:val="center"/>
            </w:pPr>
            <w:r>
              <w:t xml:space="preserve">0.0974***</w:t>
            </w:r>
          </w:p>
        </w:tc>
      </w:tr>
      <w:tr>
        <w:tc>
          <w:tcPr/>
          <w:p>
            <w:pPr>
              <w:pStyle w:val="Compact"/>
            </w:pPr>
          </w:p>
        </w:tc>
        <w:tc>
          <w:tcPr/>
          <w:p>
            <w:pPr>
              <w:pStyle w:val="Compact"/>
              <w:jc w:val="center"/>
            </w:pPr>
            <w:r>
              <w:t xml:space="preserve">(14.5621)</w:t>
            </w:r>
          </w:p>
        </w:tc>
        <w:tc>
          <w:tcPr/>
          <w:p>
            <w:pPr>
              <w:pStyle w:val="Compact"/>
              <w:jc w:val="center"/>
            </w:pPr>
            <w:r>
              <w:t xml:space="preserve">(14.3254)</w:t>
            </w:r>
          </w:p>
        </w:tc>
        <w:tc>
          <w:tcPr/>
          <w:p>
            <w:pPr>
              <w:pStyle w:val="Compact"/>
              <w:jc w:val="center"/>
            </w:pPr>
            <w:r>
              <w:t xml:space="preserve">(11.2820)</w:t>
            </w:r>
          </w:p>
        </w:tc>
      </w:tr>
      <w:tr>
        <w:tc>
          <w:tcPr/>
          <w:p>
            <w:pPr>
              <w:pStyle w:val="Compact"/>
              <w:jc w:val="left"/>
            </w:pPr>
            <w:r>
              <w:t xml:space="preserve">Power</w:t>
            </w:r>
          </w:p>
        </w:tc>
        <w:tc>
          <w:tcPr/>
          <w:p>
            <w:pPr>
              <w:pStyle w:val="Compact"/>
              <w:jc w:val="center"/>
            </w:pPr>
            <w:r>
              <w:t xml:space="preserve">—</w:t>
            </w:r>
          </w:p>
        </w:tc>
        <w:tc>
          <w:tcPr/>
          <w:p>
            <w:pPr>
              <w:pStyle w:val="Compact"/>
              <w:jc w:val="center"/>
            </w:pPr>
            <w:r>
              <w:t xml:space="preserve">0.0066</w:t>
            </w:r>
          </w:p>
        </w:tc>
        <w:tc>
          <w:tcPr/>
          <w:p>
            <w:pPr>
              <w:pStyle w:val="Compact"/>
              <w:jc w:val="center"/>
            </w:pPr>
            <w:r>
              <w:t xml:space="preserve">—</w:t>
            </w:r>
          </w:p>
        </w:tc>
      </w:tr>
      <w:tr>
        <w:tc>
          <w:tcPr/>
          <w:p>
            <w:pPr>
              <w:pStyle w:val="Compact"/>
            </w:pPr>
          </w:p>
        </w:tc>
        <w:tc>
          <w:tcPr/>
          <w:p>
            <w:pPr>
              <w:pStyle w:val="Compact"/>
            </w:pPr>
          </w:p>
        </w:tc>
        <w:tc>
          <w:tcPr/>
          <w:p>
            <w:pPr>
              <w:pStyle w:val="Compact"/>
              <w:jc w:val="center"/>
            </w:pPr>
            <w:r>
              <w:t xml:space="preserve">(1.3690)</w:t>
            </w:r>
          </w:p>
        </w:tc>
        <w:tc>
          <w:tcPr/>
          <w:p>
            <w:pPr>
              <w:pStyle w:val="Compact"/>
            </w:pPr>
          </w:p>
        </w:tc>
      </w:tr>
      <w:tr>
        <w:tc>
          <w:tcPr/>
          <w:p>
            <w:pPr>
              <w:pStyle w:val="Compact"/>
              <w:jc w:val="left"/>
            </w:pPr>
            <w:r>
              <w:t xml:space="preserve">Roa</w:t>
            </w:r>
          </w:p>
        </w:tc>
        <w:tc>
          <w:tcPr/>
          <w:p>
            <w:pPr>
              <w:pStyle w:val="Compact"/>
              <w:jc w:val="center"/>
            </w:pPr>
            <w:r>
              <w:t xml:space="preserve">-0.3266***</w:t>
            </w:r>
          </w:p>
        </w:tc>
        <w:tc>
          <w:tcPr/>
          <w:p>
            <w:pPr>
              <w:pStyle w:val="Compact"/>
              <w:jc w:val="center"/>
            </w:pPr>
            <w:r>
              <w:t xml:space="preserve">-0.3277***</w:t>
            </w:r>
          </w:p>
        </w:tc>
        <w:tc>
          <w:tcPr/>
          <w:p>
            <w:pPr>
              <w:pStyle w:val="Compact"/>
              <w:jc w:val="center"/>
            </w:pPr>
            <w:r>
              <w:t xml:space="preserve">0.1652</w:t>
            </w:r>
          </w:p>
        </w:tc>
      </w:tr>
      <w:tr>
        <w:tc>
          <w:tcPr/>
          <w:p>
            <w:pPr>
              <w:pStyle w:val="Compact"/>
            </w:pPr>
          </w:p>
        </w:tc>
        <w:tc>
          <w:tcPr/>
          <w:p>
            <w:pPr>
              <w:pStyle w:val="Compact"/>
              <w:jc w:val="center"/>
            </w:pPr>
            <w:r>
              <w:t xml:space="preserve">(-4.3672)</w:t>
            </w:r>
          </w:p>
        </w:tc>
        <w:tc>
          <w:tcPr/>
          <w:p>
            <w:pPr>
              <w:pStyle w:val="Compact"/>
              <w:jc w:val="center"/>
            </w:pPr>
            <w:r>
              <w:t xml:space="preserve">(-4.3826)</w:t>
            </w:r>
          </w:p>
        </w:tc>
        <w:tc>
          <w:tcPr/>
          <w:p>
            <w:pPr>
              <w:pStyle w:val="Compact"/>
              <w:jc w:val="center"/>
            </w:pPr>
            <w:r>
              <w:t xml:space="preserve">(1.0231)</w:t>
            </w:r>
          </w:p>
        </w:tc>
      </w:tr>
      <w:tr>
        <w:tc>
          <w:tcPr/>
          <w:p>
            <w:pPr>
              <w:pStyle w:val="Compact"/>
              <w:jc w:val="left"/>
            </w:pPr>
            <w:r>
              <w:t xml:space="preserve">Lever</w:t>
            </w:r>
          </w:p>
        </w:tc>
        <w:tc>
          <w:tcPr/>
          <w:p>
            <w:pPr>
              <w:pStyle w:val="Compact"/>
              <w:jc w:val="center"/>
            </w:pPr>
            <w:r>
              <w:t xml:space="preserve">-0.3641***</w:t>
            </w:r>
          </w:p>
        </w:tc>
        <w:tc>
          <w:tcPr/>
          <w:p>
            <w:pPr>
              <w:pStyle w:val="Compact"/>
              <w:jc w:val="center"/>
            </w:pPr>
            <w:r>
              <w:t xml:space="preserve">-0.3715***</w:t>
            </w:r>
          </w:p>
        </w:tc>
        <w:tc>
          <w:tcPr/>
          <w:p>
            <w:pPr>
              <w:pStyle w:val="Compact"/>
              <w:jc w:val="center"/>
            </w:pPr>
            <w:r>
              <w:t xml:space="preserve">1.1194***</w:t>
            </w:r>
          </w:p>
        </w:tc>
      </w:tr>
      <w:tr>
        <w:tc>
          <w:tcPr/>
          <w:p>
            <w:pPr>
              <w:pStyle w:val="Compact"/>
            </w:pPr>
          </w:p>
        </w:tc>
        <w:tc>
          <w:tcPr/>
          <w:p>
            <w:pPr>
              <w:pStyle w:val="Compact"/>
              <w:jc w:val="center"/>
            </w:pPr>
            <w:r>
              <w:t xml:space="preserve">(-11.3824)</w:t>
            </w:r>
          </w:p>
        </w:tc>
        <w:tc>
          <w:tcPr/>
          <w:p>
            <w:pPr>
              <w:pStyle w:val="Compact"/>
              <w:jc w:val="center"/>
            </w:pPr>
            <w:r>
              <w:t xml:space="preserve">(-11.4332)</w:t>
            </w:r>
          </w:p>
        </w:tc>
        <w:tc>
          <w:tcPr/>
          <w:p>
            <w:pPr>
              <w:pStyle w:val="Compact"/>
              <w:jc w:val="center"/>
            </w:pPr>
            <w:r>
              <w:t xml:space="preserve">(15.2589)</w:t>
            </w:r>
          </w:p>
        </w:tc>
      </w:tr>
      <w:tr>
        <w:tc>
          <w:tcPr/>
          <w:p>
            <w:pPr>
              <w:pStyle w:val="Compact"/>
              <w:jc w:val="left"/>
            </w:pPr>
            <w:r>
              <w:t xml:space="preserve">Top1</w:t>
            </w:r>
          </w:p>
        </w:tc>
        <w:tc>
          <w:tcPr/>
          <w:p>
            <w:pPr>
              <w:pStyle w:val="Compact"/>
              <w:jc w:val="center"/>
            </w:pPr>
            <w:r>
              <w:t xml:space="preserve">-0.0037***</w:t>
            </w:r>
          </w:p>
        </w:tc>
        <w:tc>
          <w:tcPr/>
          <w:p>
            <w:pPr>
              <w:pStyle w:val="Compact"/>
              <w:jc w:val="center"/>
            </w:pPr>
            <w:r>
              <w:t xml:space="preserve">-0.0036***</w:t>
            </w:r>
          </w:p>
        </w:tc>
        <w:tc>
          <w:tcPr/>
          <w:p>
            <w:pPr>
              <w:pStyle w:val="Compact"/>
              <w:jc w:val="center"/>
            </w:pPr>
            <w:r>
              <w:t xml:space="preserve">-0.0043***</w:t>
            </w:r>
          </w:p>
        </w:tc>
      </w:tr>
      <w:tr>
        <w:tc>
          <w:tcPr/>
          <w:p>
            <w:pPr>
              <w:pStyle w:val="Compact"/>
            </w:pPr>
          </w:p>
        </w:tc>
        <w:tc>
          <w:tcPr/>
          <w:p>
            <w:pPr>
              <w:pStyle w:val="Compact"/>
              <w:jc w:val="center"/>
            </w:pPr>
            <w:r>
              <w:t xml:space="preserve">(-7.8702)</w:t>
            </w:r>
          </w:p>
        </w:tc>
        <w:tc>
          <w:tcPr/>
          <w:p>
            <w:pPr>
              <w:pStyle w:val="Compact"/>
              <w:jc w:val="center"/>
            </w:pPr>
            <w:r>
              <w:t xml:space="preserve">(-7.7947)</w:t>
            </w:r>
          </w:p>
        </w:tc>
        <w:tc>
          <w:tcPr/>
          <w:p>
            <w:pPr>
              <w:pStyle w:val="Compact"/>
              <w:jc w:val="center"/>
            </w:pPr>
            <w:r>
              <w:t xml:space="preserve">(-3.9967)</w:t>
            </w:r>
          </w:p>
        </w:tc>
      </w:tr>
      <w:tr>
        <w:tc>
          <w:tcPr/>
          <w:p>
            <w:pPr>
              <w:pStyle w:val="Compact"/>
              <w:jc w:val="left"/>
            </w:pPr>
            <w:r>
              <w:t xml:space="preserve">Zone</w:t>
            </w:r>
          </w:p>
        </w:tc>
        <w:tc>
          <w:tcPr/>
          <w:p>
            <w:pPr>
              <w:pStyle w:val="Compact"/>
              <w:jc w:val="center"/>
            </w:pPr>
            <w:r>
              <w:t xml:space="preserve">0.0084</w:t>
            </w:r>
          </w:p>
        </w:tc>
        <w:tc>
          <w:tcPr/>
          <w:p>
            <w:pPr>
              <w:pStyle w:val="Compact"/>
              <w:jc w:val="center"/>
            </w:pPr>
            <w:r>
              <w:t xml:space="preserve">0.0068</w:t>
            </w:r>
          </w:p>
        </w:tc>
        <w:tc>
          <w:tcPr/>
          <w:p>
            <w:pPr>
              <w:pStyle w:val="Compact"/>
              <w:jc w:val="center"/>
            </w:pPr>
            <w:r>
              <w:t xml:space="preserve">0.2479***</w:t>
            </w:r>
          </w:p>
        </w:tc>
      </w:tr>
      <w:tr>
        <w:tc>
          <w:tcPr/>
          <w:p>
            <w:pPr>
              <w:pStyle w:val="Compact"/>
            </w:pPr>
          </w:p>
        </w:tc>
        <w:tc>
          <w:tcPr/>
          <w:p>
            <w:pPr>
              <w:pStyle w:val="Compact"/>
              <w:jc w:val="center"/>
            </w:pPr>
            <w:r>
              <w:t xml:space="preserve">(0.5814)</w:t>
            </w:r>
          </w:p>
        </w:tc>
        <w:tc>
          <w:tcPr/>
          <w:p>
            <w:pPr>
              <w:pStyle w:val="Compact"/>
              <w:jc w:val="center"/>
            </w:pPr>
            <w:r>
              <w:t xml:space="preserve">(0.4655)</w:t>
            </w:r>
          </w:p>
        </w:tc>
        <w:tc>
          <w:tcPr/>
          <w:p>
            <w:pPr>
              <w:pStyle w:val="Compact"/>
              <w:jc w:val="center"/>
            </w:pPr>
            <w:r>
              <w:t xml:space="preserve">(7.4937)</w:t>
            </w:r>
          </w:p>
        </w:tc>
      </w:tr>
      <w:tr>
        <w:tc>
          <w:tcPr/>
          <w:p>
            <w:pPr>
              <w:pStyle w:val="Compact"/>
              <w:jc w:val="left"/>
            </w:pPr>
            <w:r>
              <w:rPr>
                <w:rFonts w:hint="eastAsia"/>
              </w:rPr>
              <w:t xml:space="preserve">行业固定效应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44,861</w:t>
            </w:r>
          </w:p>
        </w:tc>
        <w:tc>
          <w:tcPr/>
          <w:p>
            <w:pPr>
              <w:pStyle w:val="Compact"/>
              <w:jc w:val="center"/>
            </w:pPr>
            <w:r>
              <w:t xml:space="preserve">44,861</w:t>
            </w:r>
          </w:p>
        </w:tc>
        <w:tc>
          <w:tcPr/>
          <w:p>
            <w:pPr>
              <w:pStyle w:val="Compact"/>
              <w:jc w:val="center"/>
            </w:pPr>
            <w:r>
              <w:t xml:space="preserve">44,861</w:t>
            </w:r>
          </w:p>
        </w:tc>
      </w:tr>
      <w:tr>
        <w:tc>
          <w:tcPr/>
          <w:p>
            <w:pPr>
              <w:pStyle w:val="Compact"/>
              <w:jc w:val="left"/>
            </w:pPr>
            <w:r>
              <w:t xml:space="preserve">R²</w:t>
            </w:r>
          </w:p>
        </w:tc>
        <w:tc>
          <w:tcPr/>
          <w:p>
            <w:pPr>
              <w:pStyle w:val="Compact"/>
              <w:jc w:val="center"/>
            </w:pPr>
            <w:r>
              <w:t xml:space="preserve">0.0365</w:t>
            </w:r>
          </w:p>
        </w:tc>
        <w:tc>
          <w:tcPr/>
          <w:p>
            <w:pPr>
              <w:pStyle w:val="Compact"/>
              <w:jc w:val="center"/>
            </w:pPr>
            <w:r>
              <w:t xml:space="preserve">0.0368</w:t>
            </w:r>
          </w:p>
        </w:tc>
        <w:tc>
          <w:tcPr/>
          <w:p>
            <w:pPr>
              <w:pStyle w:val="Compact"/>
              <w:jc w:val="center"/>
            </w:pPr>
            <w:r>
              <w:t xml:space="preserve">0.1426</w:t>
            </w:r>
          </w:p>
        </w:tc>
      </w:tr>
    </w:tbl>
    <w:p>
      <w:pPr>
        <w:pStyle w:val="BodyText"/>
      </w:pPr>
      <w:r>
        <w:rPr>
          <w:rFonts w:hint="eastAsia"/>
        </w:rPr>
        <w:t xml:space="preserve">注：括号内为</w:t>
      </w:r>
      <w:r>
        <w:t xml:space="preserve"> t </w:t>
      </w:r>
      <w:r>
        <w:rPr>
          <w:rFonts w:hint="eastAsia"/>
        </w:rPr>
        <w:t xml:space="preserve">值；***、**、*</w:t>
      </w:r>
      <w:r>
        <w:t xml:space="preserve"> </w:t>
      </w:r>
      <w:r>
        <w:rPr>
          <w:rFonts w:hint="eastAsia"/>
        </w:rPr>
        <w:t xml:space="preserve">分别表示在</w:t>
      </w:r>
      <w:r>
        <w:t xml:space="preserve"> 1%、5%、10% </w:t>
      </w:r>
      <w:r>
        <w:rPr>
          <w:rFonts w:hint="eastAsia"/>
        </w:rPr>
        <w:t xml:space="preserve">水平上显著。标准误为公司层面聚类稳健标准误。</w:t>
      </w:r>
      <w:r>
        <w:t xml:space="preserve">“—”</w:t>
      </w:r>
      <w:r>
        <w:rPr>
          <w:rFonts w:hint="eastAsia"/>
        </w:rPr>
        <w:t xml:space="preserve">表示该模型未纳入此变量。模型（3）为基准回归，不含中介变量</w:t>
      </w:r>
      <w:r>
        <w:t xml:space="preserve"> </w:t>
      </w:r>
      <w:r>
        <w:rPr>
          <w:rFonts w:hint="eastAsia"/>
        </w:rPr>
        <w:t xml:space="preserve">Power；模型（5）以</w:t>
      </w:r>
      <w:r>
        <w:t xml:space="preserve"> Power </w:t>
      </w:r>
      <w:r>
        <w:rPr>
          <w:rFonts w:hint="eastAsia"/>
        </w:rPr>
        <w:t xml:space="preserve">为被解释变量，故</w:t>
      </w:r>
      <w:r>
        <w:t xml:space="preserve"> Power </w:t>
      </w:r>
      <w:r>
        <w:rPr>
          <w:rFonts w:hint="eastAsia"/>
        </w:rPr>
        <w:t xml:space="preserve">不作为自变量出现。三个模型使用统一样本以确保系数可直接对比。</w:t>
      </w:r>
    </w:p>
    <w:p>
      <w:r>
        <w:pict>
          <v:rect style="width:0;height:1.5pt" o:hralign="center" o:hrstd="t" o:hr="t"/>
        </w:pict>
      </w:r>
    </w:p>
    <w:bookmarkEnd w:id="11"/>
    <w:bookmarkStart w:id="12" w:name="中介效应检验"/>
    <w:p>
      <w:pPr>
        <w:pStyle w:val="Heading3"/>
      </w:pPr>
      <w:r>
        <w:t xml:space="preserve">5.3 </w:t>
      </w:r>
      <w:r>
        <w:rPr>
          <w:rFonts w:hint="eastAsia"/>
        </w:rPr>
        <w:t xml:space="preserve">中介效应检验</w:t>
      </w:r>
    </w:p>
    <w:p>
      <w:pPr>
        <w:pStyle w:val="FirstParagraph"/>
      </w:pPr>
      <w:r>
        <w:rPr>
          <w:rFonts w:hint="eastAsia"/>
        </w:rPr>
        <w:t xml:space="preserve">表</w:t>
      </w:r>
      <w:r>
        <w:t xml:space="preserve"> 3 </w:t>
      </w:r>
      <w:r>
        <w:rPr>
          <w:rFonts w:hint="eastAsia"/>
        </w:rPr>
        <w:t xml:space="preserve">报告了基于</w:t>
      </w:r>
      <w:r>
        <w:t xml:space="preserve"> Baron &amp; </w:t>
      </w:r>
      <w:r>
        <w:rPr>
          <w:rFonts w:hint="eastAsia"/>
        </w:rPr>
        <w:t xml:space="preserve">Kenny（1986）三步法及</w:t>
      </w:r>
      <w:r>
        <w:t xml:space="preserve"> Sobel </w:t>
      </w:r>
      <w:r>
        <w:rPr>
          <w:rFonts w:hint="eastAsia"/>
        </w:rPr>
        <w:t xml:space="preserve">检验的管理层权力中介效应结果。</w:t>
      </w:r>
    </w:p>
    <w:p>
      <w:pPr>
        <w:pStyle w:val="BodyText"/>
      </w:pPr>
      <w:r>
        <w:rPr>
          <w:rFonts w:hint="eastAsia"/>
        </w:rPr>
        <w:t xml:space="preserve">第（1）步：lnSubsidy</w:t>
      </w:r>
      <w:r>
        <w:t xml:space="preserve"> </w:t>
      </w:r>
      <w:r>
        <w:rPr>
          <w:rFonts w:hint="eastAsia"/>
        </w:rPr>
        <w:t xml:space="preserve">对</w:t>
      </w:r>
      <w:r>
        <w:t xml:space="preserve"> Overpay </w:t>
      </w:r>
      <w:r>
        <w:rPr>
          <w:rFonts w:hint="eastAsia"/>
        </w:rPr>
        <w:t xml:space="preserve">的总效应显著为正（0.0552，t</w:t>
      </w:r>
      <w:r>
        <w:t xml:space="preserve"> = </w:t>
      </w:r>
      <w:r>
        <w:rPr>
          <w:rFonts w:hint="eastAsia"/>
        </w:rPr>
        <w:t xml:space="preserve">14.56），路径</w:t>
      </w:r>
      <w:r>
        <w:t xml:space="preserve"> c </w:t>
      </w:r>
      <w:r>
        <w:rPr>
          <w:rFonts w:hint="eastAsia"/>
        </w:rPr>
        <w:t xml:space="preserve">成立；</w:t>
      </w:r>
    </w:p>
    <w:p>
      <w:pPr>
        <w:pStyle w:val="BodyText"/>
      </w:pPr>
      <w:r>
        <w:rPr>
          <w:rFonts w:hint="eastAsia"/>
        </w:rPr>
        <w:t xml:space="preserve">第（2）步：lnSubsidy</w:t>
      </w:r>
      <w:r>
        <w:t xml:space="preserve"> </w:t>
      </w:r>
      <w:r>
        <w:rPr>
          <w:rFonts w:hint="eastAsia"/>
        </w:rPr>
        <w:t xml:space="preserve">对</w:t>
      </w:r>
      <w:r>
        <w:t xml:space="preserve"> Power </w:t>
      </w:r>
      <w:r>
        <w:rPr>
          <w:rFonts w:hint="eastAsia"/>
        </w:rPr>
        <w:t xml:space="preserve">显著正向影响（0.0974，t</w:t>
      </w:r>
      <w:r>
        <w:t xml:space="preserve"> = </w:t>
      </w:r>
      <w:r>
        <w:rPr>
          <w:rFonts w:hint="eastAsia"/>
        </w:rPr>
        <w:t xml:space="preserve">11.28），路径</w:t>
      </w:r>
      <w:r>
        <w:t xml:space="preserve"> a </w:t>
      </w:r>
      <w:r>
        <w:rPr>
          <w:rFonts w:hint="eastAsia"/>
        </w:rPr>
        <w:t xml:space="preserve">成立；</w:t>
      </w:r>
    </w:p>
    <w:p>
      <w:pPr>
        <w:pStyle w:val="BodyText"/>
      </w:pPr>
      <w:r>
        <w:rPr>
          <w:rFonts w:hint="eastAsia"/>
        </w:rPr>
        <w:t xml:space="preserve">第（3）步：加入</w:t>
      </w:r>
      <w:r>
        <w:t xml:space="preserve"> Power </w:t>
      </w:r>
      <w:r>
        <w:rPr>
          <w:rFonts w:hint="eastAsia"/>
        </w:rPr>
        <w:t xml:space="preserve">后，Power</w:t>
      </w:r>
      <w:r>
        <w:t xml:space="preserve"> </w:t>
      </w:r>
      <w:r>
        <w:rPr>
          <w:rFonts w:hint="eastAsia"/>
        </w:rPr>
        <w:t xml:space="preserve">对</w:t>
      </w:r>
      <w:r>
        <w:t xml:space="preserve"> Overpay </w:t>
      </w:r>
      <w:r>
        <w:rPr>
          <w:rFonts w:hint="eastAsia"/>
        </w:rPr>
        <w:t xml:space="preserve">的系数为</w:t>
      </w:r>
      <w:r>
        <w:t xml:space="preserve"> </w:t>
      </w:r>
      <w:r>
        <w:rPr>
          <w:rFonts w:hint="eastAsia"/>
        </w:rPr>
        <w:t xml:space="preserve">0.0066（t</w:t>
      </w:r>
      <w:r>
        <w:t xml:space="preserve"> = </w:t>
      </w:r>
      <w:r>
        <w:rPr>
          <w:rFonts w:hint="eastAsia"/>
        </w:rPr>
        <w:t xml:space="preserve">1.37），统计上不显著，路径</w:t>
      </w:r>
      <w:r>
        <w:t xml:space="preserve"> b</w:t>
      </w:r>
      <w:r>
        <w:t xml:space="preserve"> </w:t>
      </w:r>
      <w:r>
        <w:rPr>
          <w:rFonts w:hint="eastAsia"/>
          <w:b/>
          <w:bCs/>
        </w:rPr>
        <w:t xml:space="preserve">不成立</w:t>
      </w:r>
      <w:r>
        <w:rPr>
          <w:rFonts w:hint="eastAsia"/>
        </w:rPr>
        <w:t xml:space="preserve">；lnSubsidy</w:t>
      </w:r>
      <w:r>
        <w:t xml:space="preserve"> </w:t>
      </w:r>
      <w:r>
        <w:rPr>
          <w:rFonts w:hint="eastAsia"/>
        </w:rPr>
        <w:t xml:space="preserve">直接效应系数从</w:t>
      </w:r>
      <w:r>
        <w:t xml:space="preserve"> 0.0552 </w:t>
      </w:r>
      <w:r>
        <w:rPr>
          <w:rFonts w:hint="eastAsia"/>
        </w:rPr>
        <w:t xml:space="preserve">微降至</w:t>
      </w:r>
      <w:r>
        <w:t xml:space="preserve"> </w:t>
      </w:r>
      <w:r>
        <w:rPr>
          <w:rFonts w:hint="eastAsia"/>
        </w:rPr>
        <w:t xml:space="preserve">0.0545，几乎无变化。</w:t>
      </w:r>
    </w:p>
    <w:p>
      <w:pPr>
        <w:pStyle w:val="BodyText"/>
      </w:pPr>
      <w:r>
        <w:t xml:space="preserve">Sobel </w:t>
      </w:r>
      <w:r>
        <w:rPr>
          <w:rFonts w:hint="eastAsia"/>
        </w:rPr>
        <w:t xml:space="preserve">检验显示间接效应为</w:t>
      </w:r>
      <w:r>
        <w:t xml:space="preserve"> a × b = 0.0974 × 0.0066 ≈ </w:t>
      </w:r>
      <w:r>
        <w:rPr>
          <w:rFonts w:hint="eastAsia"/>
        </w:rPr>
        <w:t xml:space="preserve">0.000643，</w:t>
      </w:r>
      <w:r>
        <w:rPr>
          <w:rFonts w:hint="eastAsia"/>
          <w:b/>
          <w:bCs/>
        </w:rPr>
        <w:t xml:space="preserve">完全不显著</w:t>
      </w:r>
      <w:r>
        <w:rPr>
          <w:rFonts w:hint="eastAsia"/>
        </w:rPr>
        <w:t xml:space="preserve">，中介效应占总效应比例仅约</w:t>
      </w:r>
      <w:r>
        <w:t xml:space="preserve"> 1.16%。</w:t>
      </w:r>
    </w:p>
    <w:p>
      <w:pPr>
        <w:pStyle w:val="BodyText"/>
      </w:pPr>
      <w:r>
        <w:rPr>
          <w:rFonts w:hint="eastAsia"/>
          <w:b/>
          <w:bCs/>
        </w:rPr>
        <w:t xml:space="preserve">表</w:t>
      </w:r>
      <w:r>
        <w:rPr>
          <w:b/>
          <w:bCs/>
        </w:rPr>
        <w:t xml:space="preserve"> 3 </w:t>
      </w:r>
      <w:r>
        <w:rPr>
          <w:rFonts w:hint="eastAsia"/>
          <w:b/>
          <w:bCs/>
        </w:rPr>
        <w:t xml:space="preserve">管理层权力中介效应检验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路径</w:t>
            </w:r>
          </w:p>
        </w:tc>
        <w:tc>
          <w:tcPr/>
          <w:p>
            <w:pPr>
              <w:pStyle w:val="Compact"/>
              <w:jc w:val="center"/>
            </w:pPr>
            <w:r>
              <w:rPr>
                <w:rFonts w:hint="eastAsia"/>
              </w:rPr>
              <w:t xml:space="preserve">系数</w:t>
            </w:r>
          </w:p>
        </w:tc>
        <w:tc>
          <w:tcPr/>
          <w:p>
            <w:pPr>
              <w:pStyle w:val="Compact"/>
              <w:jc w:val="center"/>
            </w:pPr>
            <w:r>
              <w:t xml:space="preserve">t </w:t>
            </w:r>
            <w:r>
              <w:rPr>
                <w:rFonts w:hint="eastAsia"/>
              </w:rPr>
              <w:t xml:space="preserve">值</w:t>
            </w:r>
          </w:p>
        </w:tc>
        <w:tc>
          <w:tcPr/>
          <w:p>
            <w:pPr>
              <w:pStyle w:val="Compact"/>
              <w:jc w:val="center"/>
            </w:pPr>
            <w:r>
              <w:t xml:space="preserve">Sobel </w:t>
            </w:r>
            <w:r>
              <w:rPr>
                <w:rFonts w:hint="eastAsia"/>
              </w:rPr>
              <w:t xml:space="preserve">检验</w:t>
            </w:r>
          </w:p>
        </w:tc>
      </w:tr>
      <w:tr>
        <w:tc>
          <w:tcPr/>
          <w:p>
            <w:pPr>
              <w:pStyle w:val="Compact"/>
              <w:jc w:val="left"/>
            </w:pPr>
            <w:r>
              <w:t xml:space="preserve">lnSubsidy → </w:t>
            </w:r>
            <w:r>
              <w:rPr>
                <w:rFonts w:hint="eastAsia"/>
              </w:rPr>
              <w:t xml:space="preserve">Overpay（总效应</w:t>
            </w:r>
            <w:r>
              <w:t xml:space="preserve"> </w:t>
            </w:r>
            <w:r>
              <w:rPr>
                <w:rFonts w:hint="eastAsia"/>
              </w:rPr>
              <w:t xml:space="preserve">c）</w:t>
            </w:r>
          </w:p>
        </w:tc>
        <w:tc>
          <w:tcPr/>
          <w:p>
            <w:pPr>
              <w:pStyle w:val="Compact"/>
              <w:jc w:val="center"/>
            </w:pPr>
            <w:r>
              <w:t xml:space="preserve">0.0552***</w:t>
            </w:r>
          </w:p>
        </w:tc>
        <w:tc>
          <w:tcPr/>
          <w:p>
            <w:pPr>
              <w:pStyle w:val="Compact"/>
              <w:jc w:val="center"/>
            </w:pPr>
            <w:r>
              <w:t xml:space="preserve">14.56</w:t>
            </w:r>
          </w:p>
        </w:tc>
        <w:tc>
          <w:tcPr/>
          <w:p>
            <w:pPr>
              <w:pStyle w:val="Compact"/>
            </w:pPr>
          </w:p>
        </w:tc>
      </w:tr>
      <w:tr>
        <w:tc>
          <w:tcPr/>
          <w:p>
            <w:pPr>
              <w:pStyle w:val="Compact"/>
              <w:jc w:val="left"/>
            </w:pPr>
            <w:r>
              <w:t xml:space="preserve">lnSubsidy → </w:t>
            </w:r>
            <w:r>
              <w:rPr>
                <w:rFonts w:hint="eastAsia"/>
              </w:rPr>
              <w:t xml:space="preserve">Power（路径</w:t>
            </w:r>
            <w:r>
              <w:t xml:space="preserve"> </w:t>
            </w:r>
            <w:r>
              <w:rPr>
                <w:rFonts w:hint="eastAsia"/>
              </w:rPr>
              <w:t xml:space="preserve">a）</w:t>
            </w:r>
          </w:p>
        </w:tc>
        <w:tc>
          <w:tcPr/>
          <w:p>
            <w:pPr>
              <w:pStyle w:val="Compact"/>
              <w:jc w:val="center"/>
            </w:pPr>
            <w:r>
              <w:t xml:space="preserve">0.0974***</w:t>
            </w:r>
          </w:p>
        </w:tc>
        <w:tc>
          <w:tcPr/>
          <w:p>
            <w:pPr>
              <w:pStyle w:val="Compact"/>
              <w:jc w:val="center"/>
            </w:pPr>
            <w:r>
              <w:t xml:space="preserve">11.28</w:t>
            </w:r>
          </w:p>
        </w:tc>
        <w:tc>
          <w:tcPr/>
          <w:p>
            <w:pPr>
              <w:pStyle w:val="Compact"/>
            </w:pPr>
          </w:p>
        </w:tc>
      </w:tr>
      <w:tr>
        <w:tc>
          <w:tcPr/>
          <w:p>
            <w:pPr>
              <w:pStyle w:val="Compact"/>
              <w:jc w:val="left"/>
            </w:pPr>
            <w:r>
              <w:t xml:space="preserve">Power → </w:t>
            </w:r>
            <w:r>
              <w:rPr>
                <w:rFonts w:hint="eastAsia"/>
              </w:rPr>
              <w:t xml:space="preserve">Overpay（路径</w:t>
            </w:r>
            <w:r>
              <w:t xml:space="preserve"> </w:t>
            </w:r>
            <w:r>
              <w:rPr>
                <w:rFonts w:hint="eastAsia"/>
              </w:rPr>
              <w:t xml:space="preserve">b）</w:t>
            </w:r>
          </w:p>
        </w:tc>
        <w:tc>
          <w:tcPr/>
          <w:p>
            <w:pPr>
              <w:pStyle w:val="Compact"/>
              <w:jc w:val="center"/>
            </w:pPr>
            <w:r>
              <w:t xml:space="preserve">0.0066</w:t>
            </w:r>
          </w:p>
        </w:tc>
        <w:tc>
          <w:tcPr/>
          <w:p>
            <w:pPr>
              <w:pStyle w:val="Compact"/>
              <w:jc w:val="center"/>
            </w:pPr>
            <w:r>
              <w:t xml:space="preserve">1.37</w:t>
            </w:r>
          </w:p>
        </w:tc>
        <w:tc>
          <w:tcPr/>
          <w:p>
            <w:pPr>
              <w:pStyle w:val="Compact"/>
            </w:pPr>
          </w:p>
        </w:tc>
      </w:tr>
      <w:tr>
        <w:tc>
          <w:tcPr/>
          <w:p>
            <w:pPr>
              <w:pStyle w:val="Compact"/>
              <w:jc w:val="left"/>
            </w:pPr>
            <w:r>
              <w:t xml:space="preserve">lnSubsidy → </w:t>
            </w:r>
            <w:r>
              <w:rPr>
                <w:rFonts w:hint="eastAsia"/>
              </w:rPr>
              <w:t xml:space="preserve">Overpay（直接效应</w:t>
            </w:r>
            <w:r>
              <w:t xml:space="preserve"> </w:t>
            </w:r>
            <w:r>
              <w:rPr>
                <w:rFonts w:hint="eastAsia"/>
              </w:rPr>
              <w:t xml:space="preserve">c′）</w:t>
            </w:r>
          </w:p>
        </w:tc>
        <w:tc>
          <w:tcPr/>
          <w:p>
            <w:pPr>
              <w:pStyle w:val="Compact"/>
              <w:jc w:val="center"/>
            </w:pPr>
            <w:r>
              <w:t xml:space="preserve">0.0545***</w:t>
            </w:r>
          </w:p>
        </w:tc>
        <w:tc>
          <w:tcPr/>
          <w:p>
            <w:pPr>
              <w:pStyle w:val="Compact"/>
              <w:jc w:val="center"/>
            </w:pPr>
            <w:r>
              <w:t xml:space="preserve">14.33</w:t>
            </w:r>
          </w:p>
        </w:tc>
        <w:tc>
          <w:tcPr/>
          <w:p>
            <w:pPr>
              <w:pStyle w:val="Compact"/>
            </w:pPr>
          </w:p>
        </w:tc>
      </w:tr>
      <w:tr>
        <w:tc>
          <w:tcPr/>
          <w:p>
            <w:pPr>
              <w:pStyle w:val="Compact"/>
              <w:jc w:val="left"/>
            </w:pPr>
            <w:r>
              <w:rPr>
                <w:rFonts w:hint="eastAsia"/>
              </w:rPr>
              <w:t xml:space="preserve">间接效应（a</w:t>
            </w:r>
            <w:r>
              <w:t xml:space="preserve"> × </w:t>
            </w:r>
            <w:r>
              <w:rPr>
                <w:rFonts w:hint="eastAsia"/>
              </w:rPr>
              <w:t xml:space="preserve">b）</w:t>
            </w:r>
          </w:p>
        </w:tc>
        <w:tc>
          <w:tcPr/>
          <w:p>
            <w:pPr>
              <w:pStyle w:val="Compact"/>
              <w:jc w:val="center"/>
            </w:pPr>
            <w:r>
              <w:t xml:space="preserve">0.000643</w:t>
            </w:r>
          </w:p>
        </w:tc>
        <w:tc>
          <w:tcPr/>
          <w:p>
            <w:pPr>
              <w:pStyle w:val="Compact"/>
            </w:pPr>
          </w:p>
        </w:tc>
        <w:tc>
          <w:tcPr/>
          <w:p>
            <w:pPr>
              <w:pStyle w:val="Compact"/>
              <w:jc w:val="center"/>
            </w:pPr>
            <w:r>
              <w:rPr>
                <w:rFonts w:hint="eastAsia"/>
              </w:rPr>
              <w:t xml:space="preserve">不显著</w:t>
            </w:r>
          </w:p>
        </w:tc>
      </w:tr>
    </w:tbl>
    <w:p>
      <w:pPr>
        <w:pStyle w:val="BodyText"/>
      </w:pPr>
      <w:r>
        <w:rPr>
          <w:rFonts w:hint="eastAsia"/>
        </w:rPr>
        <w:t xml:space="preserve">注：***</w:t>
      </w:r>
      <w:r>
        <w:t xml:space="preserve"> p &lt; </w:t>
      </w:r>
      <w:r>
        <w:rPr>
          <w:rFonts w:hint="eastAsia"/>
        </w:rPr>
        <w:t xml:space="preserve">0.01。控制变量包括</w:t>
      </w:r>
      <w:r>
        <w:t xml:space="preserve"> Roa、Lever、Top1、Zone </w:t>
      </w:r>
      <w:r>
        <w:rPr>
          <w:rFonts w:hint="eastAsia"/>
        </w:rPr>
        <w:t xml:space="preserve">及行业和年份固定效应。</w:t>
      </w:r>
    </w:p>
    <w:p>
      <w:pPr>
        <w:pStyle w:val="BodyText"/>
      </w:pPr>
      <w:r>
        <w:rPr>
          <w:rFonts w:hint="eastAsia"/>
        </w:rPr>
        <w:t xml:space="preserve">上述结果表明，在全样本下，管理层权力对高管超额薪酬的直接影响微弱且统计不显著，</w:t>
      </w:r>
      <w:r>
        <w:rPr>
          <w:rFonts w:hint="eastAsia"/>
          <w:b/>
          <w:bCs/>
        </w:rPr>
        <w:t xml:space="preserve">假设</w:t>
      </w:r>
      <w:r>
        <w:rPr>
          <w:b/>
          <w:bCs/>
        </w:rPr>
        <w:t xml:space="preserve"> H2 </w:t>
      </w:r>
      <w:r>
        <w:rPr>
          <w:rFonts w:hint="eastAsia"/>
          <w:b/>
          <w:bCs/>
        </w:rPr>
        <w:t xml:space="preserve">在全样本条件下不成立</w:t>
      </w:r>
      <w:r>
        <w:rPr>
          <w:rFonts w:hint="eastAsia"/>
        </w:rPr>
        <w:t xml:space="preserve">。这一结果与参考论文（刘剑民，2019）结论存在差异，可能原因在于：（1）本文样本涵盖全部</w:t>
      </w:r>
      <w:r>
        <w:t xml:space="preserve"> A </w:t>
      </w:r>
      <w:r>
        <w:rPr>
          <w:rFonts w:hint="eastAsia"/>
        </w:rPr>
        <w:t xml:space="preserve">股（N</w:t>
      </w:r>
      <w:r>
        <w:t xml:space="preserve"> = </w:t>
      </w:r>
      <w:r>
        <w:rPr>
          <w:rFonts w:hint="eastAsia"/>
        </w:rPr>
        <w:t xml:space="preserve">44,861），而参考论文仅研究国有企业子样本（N</w:t>
      </w:r>
      <w:r>
        <w:t xml:space="preserve"> = </w:t>
      </w:r>
      <w:r>
        <w:rPr>
          <w:rFonts w:hint="eastAsia"/>
        </w:rPr>
        <w:t xml:space="preserve">1,974），管理层权力→超额薪酬的逻辑更依赖于国有体制下的所有者缺位与内部人控制；（2）本文样本跨</w:t>
      </w:r>
      <w:r>
        <w:t xml:space="preserve"> 22 </w:t>
      </w:r>
      <w:r>
        <w:rPr>
          <w:rFonts w:hint="eastAsia"/>
        </w:rPr>
        <w:t xml:space="preserve">年（2003–2024），随着公司治理水平持续提升，管理层权力对薪酬的影响可能被逐步压缩。</w:t>
      </w:r>
    </w:p>
    <w:p>
      <w:r>
        <w:pict>
          <v:rect style="width:0;height:1.5pt" o:hralign="center" o:hrstd="t" o:hr="t"/>
        </w:pict>
      </w:r>
    </w:p>
    <w:bookmarkEnd w:id="12"/>
    <w:bookmarkStart w:id="16" w:name="异质性分析"/>
    <w:p>
      <w:pPr>
        <w:pStyle w:val="Heading3"/>
      </w:pPr>
      <w:r>
        <w:t xml:space="preserve">5.4 </w:t>
      </w:r>
      <w:r>
        <w:rPr>
          <w:rFonts w:hint="eastAsia"/>
        </w:rPr>
        <w:t xml:space="preserve">异质性分析</w:t>
      </w:r>
    </w:p>
    <w:bookmarkStart w:id="13" w:name="分产权性质"/>
    <w:p>
      <w:pPr>
        <w:pStyle w:val="Heading4"/>
      </w:pPr>
      <w:r>
        <w:t xml:space="preserve">5.4.1 </w:t>
      </w:r>
      <w:r>
        <w:rPr>
          <w:rFonts w:hint="eastAsia"/>
        </w:rPr>
        <w:t xml:space="preserve">分产权性质</w:t>
      </w:r>
    </w:p>
    <w:p>
      <w:pPr>
        <w:pStyle w:val="FirstParagraph"/>
      </w:pPr>
      <w:r>
        <w:rPr>
          <w:rFonts w:hint="eastAsia"/>
        </w:rPr>
        <w:t xml:space="preserve">表</w:t>
      </w:r>
      <w:r>
        <w:t xml:space="preserve"> 4 </w:t>
      </w:r>
      <w:r>
        <w:rPr>
          <w:rFonts w:hint="eastAsia"/>
        </w:rPr>
        <w:t xml:space="preserve">报告了按产权性质分组的回归结果。在国有企业子样本（N</w:t>
      </w:r>
      <w:r>
        <w:t xml:space="preserve"> = </w:t>
      </w:r>
      <w:r>
        <w:rPr>
          <w:rFonts w:hint="eastAsia"/>
        </w:rPr>
        <w:t xml:space="preserve">15,644）中，lnSubsidy</w:t>
      </w:r>
      <w:r>
        <w:t xml:space="preserve"> </w:t>
      </w:r>
      <w:r>
        <w:rPr>
          <w:rFonts w:hint="eastAsia"/>
        </w:rPr>
        <w:t xml:space="preserve">的系数为</w:t>
      </w:r>
      <w:r>
        <w:t xml:space="preserve"> </w:t>
      </w:r>
      <w:r>
        <w:rPr>
          <w:rFonts w:hint="eastAsia"/>
        </w:rPr>
        <w:t xml:space="preserve">0.0416（t</w:t>
      </w:r>
      <w:r>
        <w:t xml:space="preserve"> = </w:t>
      </w:r>
      <w:r>
        <w:rPr>
          <w:rFonts w:hint="eastAsia"/>
        </w:rPr>
        <w:t xml:space="preserve">7.41，p</w:t>
      </w:r>
      <w:r>
        <w:t xml:space="preserve"> &lt; </w:t>
      </w:r>
      <w:r>
        <w:rPr>
          <w:rFonts w:hint="eastAsia"/>
        </w:rPr>
        <w:t xml:space="preserve">0.01）；在非国有企业子样本（N</w:t>
      </w:r>
      <w:r>
        <w:t xml:space="preserve"> = </w:t>
      </w:r>
      <w:r>
        <w:rPr>
          <w:rFonts w:hint="eastAsia"/>
        </w:rPr>
        <w:t xml:space="preserve">29,036）中，lnSubsidy</w:t>
      </w:r>
      <w:r>
        <w:t xml:space="preserve"> </w:t>
      </w:r>
      <w:r>
        <w:rPr>
          <w:rFonts w:hint="eastAsia"/>
        </w:rPr>
        <w:t xml:space="preserve">的系数为</w:t>
      </w:r>
      <w:r>
        <w:t xml:space="preserve"> </w:t>
      </w:r>
      <w:r>
        <w:rPr>
          <w:rFonts w:hint="eastAsia"/>
        </w:rPr>
        <w:t xml:space="preserve">0.0734（t</w:t>
      </w:r>
      <w:r>
        <w:t xml:space="preserve"> = </w:t>
      </w:r>
      <w:r>
        <w:rPr>
          <w:rFonts w:hint="eastAsia"/>
        </w:rPr>
        <w:t xml:space="preserve">14.29，p</w:t>
      </w:r>
      <w:r>
        <w:t xml:space="preserve"> &lt; </w:t>
      </w:r>
      <w:r>
        <w:rPr>
          <w:rFonts w:hint="eastAsia"/>
        </w:rPr>
        <w:t xml:space="preserve">0.01）。非国有企业中政府补助对超额薪酬的影响显著更强（0.0734</w:t>
      </w:r>
      <w:r>
        <w:t xml:space="preserve"> vs. </w:t>
      </w:r>
      <w:r>
        <w:rPr>
          <w:rFonts w:hint="eastAsia"/>
        </w:rPr>
        <w:t xml:space="preserve">0.0416），表明国有企业的薪酬管控制度在一定程度上抑制了财政补贴向超额薪酬的转化。值得注意的是，Power</w:t>
      </w:r>
      <w:r>
        <w:t xml:space="preserve"> </w:t>
      </w:r>
      <w:r>
        <w:rPr>
          <w:rFonts w:hint="eastAsia"/>
        </w:rPr>
        <w:t xml:space="preserve">在两类样本均呈弱显著（国有：系数</w:t>
      </w:r>
      <w:r>
        <w:t xml:space="preserve"> </w:t>
      </w:r>
      <w:r>
        <w:rPr>
          <w:rFonts w:hint="eastAsia"/>
        </w:rPr>
        <w:t xml:space="preserve">0.0151，t</w:t>
      </w:r>
      <w:r>
        <w:t xml:space="preserve"> = </w:t>
      </w:r>
      <w:r>
        <w:rPr>
          <w:rFonts w:hint="eastAsia"/>
        </w:rPr>
        <w:t xml:space="preserve">1.67，p</w:t>
      </w:r>
      <w:r>
        <w:t xml:space="preserve"> &lt; </w:t>
      </w:r>
      <w:r>
        <w:rPr>
          <w:rFonts w:hint="eastAsia"/>
        </w:rPr>
        <w:t xml:space="preserve">0.1；非国有：系数</w:t>
      </w:r>
      <w:r>
        <w:t xml:space="preserve"> </w:t>
      </w:r>
      <w:r>
        <w:rPr>
          <w:rFonts w:hint="eastAsia"/>
        </w:rPr>
        <w:t xml:space="preserve">0.0106，t</w:t>
      </w:r>
      <w:r>
        <w:t xml:space="preserve"> = </w:t>
      </w:r>
      <w:r>
        <w:rPr>
          <w:rFonts w:hint="eastAsia"/>
        </w:rPr>
        <w:t xml:space="preserve">1.72，p</w:t>
      </w:r>
      <w:r>
        <w:t xml:space="preserve"> &lt; </w:t>
      </w:r>
      <w:r>
        <w:rPr>
          <w:rFonts w:hint="eastAsia"/>
        </w:rPr>
        <w:t xml:space="preserve">0.1），提示管理层权力在产权子样本中存在边际中介线索，为</w:t>
      </w:r>
      <w:r>
        <w:t xml:space="preserve"> H2 </w:t>
      </w:r>
      <w:r>
        <w:rPr>
          <w:rFonts w:hint="eastAsia"/>
        </w:rPr>
        <w:t xml:space="preserve">的制度依赖性提供了初步证据。</w:t>
      </w:r>
    </w:p>
    <w:p>
      <w:pPr>
        <w:pStyle w:val="BodyText"/>
      </w:pPr>
      <w:r>
        <w:rPr>
          <w:rFonts w:hint="eastAsia"/>
          <w:b/>
          <w:bCs/>
        </w:rPr>
        <w:t xml:space="preserve">表</w:t>
      </w:r>
      <w:r>
        <w:rPr>
          <w:b/>
          <w:bCs/>
        </w:rPr>
        <w:t xml:space="preserve"> 4 </w:t>
      </w:r>
      <w:r>
        <w:rPr>
          <w:rFonts w:hint="eastAsia"/>
          <w:b/>
          <w:bCs/>
        </w:rPr>
        <w:t xml:space="preserve">分产权性质回归结果（聚类标准误）</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国有-模型（3）</w:t>
            </w:r>
          </w:p>
        </w:tc>
        <w:tc>
          <w:tcPr/>
          <w:p>
            <w:pPr>
              <w:pStyle w:val="Compact"/>
              <w:jc w:val="center"/>
            </w:pPr>
            <w:r>
              <w:rPr>
                <w:rFonts w:hint="eastAsia"/>
              </w:rPr>
              <w:t xml:space="preserve">国有-模型（4）</w:t>
            </w:r>
          </w:p>
        </w:tc>
        <w:tc>
          <w:tcPr/>
          <w:p>
            <w:pPr>
              <w:pStyle w:val="Compact"/>
              <w:jc w:val="center"/>
            </w:pPr>
            <w:r>
              <w:rPr>
                <w:rFonts w:hint="eastAsia"/>
              </w:rPr>
              <w:t xml:space="preserve">非国有-模型（3）</w:t>
            </w:r>
          </w:p>
        </w:tc>
        <w:tc>
          <w:tcPr/>
          <w:p>
            <w:pPr>
              <w:pStyle w:val="Compact"/>
              <w:jc w:val="center"/>
            </w:pPr>
            <w:r>
              <w:rPr>
                <w:rFonts w:hint="eastAsia"/>
              </w:rPr>
              <w:t xml:space="preserve">非国有-模型（4）</w:t>
            </w:r>
          </w:p>
        </w:tc>
      </w:tr>
      <w:tr>
        <w:tc>
          <w:tcPr/>
          <w:p>
            <w:pPr>
              <w:pStyle w:val="Compact"/>
            </w:pP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r>
      <w:tr>
        <w:tc>
          <w:tcPr/>
          <w:p>
            <w:pPr>
              <w:pStyle w:val="Compact"/>
              <w:jc w:val="left"/>
            </w:pPr>
            <w:r>
              <w:t xml:space="preserve">lnSubsidy</w:t>
            </w:r>
          </w:p>
        </w:tc>
        <w:tc>
          <w:tcPr/>
          <w:p>
            <w:pPr>
              <w:pStyle w:val="Compact"/>
              <w:jc w:val="center"/>
            </w:pPr>
            <w:r>
              <w:t xml:space="preserve">0.0416***</w:t>
            </w:r>
          </w:p>
        </w:tc>
        <w:tc>
          <w:tcPr/>
          <w:p>
            <w:pPr>
              <w:pStyle w:val="Compact"/>
              <w:jc w:val="center"/>
            </w:pPr>
            <w:r>
              <w:t xml:space="preserve">0.0409***</w:t>
            </w:r>
          </w:p>
        </w:tc>
        <w:tc>
          <w:tcPr/>
          <w:p>
            <w:pPr>
              <w:pStyle w:val="Compact"/>
              <w:jc w:val="center"/>
            </w:pPr>
            <w:r>
              <w:t xml:space="preserve">0.0734***</w:t>
            </w:r>
          </w:p>
        </w:tc>
        <w:tc>
          <w:tcPr/>
          <w:p>
            <w:pPr>
              <w:pStyle w:val="Compact"/>
              <w:jc w:val="center"/>
            </w:pPr>
            <w:r>
              <w:t xml:space="preserve">0.0724***</w:t>
            </w:r>
          </w:p>
        </w:tc>
      </w:tr>
      <w:tr>
        <w:tc>
          <w:tcPr/>
          <w:p>
            <w:pPr>
              <w:pStyle w:val="Compact"/>
            </w:pPr>
          </w:p>
        </w:tc>
        <w:tc>
          <w:tcPr/>
          <w:p>
            <w:pPr>
              <w:pStyle w:val="Compact"/>
              <w:jc w:val="center"/>
            </w:pPr>
            <w:r>
              <w:t xml:space="preserve">(7.4120)</w:t>
            </w:r>
          </w:p>
        </w:tc>
        <w:tc>
          <w:tcPr/>
          <w:p>
            <w:pPr>
              <w:pStyle w:val="Compact"/>
              <w:jc w:val="center"/>
            </w:pPr>
            <w:r>
              <w:t xml:space="preserve">(7.3039)</w:t>
            </w:r>
          </w:p>
        </w:tc>
        <w:tc>
          <w:tcPr/>
          <w:p>
            <w:pPr>
              <w:pStyle w:val="Compact"/>
              <w:jc w:val="center"/>
            </w:pPr>
            <w:r>
              <w:t xml:space="preserve">(14.2904)</w:t>
            </w:r>
          </w:p>
        </w:tc>
        <w:tc>
          <w:tcPr/>
          <w:p>
            <w:pPr>
              <w:pStyle w:val="Compact"/>
              <w:jc w:val="center"/>
            </w:pPr>
            <w:r>
              <w:t xml:space="preserve">(14.0695)</w:t>
            </w:r>
          </w:p>
        </w:tc>
      </w:tr>
      <w:tr>
        <w:tc>
          <w:tcPr/>
          <w:p>
            <w:pPr>
              <w:pStyle w:val="Compact"/>
              <w:jc w:val="left"/>
            </w:pPr>
            <w:r>
              <w:t xml:space="preserve">Power</w:t>
            </w:r>
          </w:p>
        </w:tc>
        <w:tc>
          <w:tcPr/>
          <w:p>
            <w:pPr>
              <w:pStyle w:val="Compact"/>
              <w:jc w:val="center"/>
            </w:pPr>
            <w:r>
              <w:t xml:space="preserve">—</w:t>
            </w:r>
          </w:p>
        </w:tc>
        <w:tc>
          <w:tcPr/>
          <w:p>
            <w:pPr>
              <w:pStyle w:val="Compact"/>
              <w:jc w:val="center"/>
            </w:pPr>
            <w:r>
              <w:t xml:space="preserve">0.0151*</w:t>
            </w:r>
          </w:p>
        </w:tc>
        <w:tc>
          <w:tcPr/>
          <w:p>
            <w:pPr>
              <w:pStyle w:val="Compact"/>
              <w:jc w:val="center"/>
            </w:pPr>
            <w:r>
              <w:t xml:space="preserve">—</w:t>
            </w:r>
          </w:p>
        </w:tc>
        <w:tc>
          <w:tcPr/>
          <w:p>
            <w:pPr>
              <w:pStyle w:val="Compact"/>
              <w:jc w:val="center"/>
            </w:pPr>
            <w:r>
              <w:t xml:space="preserve">0.0106*</w:t>
            </w:r>
          </w:p>
        </w:tc>
      </w:tr>
      <w:tr>
        <w:tc>
          <w:tcPr/>
          <w:p>
            <w:pPr>
              <w:pStyle w:val="Compact"/>
            </w:pPr>
          </w:p>
        </w:tc>
        <w:tc>
          <w:tcPr/>
          <w:p>
            <w:pPr>
              <w:pStyle w:val="Compact"/>
            </w:pPr>
          </w:p>
        </w:tc>
        <w:tc>
          <w:tcPr/>
          <w:p>
            <w:pPr>
              <w:pStyle w:val="Compact"/>
              <w:jc w:val="center"/>
            </w:pPr>
            <w:r>
              <w:t xml:space="preserve">(1.6703)</w:t>
            </w:r>
          </w:p>
        </w:tc>
        <w:tc>
          <w:tcPr/>
          <w:p>
            <w:pPr>
              <w:pStyle w:val="Compact"/>
            </w:pPr>
          </w:p>
        </w:tc>
        <w:tc>
          <w:tcPr/>
          <w:p>
            <w:pPr>
              <w:pStyle w:val="Compact"/>
              <w:jc w:val="center"/>
            </w:pPr>
            <w:r>
              <w:t xml:space="preserve">(1.7224)</w:t>
            </w:r>
          </w:p>
        </w:tc>
      </w:tr>
      <w:tr>
        <w:tc>
          <w:tcPr/>
          <w:p>
            <w:pPr>
              <w:pStyle w:val="Compact"/>
              <w:jc w:val="left"/>
            </w:pPr>
            <w:r>
              <w:t xml:space="preserve">Roa</w:t>
            </w:r>
          </w:p>
        </w:tc>
        <w:tc>
          <w:tcPr/>
          <w:p>
            <w:pPr>
              <w:pStyle w:val="Compact"/>
              <w:jc w:val="center"/>
            </w:pPr>
            <w:r>
              <w:t xml:space="preserve">0.6054***</w:t>
            </w:r>
          </w:p>
        </w:tc>
        <w:tc>
          <w:tcPr/>
          <w:p>
            <w:pPr>
              <w:pStyle w:val="Compact"/>
              <w:jc w:val="center"/>
            </w:pPr>
            <w:r>
              <w:t xml:space="preserve">0.5914***</w:t>
            </w:r>
          </w:p>
        </w:tc>
        <w:tc>
          <w:tcPr/>
          <w:p>
            <w:pPr>
              <w:pStyle w:val="Compact"/>
              <w:jc w:val="center"/>
            </w:pPr>
            <w:r>
              <w:t xml:space="preserve">-0.7542***</w:t>
            </w:r>
          </w:p>
        </w:tc>
        <w:tc>
          <w:tcPr/>
          <w:p>
            <w:pPr>
              <w:pStyle w:val="Compact"/>
              <w:jc w:val="center"/>
            </w:pPr>
            <w:r>
              <w:t xml:space="preserve">-0.7537***</w:t>
            </w:r>
          </w:p>
        </w:tc>
      </w:tr>
      <w:tr>
        <w:tc>
          <w:tcPr/>
          <w:p>
            <w:pPr>
              <w:pStyle w:val="Compact"/>
            </w:pPr>
          </w:p>
        </w:tc>
        <w:tc>
          <w:tcPr/>
          <w:p>
            <w:pPr>
              <w:pStyle w:val="Compact"/>
              <w:jc w:val="center"/>
            </w:pPr>
            <w:r>
              <w:t xml:space="preserve">(3.9345)</w:t>
            </w:r>
          </w:p>
        </w:tc>
        <w:tc>
          <w:tcPr/>
          <w:p>
            <w:pPr>
              <w:pStyle w:val="Compact"/>
              <w:jc w:val="center"/>
            </w:pPr>
            <w:r>
              <w:t xml:space="preserve">(3.8338)</w:t>
            </w:r>
          </w:p>
        </w:tc>
        <w:tc>
          <w:tcPr/>
          <w:p>
            <w:pPr>
              <w:pStyle w:val="Compact"/>
              <w:jc w:val="center"/>
            </w:pPr>
            <w:r>
              <w:t xml:space="preserve">(-9.1046)</w:t>
            </w:r>
          </w:p>
        </w:tc>
        <w:tc>
          <w:tcPr/>
          <w:p>
            <w:pPr>
              <w:pStyle w:val="Compact"/>
              <w:jc w:val="center"/>
            </w:pPr>
            <w:r>
              <w:t xml:space="preserve">(-9.1029)</w:t>
            </w:r>
          </w:p>
        </w:tc>
      </w:tr>
      <w:tr>
        <w:tc>
          <w:tcPr/>
          <w:p>
            <w:pPr>
              <w:pStyle w:val="Compact"/>
              <w:jc w:val="left"/>
            </w:pPr>
            <w:r>
              <w:t xml:space="preserve">Lever</w:t>
            </w:r>
          </w:p>
        </w:tc>
        <w:tc>
          <w:tcPr/>
          <w:p>
            <w:pPr>
              <w:pStyle w:val="Compact"/>
              <w:jc w:val="center"/>
            </w:pPr>
            <w:r>
              <w:t xml:space="preserve">-0.3872***</w:t>
            </w:r>
          </w:p>
        </w:tc>
        <w:tc>
          <w:tcPr/>
          <w:p>
            <w:pPr>
              <w:pStyle w:val="Compact"/>
              <w:jc w:val="center"/>
            </w:pPr>
            <w:r>
              <w:t xml:space="preserve">-0.3921***</w:t>
            </w:r>
          </w:p>
        </w:tc>
        <w:tc>
          <w:tcPr/>
          <w:p>
            <w:pPr>
              <w:pStyle w:val="Compact"/>
              <w:jc w:val="center"/>
            </w:pPr>
            <w:r>
              <w:t xml:space="preserve">-0.3247***</w:t>
            </w:r>
          </w:p>
        </w:tc>
        <w:tc>
          <w:tcPr/>
          <w:p>
            <w:pPr>
              <w:pStyle w:val="Compact"/>
              <w:jc w:val="center"/>
            </w:pPr>
            <w:r>
              <w:t xml:space="preserve">-0.3338***</w:t>
            </w:r>
          </w:p>
        </w:tc>
      </w:tr>
      <w:tr>
        <w:tc>
          <w:tcPr/>
          <w:p>
            <w:pPr>
              <w:pStyle w:val="Compact"/>
            </w:pPr>
          </w:p>
        </w:tc>
        <w:tc>
          <w:tcPr/>
          <w:p>
            <w:pPr>
              <w:pStyle w:val="Compact"/>
              <w:jc w:val="center"/>
            </w:pPr>
            <w:r>
              <w:t xml:space="preserve">(-6.9499)</w:t>
            </w:r>
          </w:p>
        </w:tc>
        <w:tc>
          <w:tcPr/>
          <w:p>
            <w:pPr>
              <w:pStyle w:val="Compact"/>
              <w:jc w:val="center"/>
            </w:pPr>
            <w:r>
              <w:t xml:space="preserve">(-7.0390)</w:t>
            </w:r>
          </w:p>
        </w:tc>
        <w:tc>
          <w:tcPr/>
          <w:p>
            <w:pPr>
              <w:pStyle w:val="Compact"/>
              <w:jc w:val="center"/>
            </w:pPr>
            <w:r>
              <w:t xml:space="preserve">(-8.2507)</w:t>
            </w:r>
          </w:p>
        </w:tc>
        <w:tc>
          <w:tcPr/>
          <w:p>
            <w:pPr>
              <w:pStyle w:val="Compact"/>
              <w:jc w:val="center"/>
            </w:pPr>
            <w:r>
              <w:t xml:space="preserve">(-8.3617)</w:t>
            </w:r>
          </w:p>
        </w:tc>
      </w:tr>
      <w:tr>
        <w:tc>
          <w:tcPr/>
          <w:p>
            <w:pPr>
              <w:pStyle w:val="Compact"/>
              <w:jc w:val="left"/>
            </w:pPr>
            <w:r>
              <w:t xml:space="preserve">Top1</w:t>
            </w:r>
          </w:p>
        </w:tc>
        <w:tc>
          <w:tcPr/>
          <w:p>
            <w:pPr>
              <w:pStyle w:val="Compact"/>
              <w:jc w:val="center"/>
            </w:pPr>
            <w:r>
              <w:t xml:space="preserve">-0.0056***</w:t>
            </w:r>
          </w:p>
        </w:tc>
        <w:tc>
          <w:tcPr/>
          <w:p>
            <w:pPr>
              <w:pStyle w:val="Compact"/>
              <w:jc w:val="center"/>
            </w:pPr>
            <w:r>
              <w:t xml:space="preserve">-0.0056***</w:t>
            </w:r>
          </w:p>
        </w:tc>
        <w:tc>
          <w:tcPr/>
          <w:p>
            <w:pPr>
              <w:pStyle w:val="Compact"/>
              <w:jc w:val="center"/>
            </w:pPr>
            <w:r>
              <w:t xml:space="preserve">-0.0015***</w:t>
            </w:r>
          </w:p>
        </w:tc>
        <w:tc>
          <w:tcPr/>
          <w:p>
            <w:pPr>
              <w:pStyle w:val="Compact"/>
              <w:jc w:val="center"/>
            </w:pPr>
            <w:r>
              <w:t xml:space="preserve">-0.0014**</w:t>
            </w:r>
          </w:p>
        </w:tc>
      </w:tr>
      <w:tr>
        <w:tc>
          <w:tcPr/>
          <w:p>
            <w:pPr>
              <w:pStyle w:val="Compact"/>
            </w:pPr>
          </w:p>
        </w:tc>
        <w:tc>
          <w:tcPr/>
          <w:p>
            <w:pPr>
              <w:pStyle w:val="Compact"/>
              <w:jc w:val="center"/>
            </w:pPr>
            <w:r>
              <w:t xml:space="preserve">(-7.3053)</w:t>
            </w:r>
          </w:p>
        </w:tc>
        <w:tc>
          <w:tcPr/>
          <w:p>
            <w:pPr>
              <w:pStyle w:val="Compact"/>
              <w:jc w:val="center"/>
            </w:pPr>
            <w:r>
              <w:t xml:space="preserve">(-7.2739)</w:t>
            </w:r>
          </w:p>
        </w:tc>
        <w:tc>
          <w:tcPr/>
          <w:p>
            <w:pPr>
              <w:pStyle w:val="Compact"/>
              <w:jc w:val="center"/>
            </w:pPr>
            <w:r>
              <w:t xml:space="preserve">(-2.6503)</w:t>
            </w:r>
          </w:p>
        </w:tc>
        <w:tc>
          <w:tcPr/>
          <w:p>
            <w:pPr>
              <w:pStyle w:val="Compact"/>
              <w:jc w:val="center"/>
            </w:pPr>
            <w:r>
              <w:t xml:space="preserve">(-2.4180)</w:t>
            </w:r>
          </w:p>
        </w:tc>
      </w:tr>
      <w:tr>
        <w:tc>
          <w:tcPr/>
          <w:p>
            <w:pPr>
              <w:pStyle w:val="Compact"/>
              <w:jc w:val="left"/>
            </w:pPr>
            <w:r>
              <w:t xml:space="preserve">Zone</w:t>
            </w:r>
          </w:p>
        </w:tc>
        <w:tc>
          <w:tcPr/>
          <w:p>
            <w:pPr>
              <w:pStyle w:val="Compact"/>
              <w:jc w:val="center"/>
            </w:pPr>
            <w:r>
              <w:t xml:space="preserve">-0.0455*</w:t>
            </w:r>
          </w:p>
        </w:tc>
        <w:tc>
          <w:tcPr/>
          <w:p>
            <w:pPr>
              <w:pStyle w:val="Compact"/>
              <w:jc w:val="center"/>
            </w:pPr>
            <w:r>
              <w:t xml:space="preserve">-0.0460*</w:t>
            </w:r>
          </w:p>
        </w:tc>
        <w:tc>
          <w:tcPr/>
          <w:p>
            <w:pPr>
              <w:pStyle w:val="Compact"/>
              <w:jc w:val="center"/>
            </w:pPr>
            <w:r>
              <w:t xml:space="preserve">0.0463***</w:t>
            </w:r>
          </w:p>
        </w:tc>
        <w:tc>
          <w:tcPr/>
          <w:p>
            <w:pPr>
              <w:pStyle w:val="Compact"/>
              <w:jc w:val="center"/>
            </w:pPr>
            <w:r>
              <w:t xml:space="preserve">0.0442**</w:t>
            </w:r>
          </w:p>
        </w:tc>
      </w:tr>
      <w:tr>
        <w:tc>
          <w:tcPr/>
          <w:p>
            <w:pPr>
              <w:pStyle w:val="Compact"/>
            </w:pPr>
          </w:p>
        </w:tc>
        <w:tc>
          <w:tcPr/>
          <w:p>
            <w:pPr>
              <w:pStyle w:val="Compact"/>
              <w:jc w:val="center"/>
            </w:pPr>
            <w:r>
              <w:t xml:space="preserve">(-1.8640)</w:t>
            </w:r>
          </w:p>
        </w:tc>
        <w:tc>
          <w:tcPr/>
          <w:p>
            <w:pPr>
              <w:pStyle w:val="Compact"/>
              <w:jc w:val="center"/>
            </w:pPr>
            <w:r>
              <w:t xml:space="preserve">(-1.8872)</w:t>
            </w:r>
          </w:p>
        </w:tc>
        <w:tc>
          <w:tcPr/>
          <w:p>
            <w:pPr>
              <w:pStyle w:val="Compact"/>
              <w:jc w:val="center"/>
            </w:pPr>
            <w:r>
              <w:t xml:space="preserve">(2.5834)</w:t>
            </w:r>
          </w:p>
        </w:tc>
        <w:tc>
          <w:tcPr/>
          <w:p>
            <w:pPr>
              <w:pStyle w:val="Compact"/>
              <w:jc w:val="center"/>
            </w:pPr>
            <w:r>
              <w:t xml:space="preserve">(2.4558)</w:t>
            </w:r>
          </w:p>
        </w:tc>
      </w:tr>
      <w:tr>
        <w:tc>
          <w:tcPr/>
          <w:p>
            <w:pPr>
              <w:pStyle w:val="Compact"/>
              <w:jc w:val="left"/>
            </w:pPr>
            <w:r>
              <w:rPr>
                <w:rFonts w:hint="eastAsia"/>
              </w:rPr>
              <w:t xml:space="preserve">行业固定效应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15,644</w:t>
            </w:r>
          </w:p>
        </w:tc>
        <w:tc>
          <w:tcPr/>
          <w:p>
            <w:pPr>
              <w:pStyle w:val="Compact"/>
              <w:jc w:val="center"/>
            </w:pPr>
            <w:r>
              <w:t xml:space="preserve">15,644</w:t>
            </w:r>
          </w:p>
        </w:tc>
        <w:tc>
          <w:tcPr/>
          <w:p>
            <w:pPr>
              <w:pStyle w:val="Compact"/>
              <w:jc w:val="center"/>
            </w:pPr>
            <w:r>
              <w:t xml:space="preserve">29,036</w:t>
            </w:r>
          </w:p>
        </w:tc>
        <w:tc>
          <w:tcPr/>
          <w:p>
            <w:pPr>
              <w:pStyle w:val="Compact"/>
              <w:jc w:val="center"/>
            </w:pPr>
            <w:r>
              <w:t xml:space="preserve">29,036</w:t>
            </w:r>
          </w:p>
        </w:tc>
      </w:tr>
      <w:tr>
        <w:tc>
          <w:tcPr/>
          <w:p>
            <w:pPr>
              <w:pStyle w:val="Compact"/>
              <w:jc w:val="left"/>
            </w:pPr>
            <w:r>
              <w:t xml:space="preserve">R²</w:t>
            </w:r>
          </w:p>
        </w:tc>
        <w:tc>
          <w:tcPr/>
          <w:p>
            <w:pPr>
              <w:pStyle w:val="Compact"/>
              <w:jc w:val="center"/>
            </w:pPr>
            <w:r>
              <w:t xml:space="preserve">0.0727</w:t>
            </w:r>
          </w:p>
        </w:tc>
        <w:tc>
          <w:tcPr/>
          <w:p>
            <w:pPr>
              <w:pStyle w:val="Compact"/>
              <w:jc w:val="center"/>
            </w:pPr>
            <w:r>
              <w:t xml:space="preserve">0.0735</w:t>
            </w:r>
          </w:p>
        </w:tc>
        <w:tc>
          <w:tcPr/>
          <w:p>
            <w:pPr>
              <w:pStyle w:val="Compact"/>
              <w:jc w:val="center"/>
            </w:pPr>
            <w:r>
              <w:t xml:space="preserve">0.0463</w:t>
            </w:r>
          </w:p>
        </w:tc>
        <w:tc>
          <w:tcPr/>
          <w:p>
            <w:pPr>
              <w:pStyle w:val="Compact"/>
              <w:jc w:val="center"/>
            </w:pPr>
            <w:r>
              <w:t xml:space="preserve">0.0468</w:t>
            </w:r>
          </w:p>
        </w:tc>
      </w:tr>
    </w:tbl>
    <w:p>
      <w:pPr>
        <w:pStyle w:val="BodyText"/>
      </w:pPr>
      <w:r>
        <w:rPr>
          <w:rFonts w:hint="eastAsia"/>
        </w:rPr>
        <w:t xml:space="preserve">注：括号内为</w:t>
      </w:r>
      <w:r>
        <w:t xml:space="preserve"> t </w:t>
      </w:r>
      <w:r>
        <w:rPr>
          <w:rFonts w:hint="eastAsia"/>
        </w:rPr>
        <w:t xml:space="preserve">值；***、**、*</w:t>
      </w:r>
      <w:r>
        <w:t xml:space="preserve"> </w:t>
      </w:r>
      <w:r>
        <w:rPr>
          <w:rFonts w:hint="eastAsia"/>
        </w:rPr>
        <w:t xml:space="preserve">分别表示在</w:t>
      </w:r>
      <w:r>
        <w:t xml:space="preserve"> 1%、5%、10% </w:t>
      </w:r>
      <w:r>
        <w:rPr>
          <w:rFonts w:hint="eastAsia"/>
        </w:rPr>
        <w:t xml:space="preserve">水平上显著。标准误为公司层面聚类稳健标准误。</w:t>
      </w:r>
      <w:r>
        <w:t xml:space="preserve">“—”</w:t>
      </w:r>
      <w:r>
        <w:rPr>
          <w:rFonts w:hint="eastAsia"/>
        </w:rPr>
        <w:t xml:space="preserve">表示该模型未纳入此变量，模型（3）为基准回归不含</w:t>
      </w:r>
      <w:r>
        <w:t xml:space="preserve"> Power。</w:t>
      </w:r>
    </w:p>
    <w:bookmarkEnd w:id="13"/>
    <w:bookmarkStart w:id="14" w:name="分行业管制"/>
    <w:p>
      <w:pPr>
        <w:pStyle w:val="Heading4"/>
      </w:pPr>
      <w:r>
        <w:t xml:space="preserve">5.4.2 </w:t>
      </w:r>
      <w:r>
        <w:rPr>
          <w:rFonts w:hint="eastAsia"/>
        </w:rPr>
        <w:t xml:space="preserve">分行业管制</w:t>
      </w:r>
    </w:p>
    <w:p>
      <w:pPr>
        <w:pStyle w:val="FirstParagraph"/>
      </w:pPr>
      <w:r>
        <w:rPr>
          <w:rFonts w:hint="eastAsia"/>
        </w:rPr>
        <w:t xml:space="preserve">表</w:t>
      </w:r>
      <w:r>
        <w:t xml:space="preserve"> 5 </w:t>
      </w:r>
      <w:r>
        <w:rPr>
          <w:rFonts w:hint="eastAsia"/>
        </w:rPr>
        <w:t xml:space="preserve">报告了按行业管制属性分组的回归结果。管制行业（采矿业、电力热力燃气及水生产和供应业、交通运输仓储和邮政业、信息传输软件和信息技术服务业、水利环境和公共设施管理业）中，lnSubsidy</w:t>
      </w:r>
      <w:r>
        <w:t xml:space="preserve"> </w:t>
      </w:r>
      <w:r>
        <w:rPr>
          <w:rFonts w:hint="eastAsia"/>
        </w:rPr>
        <w:t xml:space="preserve">的系数为</w:t>
      </w:r>
      <w:r>
        <w:t xml:space="preserve"> </w:t>
      </w:r>
      <w:r>
        <w:rPr>
          <w:rFonts w:hint="eastAsia"/>
        </w:rPr>
        <w:t xml:space="preserve">0.0260（t</w:t>
      </w:r>
      <w:r>
        <w:t xml:space="preserve"> = </w:t>
      </w:r>
      <w:r>
        <w:rPr>
          <w:rFonts w:hint="eastAsia"/>
        </w:rPr>
        <w:t xml:space="preserve">3.41，p</w:t>
      </w:r>
      <w:r>
        <w:t xml:space="preserve"> &lt; </w:t>
      </w:r>
      <w:r>
        <w:rPr>
          <w:rFonts w:hint="eastAsia"/>
        </w:rPr>
        <w:t xml:space="preserve">0.01），在</w:t>
      </w:r>
      <w:r>
        <w:t xml:space="preserve"> 1% </w:t>
      </w:r>
      <w:r>
        <w:rPr>
          <w:rFonts w:hint="eastAsia"/>
        </w:rPr>
        <w:t xml:space="preserve">水平下显著；非管制行业中，lnSubsidy</w:t>
      </w:r>
      <w:r>
        <w:t xml:space="preserve"> </w:t>
      </w:r>
      <w:r>
        <w:rPr>
          <w:rFonts w:hint="eastAsia"/>
        </w:rPr>
        <w:t xml:space="preserve">的系数为</w:t>
      </w:r>
      <w:r>
        <w:t xml:space="preserve"> </w:t>
      </w:r>
      <w:r>
        <w:rPr>
          <w:rFonts w:hint="eastAsia"/>
        </w:rPr>
        <w:t xml:space="preserve">0.0625（t</w:t>
      </w:r>
      <w:r>
        <w:t xml:space="preserve"> = </w:t>
      </w:r>
      <w:r>
        <w:rPr>
          <w:rFonts w:hint="eastAsia"/>
        </w:rPr>
        <w:t xml:space="preserve">14.63，p</w:t>
      </w:r>
      <w:r>
        <w:t xml:space="preserve"> &lt; </w:t>
      </w:r>
      <w:r>
        <w:rPr>
          <w:rFonts w:hint="eastAsia"/>
        </w:rPr>
        <w:t xml:space="preserve">0.01），经济效应更大。值得注意的是，本次回归在修正区域分类（重庆归入西部）并对</w:t>
      </w:r>
      <w:r>
        <w:t xml:space="preserve"> Overpay </w:t>
      </w:r>
      <w:r>
        <w:rPr>
          <w:rFonts w:hint="eastAsia"/>
        </w:rPr>
        <w:t xml:space="preserve">进行</w:t>
      </w:r>
      <w:r>
        <w:t xml:space="preserve"> Winsorize </w:t>
      </w:r>
      <w:r>
        <w:rPr>
          <w:rFonts w:hint="eastAsia"/>
        </w:rPr>
        <w:t xml:space="preserve">缩尾处理后，管制行业的补贴效应由原先仅弱显著（p</w:t>
      </w:r>
      <w:r>
        <w:t xml:space="preserve"> &lt; </w:t>
      </w:r>
      <w:r>
        <w:rPr>
          <w:rFonts w:hint="eastAsia"/>
        </w:rPr>
        <w:t xml:space="preserve">0.10）提升至</w:t>
      </w:r>
      <w:r>
        <w:t xml:space="preserve"> 1% </w:t>
      </w:r>
      <w:r>
        <w:rPr>
          <w:rFonts w:hint="eastAsia"/>
        </w:rPr>
        <w:t xml:space="preserve">强显著，这表明早期代码中的处理瑕疵对管制行业子样本结论有所影响。尽管如此，管制行业系数仍显著低于非管制行业（0.0260</w:t>
      </w:r>
      <w:r>
        <w:t xml:space="preserve"> vs. </w:t>
      </w:r>
      <w:r>
        <w:rPr>
          <w:rFonts w:hint="eastAsia"/>
        </w:rPr>
        <w:t xml:space="preserve">0.0625），行业监管对补贴-超额薪酬关系的约束作用依然成立。</w:t>
      </w:r>
    </w:p>
    <w:p>
      <w:pPr>
        <w:pStyle w:val="BodyText"/>
      </w:pPr>
      <w:r>
        <w:rPr>
          <w:rFonts w:hint="eastAsia"/>
          <w:b/>
          <w:bCs/>
        </w:rPr>
        <w:t xml:space="preserve">表</w:t>
      </w:r>
      <w:r>
        <w:rPr>
          <w:b/>
          <w:bCs/>
        </w:rPr>
        <w:t xml:space="preserve"> 5 </w:t>
      </w:r>
      <w:r>
        <w:rPr>
          <w:rFonts w:hint="eastAsia"/>
          <w:b/>
          <w:bCs/>
        </w:rPr>
        <w:t xml:space="preserve">分行业管制回归结果（聚类标准误）</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管制行业-模型（3）</w:t>
            </w:r>
          </w:p>
        </w:tc>
        <w:tc>
          <w:tcPr/>
          <w:p>
            <w:pPr>
              <w:pStyle w:val="Compact"/>
              <w:jc w:val="center"/>
            </w:pPr>
            <w:r>
              <w:rPr>
                <w:rFonts w:hint="eastAsia"/>
              </w:rPr>
              <w:t xml:space="preserve">管制行业-模型（4）</w:t>
            </w:r>
          </w:p>
        </w:tc>
        <w:tc>
          <w:tcPr/>
          <w:p>
            <w:pPr>
              <w:pStyle w:val="Compact"/>
              <w:jc w:val="center"/>
            </w:pPr>
            <w:r>
              <w:rPr>
                <w:rFonts w:hint="eastAsia"/>
              </w:rPr>
              <w:t xml:space="preserve">非管制行业-模型（3）</w:t>
            </w:r>
          </w:p>
        </w:tc>
        <w:tc>
          <w:tcPr/>
          <w:p>
            <w:pPr>
              <w:pStyle w:val="Compact"/>
              <w:jc w:val="center"/>
            </w:pPr>
            <w:r>
              <w:rPr>
                <w:rFonts w:hint="eastAsia"/>
              </w:rPr>
              <w:t xml:space="preserve">非管制行业-模型（4）</w:t>
            </w:r>
          </w:p>
        </w:tc>
      </w:tr>
      <w:tr>
        <w:tc>
          <w:tcPr/>
          <w:p>
            <w:pPr>
              <w:pStyle w:val="Compact"/>
            </w:pP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r>
      <w:tr>
        <w:tc>
          <w:tcPr/>
          <w:p>
            <w:pPr>
              <w:pStyle w:val="Compact"/>
              <w:jc w:val="left"/>
            </w:pPr>
            <w:r>
              <w:t xml:space="preserve">lnSubsidy</w:t>
            </w:r>
          </w:p>
        </w:tc>
        <w:tc>
          <w:tcPr/>
          <w:p>
            <w:pPr>
              <w:pStyle w:val="Compact"/>
              <w:jc w:val="center"/>
            </w:pPr>
            <w:r>
              <w:t xml:space="preserve">0.0260***</w:t>
            </w:r>
          </w:p>
        </w:tc>
        <w:tc>
          <w:tcPr/>
          <w:p>
            <w:pPr>
              <w:pStyle w:val="Compact"/>
              <w:jc w:val="center"/>
            </w:pPr>
            <w:r>
              <w:t xml:space="preserve">0.0258***</w:t>
            </w:r>
          </w:p>
        </w:tc>
        <w:tc>
          <w:tcPr/>
          <w:p>
            <w:pPr>
              <w:pStyle w:val="Compact"/>
              <w:jc w:val="center"/>
            </w:pPr>
            <w:r>
              <w:t xml:space="preserve">0.0625***</w:t>
            </w:r>
          </w:p>
        </w:tc>
        <w:tc>
          <w:tcPr/>
          <w:p>
            <w:pPr>
              <w:pStyle w:val="Compact"/>
              <w:jc w:val="center"/>
            </w:pPr>
            <w:r>
              <w:t xml:space="preserve">0.0618***</w:t>
            </w:r>
          </w:p>
        </w:tc>
      </w:tr>
      <w:tr>
        <w:tc>
          <w:tcPr/>
          <w:p>
            <w:pPr>
              <w:pStyle w:val="Compact"/>
            </w:pPr>
          </w:p>
        </w:tc>
        <w:tc>
          <w:tcPr/>
          <w:p>
            <w:pPr>
              <w:pStyle w:val="Compact"/>
              <w:jc w:val="center"/>
            </w:pPr>
            <w:r>
              <w:t xml:space="preserve">(3.4125)</w:t>
            </w:r>
          </w:p>
        </w:tc>
        <w:tc>
          <w:tcPr/>
          <w:p>
            <w:pPr>
              <w:pStyle w:val="Compact"/>
              <w:jc w:val="center"/>
            </w:pPr>
            <w:r>
              <w:t xml:space="preserve">(3.3873)</w:t>
            </w:r>
          </w:p>
        </w:tc>
        <w:tc>
          <w:tcPr/>
          <w:p>
            <w:pPr>
              <w:pStyle w:val="Compact"/>
              <w:jc w:val="center"/>
            </w:pPr>
            <w:r>
              <w:t xml:space="preserve">(14.6259)</w:t>
            </w:r>
          </w:p>
        </w:tc>
        <w:tc>
          <w:tcPr/>
          <w:p>
            <w:pPr>
              <w:pStyle w:val="Compact"/>
              <w:jc w:val="center"/>
            </w:pPr>
            <w:r>
              <w:t xml:space="preserve">(14.3781)</w:t>
            </w:r>
          </w:p>
        </w:tc>
      </w:tr>
      <w:tr>
        <w:tc>
          <w:tcPr/>
          <w:p>
            <w:pPr>
              <w:pStyle w:val="Compact"/>
              <w:jc w:val="left"/>
            </w:pPr>
            <w:r>
              <w:t xml:space="preserve">Power</w:t>
            </w:r>
          </w:p>
        </w:tc>
        <w:tc>
          <w:tcPr/>
          <w:p>
            <w:pPr>
              <w:pStyle w:val="Compact"/>
              <w:jc w:val="center"/>
            </w:pPr>
            <w:r>
              <w:t xml:space="preserve">—</w:t>
            </w:r>
          </w:p>
        </w:tc>
        <w:tc>
          <w:tcPr/>
          <w:p>
            <w:pPr>
              <w:pStyle w:val="Compact"/>
              <w:jc w:val="center"/>
            </w:pPr>
            <w:r>
              <w:t xml:space="preserve">0.0024</w:t>
            </w:r>
          </w:p>
        </w:tc>
        <w:tc>
          <w:tcPr/>
          <w:p>
            <w:pPr>
              <w:pStyle w:val="Compact"/>
              <w:jc w:val="center"/>
            </w:pPr>
            <w:r>
              <w:t xml:space="preserve">—</w:t>
            </w:r>
          </w:p>
        </w:tc>
        <w:tc>
          <w:tcPr/>
          <w:p>
            <w:pPr>
              <w:pStyle w:val="Compact"/>
              <w:jc w:val="center"/>
            </w:pPr>
            <w:r>
              <w:t xml:space="preserve">0.0075</w:t>
            </w:r>
          </w:p>
        </w:tc>
      </w:tr>
      <w:tr>
        <w:tc>
          <w:tcPr/>
          <w:p>
            <w:pPr>
              <w:pStyle w:val="Compact"/>
            </w:pPr>
          </w:p>
        </w:tc>
        <w:tc>
          <w:tcPr/>
          <w:p>
            <w:pPr>
              <w:pStyle w:val="Compact"/>
            </w:pPr>
          </w:p>
        </w:tc>
        <w:tc>
          <w:tcPr/>
          <w:p>
            <w:pPr>
              <w:pStyle w:val="Compact"/>
              <w:jc w:val="center"/>
            </w:pPr>
            <w:r>
              <w:t xml:space="preserve">(0.2175)</w:t>
            </w:r>
          </w:p>
        </w:tc>
        <w:tc>
          <w:tcPr/>
          <w:p>
            <w:pPr>
              <w:pStyle w:val="Compact"/>
            </w:pPr>
          </w:p>
        </w:tc>
        <w:tc>
          <w:tcPr/>
          <w:p>
            <w:pPr>
              <w:pStyle w:val="Compact"/>
              <w:jc w:val="center"/>
            </w:pPr>
            <w:r>
              <w:t xml:space="preserve">(1.4422)</w:t>
            </w:r>
          </w:p>
        </w:tc>
      </w:tr>
      <w:tr>
        <w:tc>
          <w:tcPr/>
          <w:p>
            <w:pPr>
              <w:pStyle w:val="Compact"/>
              <w:jc w:val="left"/>
            </w:pPr>
            <w:r>
              <w:t xml:space="preserve">Roa</w:t>
            </w:r>
          </w:p>
        </w:tc>
        <w:tc>
          <w:tcPr/>
          <w:p>
            <w:pPr>
              <w:pStyle w:val="Compact"/>
              <w:jc w:val="center"/>
            </w:pPr>
            <w:r>
              <w:t xml:space="preserve">-0.8182***</w:t>
            </w:r>
          </w:p>
        </w:tc>
        <w:tc>
          <w:tcPr/>
          <w:p>
            <w:pPr>
              <w:pStyle w:val="Compact"/>
              <w:jc w:val="center"/>
            </w:pPr>
            <w:r>
              <w:t xml:space="preserve">-0.8177***</w:t>
            </w:r>
          </w:p>
        </w:tc>
        <w:tc>
          <w:tcPr/>
          <w:p>
            <w:pPr>
              <w:pStyle w:val="Compact"/>
              <w:jc w:val="center"/>
            </w:pPr>
            <w:r>
              <w:t xml:space="preserve">-0.2524***</w:t>
            </w:r>
          </w:p>
        </w:tc>
        <w:tc>
          <w:tcPr/>
          <w:p>
            <w:pPr>
              <w:pStyle w:val="Compact"/>
              <w:jc w:val="center"/>
            </w:pPr>
            <w:r>
              <w:t xml:space="preserve">-0.2542***</w:t>
            </w:r>
          </w:p>
        </w:tc>
      </w:tr>
      <w:tr>
        <w:tc>
          <w:tcPr/>
          <w:p>
            <w:pPr>
              <w:pStyle w:val="Compact"/>
            </w:pPr>
          </w:p>
        </w:tc>
        <w:tc>
          <w:tcPr/>
          <w:p>
            <w:pPr>
              <w:pStyle w:val="Compact"/>
              <w:jc w:val="center"/>
            </w:pPr>
            <w:r>
              <w:t xml:space="preserve">(-5.3718)</w:t>
            </w:r>
          </w:p>
        </w:tc>
        <w:tc>
          <w:tcPr/>
          <w:p>
            <w:pPr>
              <w:pStyle w:val="Compact"/>
              <w:jc w:val="center"/>
            </w:pPr>
            <w:r>
              <w:t xml:space="preserve">(-5.3688)</w:t>
            </w:r>
          </w:p>
        </w:tc>
        <w:tc>
          <w:tcPr/>
          <w:p>
            <w:pPr>
              <w:pStyle w:val="Compact"/>
              <w:jc w:val="center"/>
            </w:pPr>
            <w:r>
              <w:t xml:space="preserve">(-2.9938)</w:t>
            </w:r>
          </w:p>
        </w:tc>
        <w:tc>
          <w:tcPr/>
          <w:p>
            <w:pPr>
              <w:pStyle w:val="Compact"/>
              <w:jc w:val="center"/>
            </w:pPr>
            <w:r>
              <w:t xml:space="preserve">(-3.0160)</w:t>
            </w:r>
          </w:p>
        </w:tc>
      </w:tr>
      <w:tr>
        <w:tc>
          <w:tcPr/>
          <w:p>
            <w:pPr>
              <w:pStyle w:val="Compact"/>
              <w:jc w:val="left"/>
            </w:pPr>
            <w:r>
              <w:t xml:space="preserve">Lever</w:t>
            </w:r>
          </w:p>
        </w:tc>
        <w:tc>
          <w:tcPr/>
          <w:p>
            <w:pPr>
              <w:pStyle w:val="Compact"/>
              <w:jc w:val="center"/>
            </w:pPr>
            <w:r>
              <w:t xml:space="preserve">-0.3376***</w:t>
            </w:r>
          </w:p>
        </w:tc>
        <w:tc>
          <w:tcPr/>
          <w:p>
            <w:pPr>
              <w:pStyle w:val="Compact"/>
              <w:jc w:val="center"/>
            </w:pPr>
            <w:r>
              <w:t xml:space="preserve">-0.3403***</w:t>
            </w:r>
          </w:p>
        </w:tc>
        <w:tc>
          <w:tcPr/>
          <w:p>
            <w:pPr>
              <w:pStyle w:val="Compact"/>
              <w:jc w:val="center"/>
            </w:pPr>
            <w:r>
              <w:t xml:space="preserve">-0.3683***</w:t>
            </w:r>
          </w:p>
        </w:tc>
        <w:tc>
          <w:tcPr/>
          <w:p>
            <w:pPr>
              <w:pStyle w:val="Compact"/>
              <w:jc w:val="center"/>
            </w:pPr>
            <w:r>
              <w:t xml:space="preserve">-0.3767***</w:t>
            </w:r>
          </w:p>
        </w:tc>
      </w:tr>
      <w:tr>
        <w:tc>
          <w:tcPr/>
          <w:p>
            <w:pPr>
              <w:pStyle w:val="Compact"/>
            </w:pPr>
          </w:p>
        </w:tc>
        <w:tc>
          <w:tcPr/>
          <w:p>
            <w:pPr>
              <w:pStyle w:val="Compact"/>
              <w:jc w:val="center"/>
            </w:pPr>
            <w:r>
              <w:t xml:space="preserve">(-4.8351)</w:t>
            </w:r>
          </w:p>
        </w:tc>
        <w:tc>
          <w:tcPr/>
          <w:p>
            <w:pPr>
              <w:pStyle w:val="Compact"/>
              <w:jc w:val="center"/>
            </w:pPr>
            <w:r>
              <w:t xml:space="preserve">(-4.7381)</w:t>
            </w:r>
          </w:p>
        </w:tc>
        <w:tc>
          <w:tcPr/>
          <w:p>
            <w:pPr>
              <w:pStyle w:val="Compact"/>
              <w:jc w:val="center"/>
            </w:pPr>
            <w:r>
              <w:t xml:space="preserve">(-10.4269)</w:t>
            </w:r>
          </w:p>
        </w:tc>
        <w:tc>
          <w:tcPr/>
          <w:p>
            <w:pPr>
              <w:pStyle w:val="Compact"/>
              <w:jc w:val="center"/>
            </w:pPr>
            <w:r>
              <w:t xml:space="preserve">(-10.5170)</w:t>
            </w:r>
          </w:p>
        </w:tc>
      </w:tr>
      <w:tr>
        <w:tc>
          <w:tcPr/>
          <w:p>
            <w:pPr>
              <w:pStyle w:val="Compact"/>
              <w:jc w:val="left"/>
            </w:pPr>
            <w:r>
              <w:t xml:space="preserve">Top1</w:t>
            </w:r>
          </w:p>
        </w:tc>
        <w:tc>
          <w:tcPr/>
          <w:p>
            <w:pPr>
              <w:pStyle w:val="Compact"/>
              <w:jc w:val="center"/>
            </w:pPr>
            <w:r>
              <w:t xml:space="preserve">-0.0058***</w:t>
            </w:r>
          </w:p>
        </w:tc>
        <w:tc>
          <w:tcPr/>
          <w:p>
            <w:pPr>
              <w:pStyle w:val="Compact"/>
              <w:jc w:val="center"/>
            </w:pPr>
            <w:r>
              <w:t xml:space="preserve">-0.0058***</w:t>
            </w:r>
          </w:p>
        </w:tc>
        <w:tc>
          <w:tcPr/>
          <w:p>
            <w:pPr>
              <w:pStyle w:val="Compact"/>
              <w:jc w:val="center"/>
            </w:pPr>
            <w:r>
              <w:t xml:space="preserve">-0.0032***</w:t>
            </w:r>
          </w:p>
        </w:tc>
        <w:tc>
          <w:tcPr/>
          <w:p>
            <w:pPr>
              <w:pStyle w:val="Compact"/>
              <w:jc w:val="center"/>
            </w:pPr>
            <w:r>
              <w:t xml:space="preserve">-0.0031***</w:t>
            </w:r>
          </w:p>
        </w:tc>
      </w:tr>
      <w:tr>
        <w:tc>
          <w:tcPr/>
          <w:p>
            <w:pPr>
              <w:pStyle w:val="Compact"/>
            </w:pPr>
          </w:p>
        </w:tc>
        <w:tc>
          <w:tcPr/>
          <w:p>
            <w:pPr>
              <w:pStyle w:val="Compact"/>
              <w:jc w:val="center"/>
            </w:pPr>
            <w:r>
              <w:t xml:space="preserve">(-6.1024)</w:t>
            </w:r>
          </w:p>
        </w:tc>
        <w:tc>
          <w:tcPr/>
          <w:p>
            <w:pPr>
              <w:pStyle w:val="Compact"/>
              <w:jc w:val="center"/>
            </w:pPr>
            <w:r>
              <w:t xml:space="preserve">(-6.1000)</w:t>
            </w:r>
          </w:p>
        </w:tc>
        <w:tc>
          <w:tcPr/>
          <w:p>
            <w:pPr>
              <w:pStyle w:val="Compact"/>
              <w:jc w:val="center"/>
            </w:pPr>
            <w:r>
              <w:t xml:space="preserve">(-6.1742)</w:t>
            </w:r>
          </w:p>
        </w:tc>
        <w:tc>
          <w:tcPr/>
          <w:p>
            <w:pPr>
              <w:pStyle w:val="Compact"/>
              <w:jc w:val="center"/>
            </w:pPr>
            <w:r>
              <w:t xml:space="preserve">(-6.0856)</w:t>
            </w:r>
          </w:p>
        </w:tc>
      </w:tr>
      <w:tr>
        <w:tc>
          <w:tcPr/>
          <w:p>
            <w:pPr>
              <w:pStyle w:val="Compact"/>
              <w:jc w:val="left"/>
            </w:pPr>
            <w:r>
              <w:t xml:space="preserve">Zone</w:t>
            </w:r>
          </w:p>
        </w:tc>
        <w:tc>
          <w:tcPr/>
          <w:p>
            <w:pPr>
              <w:pStyle w:val="Compact"/>
              <w:jc w:val="center"/>
            </w:pPr>
            <w:r>
              <w:t xml:space="preserve">0.0282</w:t>
            </w:r>
          </w:p>
        </w:tc>
        <w:tc>
          <w:tcPr/>
          <w:p>
            <w:pPr>
              <w:pStyle w:val="Compact"/>
              <w:jc w:val="center"/>
            </w:pPr>
            <w:r>
              <w:t xml:space="preserve">0.0276</w:t>
            </w:r>
          </w:p>
        </w:tc>
        <w:tc>
          <w:tcPr/>
          <w:p>
            <w:pPr>
              <w:pStyle w:val="Compact"/>
              <w:jc w:val="center"/>
            </w:pPr>
            <w:r>
              <w:t xml:space="preserve">0.0043</w:t>
            </w:r>
          </w:p>
        </w:tc>
        <w:tc>
          <w:tcPr/>
          <w:p>
            <w:pPr>
              <w:pStyle w:val="Compact"/>
              <w:jc w:val="center"/>
            </w:pPr>
            <w:r>
              <w:t xml:space="preserve">0.0024</w:t>
            </w:r>
          </w:p>
        </w:tc>
      </w:tr>
      <w:tr>
        <w:tc>
          <w:tcPr/>
          <w:p>
            <w:pPr>
              <w:pStyle w:val="Compact"/>
            </w:pPr>
          </w:p>
        </w:tc>
        <w:tc>
          <w:tcPr/>
          <w:p>
            <w:pPr>
              <w:pStyle w:val="Compact"/>
              <w:jc w:val="center"/>
            </w:pPr>
            <w:r>
              <w:t xml:space="preserve">(0.8529)</w:t>
            </w:r>
          </w:p>
        </w:tc>
        <w:tc>
          <w:tcPr/>
          <w:p>
            <w:pPr>
              <w:pStyle w:val="Compact"/>
              <w:jc w:val="center"/>
            </w:pPr>
            <w:r>
              <w:t xml:space="preserve">(0.8312)</w:t>
            </w:r>
          </w:p>
        </w:tc>
        <w:tc>
          <w:tcPr/>
          <w:p>
            <w:pPr>
              <w:pStyle w:val="Compact"/>
              <w:jc w:val="center"/>
            </w:pPr>
            <w:r>
              <w:t xml:space="preserve">(0.2734)</w:t>
            </w:r>
          </w:p>
        </w:tc>
        <w:tc>
          <w:tcPr/>
          <w:p>
            <w:pPr>
              <w:pStyle w:val="Compact"/>
              <w:jc w:val="center"/>
            </w:pPr>
            <w:r>
              <w:t xml:space="preserve">(0.1516)</w:t>
            </w:r>
          </w:p>
        </w:tc>
      </w:tr>
      <w:tr>
        <w:tc>
          <w:tcPr/>
          <w:p>
            <w:pPr>
              <w:pStyle w:val="Compact"/>
              <w:jc w:val="left"/>
            </w:pPr>
            <w:r>
              <w:rPr>
                <w:rFonts w:hint="eastAsia"/>
              </w:rPr>
              <w:t xml:space="preserve">行业固定效应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7,127</w:t>
            </w:r>
          </w:p>
        </w:tc>
        <w:tc>
          <w:tcPr/>
          <w:p>
            <w:pPr>
              <w:pStyle w:val="Compact"/>
              <w:jc w:val="center"/>
            </w:pPr>
            <w:r>
              <w:t xml:space="preserve">7,127</w:t>
            </w:r>
          </w:p>
        </w:tc>
        <w:tc>
          <w:tcPr/>
          <w:p>
            <w:pPr>
              <w:pStyle w:val="Compact"/>
              <w:jc w:val="center"/>
            </w:pPr>
            <w:r>
              <w:t xml:space="preserve">37,734</w:t>
            </w:r>
          </w:p>
        </w:tc>
        <w:tc>
          <w:tcPr/>
          <w:p>
            <w:pPr>
              <w:pStyle w:val="Compact"/>
              <w:jc w:val="center"/>
            </w:pPr>
            <w:r>
              <w:t xml:space="preserve">37,734</w:t>
            </w:r>
          </w:p>
        </w:tc>
      </w:tr>
      <w:tr>
        <w:tc>
          <w:tcPr/>
          <w:p>
            <w:pPr>
              <w:pStyle w:val="Compact"/>
              <w:jc w:val="left"/>
            </w:pPr>
            <w:r>
              <w:t xml:space="preserve">R²</w:t>
            </w:r>
          </w:p>
        </w:tc>
        <w:tc>
          <w:tcPr/>
          <w:p>
            <w:pPr>
              <w:pStyle w:val="Compact"/>
              <w:jc w:val="center"/>
            </w:pPr>
            <w:r>
              <w:t xml:space="preserve">0.0662</w:t>
            </w:r>
          </w:p>
        </w:tc>
        <w:tc>
          <w:tcPr/>
          <w:p>
            <w:pPr>
              <w:pStyle w:val="Compact"/>
              <w:jc w:val="center"/>
            </w:pPr>
            <w:r>
              <w:t xml:space="preserve">0.0663</w:t>
            </w:r>
          </w:p>
        </w:tc>
        <w:tc>
          <w:tcPr/>
          <w:p>
            <w:pPr>
              <w:pStyle w:val="Compact"/>
              <w:jc w:val="center"/>
            </w:pPr>
            <w:r>
              <w:t xml:space="preserve">0.0391</w:t>
            </w:r>
          </w:p>
        </w:tc>
        <w:tc>
          <w:tcPr/>
          <w:p>
            <w:pPr>
              <w:pStyle w:val="Compact"/>
              <w:jc w:val="center"/>
            </w:pPr>
            <w:r>
              <w:t xml:space="preserve">0.0394</w:t>
            </w:r>
          </w:p>
        </w:tc>
      </w:tr>
    </w:tbl>
    <w:p>
      <w:pPr>
        <w:pStyle w:val="BodyText"/>
      </w:pPr>
      <w:r>
        <w:rPr>
          <w:rFonts w:hint="eastAsia"/>
        </w:rPr>
        <w:t xml:space="preserve">注：同表</w:t>
      </w:r>
      <w:r>
        <w:t xml:space="preserve"> 2。</w:t>
      </w:r>
      <w:r>
        <w:t xml:space="preserve">“—”</w:t>
      </w:r>
      <w:r>
        <w:rPr>
          <w:rFonts w:hint="eastAsia"/>
        </w:rPr>
        <w:t xml:space="preserve">表示该模型未纳入此变量。</w:t>
      </w:r>
    </w:p>
    <w:bookmarkEnd w:id="14"/>
    <w:bookmarkStart w:id="15" w:name="央企与地方国企"/>
    <w:p>
      <w:pPr>
        <w:pStyle w:val="Heading4"/>
      </w:pPr>
      <w:r>
        <w:t xml:space="preserve">5.4.3 </w:t>
      </w:r>
      <w:r>
        <w:rPr>
          <w:rFonts w:hint="eastAsia"/>
        </w:rPr>
        <w:t xml:space="preserve">央企与地方国企</w:t>
      </w:r>
    </w:p>
    <w:p>
      <w:pPr>
        <w:pStyle w:val="FirstParagraph"/>
      </w:pPr>
      <w:r>
        <w:rPr>
          <w:rFonts w:hint="eastAsia"/>
        </w:rPr>
        <w:t xml:space="preserve">表</w:t>
      </w:r>
      <w:r>
        <w:t xml:space="preserve"> 6 </w:t>
      </w:r>
      <w:r>
        <w:rPr>
          <w:rFonts w:hint="eastAsia"/>
        </w:rPr>
        <w:t xml:space="preserve">报告了在国有企业子样本中进一步按央企与地方国企分组的回归结果（央地可识别比例为</w:t>
      </w:r>
      <w:r>
        <w:t xml:space="preserve"> </w:t>
      </w:r>
      <w:r>
        <w:rPr>
          <w:rFonts w:hint="eastAsia"/>
        </w:rPr>
        <w:t xml:space="preserve">73.64%）。在央企子样本（N</w:t>
      </w:r>
      <w:r>
        <w:t xml:space="preserve"> = </w:t>
      </w:r>
      <w:r>
        <w:rPr>
          <w:rFonts w:hint="eastAsia"/>
        </w:rPr>
        <w:t xml:space="preserve">3,610）中，lnSubsidy</w:t>
      </w:r>
      <w:r>
        <w:t xml:space="preserve"> </w:t>
      </w:r>
      <w:r>
        <w:rPr>
          <w:rFonts w:hint="eastAsia"/>
        </w:rPr>
        <w:t xml:space="preserve">的系数为</w:t>
      </w:r>
      <w:r>
        <w:t xml:space="preserve"> </w:t>
      </w:r>
      <w:r>
        <w:rPr>
          <w:rFonts w:hint="eastAsia"/>
        </w:rPr>
        <w:t xml:space="preserve">0.0202（t</w:t>
      </w:r>
      <w:r>
        <w:t xml:space="preserve"> = </w:t>
      </w:r>
      <w:r>
        <w:rPr>
          <w:rFonts w:hint="eastAsia"/>
        </w:rPr>
        <w:t xml:space="preserve">2.02，p</w:t>
      </w:r>
      <w:r>
        <w:t xml:space="preserve"> &lt; </w:t>
      </w:r>
      <w:r>
        <w:rPr>
          <w:rFonts w:hint="eastAsia"/>
        </w:rPr>
        <w:t xml:space="preserve">0.05），在</w:t>
      </w:r>
      <w:r>
        <w:t xml:space="preserve"> 5% </w:t>
      </w:r>
      <w:r>
        <w:rPr>
          <w:rFonts w:hint="eastAsia"/>
        </w:rPr>
        <w:t xml:space="preserve">水平下显著为正；在地方国企子样本（N</w:t>
      </w:r>
      <w:r>
        <w:t xml:space="preserve"> = </w:t>
      </w:r>
      <w:r>
        <w:rPr>
          <w:rFonts w:hint="eastAsia"/>
        </w:rPr>
        <w:t xml:space="preserve">7,907）中，lnSubsidy</w:t>
      </w:r>
      <w:r>
        <w:t xml:space="preserve"> </w:t>
      </w:r>
      <w:r>
        <w:rPr>
          <w:rFonts w:hint="eastAsia"/>
        </w:rPr>
        <w:t xml:space="preserve">的系数为</w:t>
      </w:r>
      <w:r>
        <w:t xml:space="preserve"> </w:t>
      </w:r>
      <w:r>
        <w:rPr>
          <w:rFonts w:hint="eastAsia"/>
        </w:rPr>
        <w:t xml:space="preserve">0.0432（t</w:t>
      </w:r>
      <w:r>
        <w:t xml:space="preserve"> = </w:t>
      </w:r>
      <w:r>
        <w:rPr>
          <w:rFonts w:hint="eastAsia"/>
        </w:rPr>
        <w:t xml:space="preserve">5.63，p</w:t>
      </w:r>
      <w:r>
        <w:t xml:space="preserve"> &lt; </w:t>
      </w:r>
      <w:r>
        <w:rPr>
          <w:rFonts w:hint="eastAsia"/>
        </w:rPr>
        <w:t xml:space="preserve">0.01），显著更强。两组对比表明，尽管央企监管较为严格，在修正</w:t>
      </w:r>
      <w:r>
        <w:t xml:space="preserve"> Overpay </w:t>
      </w:r>
      <w:r>
        <w:rPr>
          <w:rFonts w:hint="eastAsia"/>
        </w:rPr>
        <w:t xml:space="preserve">计算后补贴效应仍可检出，但经济量值（0.0202）远低于地方国企（0.0432），说明监管层级差异对财政补贴转化为超额薪酬的约束效应依然明显。值得注意的是，管理层权力（Power）在央企（系数</w:t>
      </w:r>
      <w:r>
        <w:t xml:space="preserve"> = </w:t>
      </w:r>
      <w:r>
        <w:rPr>
          <w:rFonts w:hint="eastAsia"/>
        </w:rPr>
        <w:t xml:space="preserve">0.0271，t</w:t>
      </w:r>
      <w:r>
        <w:t xml:space="preserve"> = </w:t>
      </w:r>
      <w:r>
        <w:rPr>
          <w:rFonts w:hint="eastAsia"/>
        </w:rPr>
        <w:t xml:space="preserve">1.84，p</w:t>
      </w:r>
      <w:r>
        <w:t xml:space="preserve"> &lt; </w:t>
      </w:r>
      <w:r>
        <w:rPr>
          <w:rFonts w:hint="eastAsia"/>
        </w:rPr>
        <w:t xml:space="preserve">0.1）和地方国企（系数</w:t>
      </w:r>
      <w:r>
        <w:t xml:space="preserve"> = </w:t>
      </w:r>
      <w:r>
        <w:rPr>
          <w:rFonts w:hint="eastAsia"/>
        </w:rPr>
        <w:t xml:space="preserve">0.0269，t</w:t>
      </w:r>
      <w:r>
        <w:t xml:space="preserve"> = </w:t>
      </w:r>
      <w:r>
        <w:rPr>
          <w:rFonts w:hint="eastAsia"/>
        </w:rPr>
        <w:t xml:space="preserve">2.12，p</w:t>
      </w:r>
      <w:r>
        <w:t xml:space="preserve"> &lt; </w:t>
      </w:r>
      <w:r>
        <w:rPr>
          <w:rFonts w:hint="eastAsia"/>
        </w:rPr>
        <w:t xml:space="preserve">0.05）均表现出显著正向影响，为管理层权力中介机制具有</w:t>
      </w:r>
      <w:r>
        <w:rPr>
          <w:rFonts w:hint="eastAsia"/>
          <w:b/>
          <w:bCs/>
        </w:rPr>
        <w:t xml:space="preserve">产权依赖性</w:t>
      </w:r>
      <w:r>
        <w:rPr>
          <w:rFonts w:hint="eastAsia"/>
        </w:rPr>
        <w:t xml:space="preserve">提供了实质性证据，即管理层权力的中介作用在国有产权结构下更为明显。</w:t>
      </w:r>
    </w:p>
    <w:p>
      <w:pPr>
        <w:pStyle w:val="BodyText"/>
      </w:pPr>
      <w:r>
        <w:rPr>
          <w:rFonts w:hint="eastAsia"/>
          <w:b/>
          <w:bCs/>
        </w:rPr>
        <w:t xml:space="preserve">表</w:t>
      </w:r>
      <w:r>
        <w:rPr>
          <w:b/>
          <w:bCs/>
        </w:rPr>
        <w:t xml:space="preserve"> 6 </w:t>
      </w:r>
      <w:r>
        <w:rPr>
          <w:rFonts w:hint="eastAsia"/>
          <w:b/>
          <w:bCs/>
        </w:rPr>
        <w:t xml:space="preserve">央企与地方国企回归结果（聚类标准误，央地可识别比例</w:t>
      </w:r>
      <w:r>
        <w:rPr>
          <w:b/>
          <w:bCs/>
        </w:rPr>
        <w:t xml:space="preserve"> = </w:t>
      </w:r>
      <w:r>
        <w:rPr>
          <w:rFonts w:hint="eastAsia"/>
          <w:b/>
          <w:bCs/>
        </w:rPr>
        <w:t xml:space="preserve">73.64%）</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央企-模型（3）</w:t>
            </w:r>
          </w:p>
        </w:tc>
        <w:tc>
          <w:tcPr/>
          <w:p>
            <w:pPr>
              <w:pStyle w:val="Compact"/>
              <w:jc w:val="center"/>
            </w:pPr>
            <w:r>
              <w:rPr>
                <w:rFonts w:hint="eastAsia"/>
              </w:rPr>
              <w:t xml:space="preserve">央企-模型（4）</w:t>
            </w:r>
          </w:p>
        </w:tc>
        <w:tc>
          <w:tcPr/>
          <w:p>
            <w:pPr>
              <w:pStyle w:val="Compact"/>
              <w:jc w:val="center"/>
            </w:pPr>
            <w:r>
              <w:rPr>
                <w:rFonts w:hint="eastAsia"/>
              </w:rPr>
              <w:t xml:space="preserve">地方国企-模型（3）</w:t>
            </w:r>
          </w:p>
        </w:tc>
        <w:tc>
          <w:tcPr/>
          <w:p>
            <w:pPr>
              <w:pStyle w:val="Compact"/>
              <w:jc w:val="center"/>
            </w:pPr>
            <w:r>
              <w:rPr>
                <w:rFonts w:hint="eastAsia"/>
              </w:rPr>
              <w:t xml:space="preserve">地方国企-模型（4）</w:t>
            </w:r>
          </w:p>
        </w:tc>
      </w:tr>
      <w:tr>
        <w:tc>
          <w:tcPr/>
          <w:p>
            <w:pPr>
              <w:pStyle w:val="Compact"/>
            </w:pP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c>
          <w:tcPr/>
          <w:p>
            <w:pPr>
              <w:pStyle w:val="Compact"/>
              <w:jc w:val="center"/>
            </w:pPr>
            <w:r>
              <w:t xml:space="preserve">Overpay</w:t>
            </w:r>
          </w:p>
        </w:tc>
      </w:tr>
      <w:tr>
        <w:tc>
          <w:tcPr/>
          <w:p>
            <w:pPr>
              <w:pStyle w:val="Compact"/>
              <w:jc w:val="left"/>
            </w:pPr>
            <w:r>
              <w:t xml:space="preserve">lnSubsidy</w:t>
            </w:r>
          </w:p>
        </w:tc>
        <w:tc>
          <w:tcPr/>
          <w:p>
            <w:pPr>
              <w:pStyle w:val="Compact"/>
              <w:jc w:val="center"/>
            </w:pPr>
            <w:r>
              <w:t xml:space="preserve">0.0202**</w:t>
            </w:r>
          </w:p>
        </w:tc>
        <w:tc>
          <w:tcPr/>
          <w:p>
            <w:pPr>
              <w:pStyle w:val="Compact"/>
              <w:jc w:val="center"/>
            </w:pPr>
            <w:r>
              <w:t xml:space="preserve">0.0201**</w:t>
            </w:r>
          </w:p>
        </w:tc>
        <w:tc>
          <w:tcPr/>
          <w:p>
            <w:pPr>
              <w:pStyle w:val="Compact"/>
              <w:jc w:val="center"/>
            </w:pPr>
            <w:r>
              <w:t xml:space="preserve">0.0432***</w:t>
            </w:r>
          </w:p>
        </w:tc>
        <w:tc>
          <w:tcPr/>
          <w:p>
            <w:pPr>
              <w:pStyle w:val="Compact"/>
              <w:jc w:val="center"/>
            </w:pPr>
            <w:r>
              <w:t xml:space="preserve">0.0418***</w:t>
            </w:r>
          </w:p>
        </w:tc>
      </w:tr>
      <w:tr>
        <w:tc>
          <w:tcPr/>
          <w:p>
            <w:pPr>
              <w:pStyle w:val="Compact"/>
            </w:pPr>
          </w:p>
        </w:tc>
        <w:tc>
          <w:tcPr/>
          <w:p>
            <w:pPr>
              <w:pStyle w:val="Compact"/>
              <w:jc w:val="center"/>
            </w:pPr>
            <w:r>
              <w:t xml:space="preserve">(2.0161)</w:t>
            </w:r>
          </w:p>
        </w:tc>
        <w:tc>
          <w:tcPr/>
          <w:p>
            <w:pPr>
              <w:pStyle w:val="Compact"/>
              <w:jc w:val="center"/>
            </w:pPr>
            <w:r>
              <w:t xml:space="preserve">(2.0023)</w:t>
            </w:r>
          </w:p>
        </w:tc>
        <w:tc>
          <w:tcPr/>
          <w:p>
            <w:pPr>
              <w:pStyle w:val="Compact"/>
              <w:jc w:val="center"/>
            </w:pPr>
            <w:r>
              <w:t xml:space="preserve">(5.6267)</w:t>
            </w:r>
          </w:p>
        </w:tc>
        <w:tc>
          <w:tcPr/>
          <w:p>
            <w:pPr>
              <w:pStyle w:val="Compact"/>
              <w:jc w:val="center"/>
            </w:pPr>
            <w:r>
              <w:t xml:space="preserve">(5.4743)</w:t>
            </w:r>
          </w:p>
        </w:tc>
      </w:tr>
      <w:tr>
        <w:tc>
          <w:tcPr/>
          <w:p>
            <w:pPr>
              <w:pStyle w:val="Compact"/>
              <w:jc w:val="left"/>
            </w:pPr>
            <w:r>
              <w:t xml:space="preserve">Power</w:t>
            </w:r>
          </w:p>
        </w:tc>
        <w:tc>
          <w:tcPr/>
          <w:p>
            <w:pPr>
              <w:pStyle w:val="Compact"/>
              <w:jc w:val="center"/>
            </w:pPr>
            <w:r>
              <w:t xml:space="preserve">—</w:t>
            </w:r>
          </w:p>
        </w:tc>
        <w:tc>
          <w:tcPr/>
          <w:p>
            <w:pPr>
              <w:pStyle w:val="Compact"/>
              <w:jc w:val="center"/>
            </w:pPr>
            <w:r>
              <w:t xml:space="preserve">0.0271*</w:t>
            </w:r>
          </w:p>
        </w:tc>
        <w:tc>
          <w:tcPr/>
          <w:p>
            <w:pPr>
              <w:pStyle w:val="Compact"/>
              <w:jc w:val="center"/>
            </w:pPr>
            <w:r>
              <w:t xml:space="preserve">—</w:t>
            </w:r>
          </w:p>
        </w:tc>
        <w:tc>
          <w:tcPr/>
          <w:p>
            <w:pPr>
              <w:pStyle w:val="Compact"/>
              <w:jc w:val="center"/>
            </w:pPr>
            <w:r>
              <w:t xml:space="preserve">0.0269**</w:t>
            </w:r>
          </w:p>
        </w:tc>
      </w:tr>
      <w:tr>
        <w:tc>
          <w:tcPr/>
          <w:p>
            <w:pPr>
              <w:pStyle w:val="Compact"/>
            </w:pPr>
          </w:p>
        </w:tc>
        <w:tc>
          <w:tcPr/>
          <w:p>
            <w:pPr>
              <w:pStyle w:val="Compact"/>
            </w:pPr>
          </w:p>
        </w:tc>
        <w:tc>
          <w:tcPr/>
          <w:p>
            <w:pPr>
              <w:pStyle w:val="Compact"/>
              <w:jc w:val="center"/>
            </w:pPr>
            <w:r>
              <w:t xml:space="preserve">(1.8350)</w:t>
            </w:r>
          </w:p>
        </w:tc>
        <w:tc>
          <w:tcPr/>
          <w:p>
            <w:pPr>
              <w:pStyle w:val="Compact"/>
            </w:pPr>
          </w:p>
        </w:tc>
        <w:tc>
          <w:tcPr/>
          <w:p>
            <w:pPr>
              <w:pStyle w:val="Compact"/>
              <w:jc w:val="center"/>
            </w:pPr>
            <w:r>
              <w:t xml:space="preserve">(2.1197)</w:t>
            </w:r>
          </w:p>
        </w:tc>
      </w:tr>
      <w:tr>
        <w:tc>
          <w:tcPr/>
          <w:p>
            <w:pPr>
              <w:pStyle w:val="Compact"/>
              <w:jc w:val="left"/>
            </w:pPr>
            <w:r>
              <w:t xml:space="preserve">Roa</w:t>
            </w:r>
          </w:p>
        </w:tc>
        <w:tc>
          <w:tcPr/>
          <w:p>
            <w:pPr>
              <w:pStyle w:val="Compact"/>
              <w:jc w:val="center"/>
            </w:pPr>
            <w:r>
              <w:t xml:space="preserve">0.7485**</w:t>
            </w:r>
          </w:p>
        </w:tc>
        <w:tc>
          <w:tcPr/>
          <w:p>
            <w:pPr>
              <w:pStyle w:val="Compact"/>
              <w:jc w:val="center"/>
            </w:pPr>
            <w:r>
              <w:t xml:space="preserve">0.7295**</w:t>
            </w:r>
          </w:p>
        </w:tc>
        <w:tc>
          <w:tcPr/>
          <w:p>
            <w:pPr>
              <w:pStyle w:val="Compact"/>
              <w:jc w:val="center"/>
            </w:pPr>
            <w:r>
              <w:t xml:space="preserve">0.9434***</w:t>
            </w:r>
          </w:p>
        </w:tc>
        <w:tc>
          <w:tcPr/>
          <w:p>
            <w:pPr>
              <w:pStyle w:val="Compact"/>
              <w:jc w:val="center"/>
            </w:pPr>
            <w:r>
              <w:t xml:space="preserve">0.9197***</w:t>
            </w:r>
          </w:p>
        </w:tc>
      </w:tr>
      <w:tr>
        <w:tc>
          <w:tcPr/>
          <w:p>
            <w:pPr>
              <w:pStyle w:val="Compact"/>
            </w:pPr>
          </w:p>
        </w:tc>
        <w:tc>
          <w:tcPr/>
          <w:p>
            <w:pPr>
              <w:pStyle w:val="Compact"/>
              <w:jc w:val="center"/>
            </w:pPr>
            <w:r>
              <w:t xml:space="preserve">(2.5313)</w:t>
            </w:r>
          </w:p>
        </w:tc>
        <w:tc>
          <w:tcPr/>
          <w:p>
            <w:pPr>
              <w:pStyle w:val="Compact"/>
              <w:jc w:val="center"/>
            </w:pPr>
            <w:r>
              <w:t xml:space="preserve">(2.4734)</w:t>
            </w:r>
          </w:p>
        </w:tc>
        <w:tc>
          <w:tcPr/>
          <w:p>
            <w:pPr>
              <w:pStyle w:val="Compact"/>
              <w:jc w:val="center"/>
            </w:pPr>
            <w:r>
              <w:t xml:space="preserve">(4.9255)</w:t>
            </w:r>
          </w:p>
        </w:tc>
        <w:tc>
          <w:tcPr/>
          <w:p>
            <w:pPr>
              <w:pStyle w:val="Compact"/>
              <w:jc w:val="center"/>
            </w:pPr>
            <w:r>
              <w:t xml:space="preserve">(4.7952)</w:t>
            </w:r>
          </w:p>
        </w:tc>
      </w:tr>
      <w:tr>
        <w:tc>
          <w:tcPr/>
          <w:p>
            <w:pPr>
              <w:pStyle w:val="Compact"/>
              <w:jc w:val="left"/>
            </w:pPr>
            <w:r>
              <w:t xml:space="preserve">Lever</w:t>
            </w:r>
          </w:p>
        </w:tc>
        <w:tc>
          <w:tcPr/>
          <w:p>
            <w:pPr>
              <w:pStyle w:val="Compact"/>
              <w:jc w:val="center"/>
            </w:pPr>
            <w:r>
              <w:t xml:space="preserve">-0.3918***</w:t>
            </w:r>
          </w:p>
        </w:tc>
        <w:tc>
          <w:tcPr/>
          <w:p>
            <w:pPr>
              <w:pStyle w:val="Compact"/>
              <w:jc w:val="center"/>
            </w:pPr>
            <w:r>
              <w:t xml:space="preserve">-0.3984***</w:t>
            </w:r>
          </w:p>
        </w:tc>
        <w:tc>
          <w:tcPr/>
          <w:p>
            <w:pPr>
              <w:pStyle w:val="Compact"/>
              <w:jc w:val="center"/>
            </w:pPr>
            <w:r>
              <w:t xml:space="preserve">-0.4036***</w:t>
            </w:r>
          </w:p>
        </w:tc>
        <w:tc>
          <w:tcPr/>
          <w:p>
            <w:pPr>
              <w:pStyle w:val="Compact"/>
              <w:jc w:val="center"/>
            </w:pPr>
            <w:r>
              <w:t xml:space="preserve">-0.4101***</w:t>
            </w:r>
          </w:p>
        </w:tc>
      </w:tr>
      <w:tr>
        <w:tc>
          <w:tcPr/>
          <w:p>
            <w:pPr>
              <w:pStyle w:val="Compact"/>
            </w:pPr>
          </w:p>
        </w:tc>
        <w:tc>
          <w:tcPr/>
          <w:p>
            <w:pPr>
              <w:pStyle w:val="Compact"/>
              <w:jc w:val="center"/>
            </w:pPr>
            <w:r>
              <w:t xml:space="preserve">(-3.6153)</w:t>
            </w:r>
          </w:p>
        </w:tc>
        <w:tc>
          <w:tcPr/>
          <w:p>
            <w:pPr>
              <w:pStyle w:val="Compact"/>
              <w:jc w:val="center"/>
            </w:pPr>
            <w:r>
              <w:t xml:space="preserve">(-3.6897)</w:t>
            </w:r>
          </w:p>
        </w:tc>
        <w:tc>
          <w:tcPr/>
          <w:p>
            <w:pPr>
              <w:pStyle w:val="Compact"/>
              <w:jc w:val="center"/>
            </w:pPr>
            <w:r>
              <w:t xml:space="preserve">(-5.4917)</w:t>
            </w:r>
          </w:p>
        </w:tc>
        <w:tc>
          <w:tcPr/>
          <w:p>
            <w:pPr>
              <w:pStyle w:val="Compact"/>
              <w:jc w:val="center"/>
            </w:pPr>
            <w:r>
              <w:t xml:space="preserve">(-5.5770)</w:t>
            </w:r>
          </w:p>
        </w:tc>
      </w:tr>
      <w:tr>
        <w:tc>
          <w:tcPr/>
          <w:p>
            <w:pPr>
              <w:pStyle w:val="Compact"/>
              <w:jc w:val="left"/>
            </w:pPr>
            <w:r>
              <w:t xml:space="preserve">Top1</w:t>
            </w:r>
          </w:p>
        </w:tc>
        <w:tc>
          <w:tcPr/>
          <w:p>
            <w:pPr>
              <w:pStyle w:val="Compact"/>
              <w:jc w:val="center"/>
            </w:pPr>
            <w:r>
              <w:t xml:space="preserve">-0.0045***</w:t>
            </w:r>
          </w:p>
        </w:tc>
        <w:tc>
          <w:tcPr/>
          <w:p>
            <w:pPr>
              <w:pStyle w:val="Compact"/>
              <w:jc w:val="center"/>
            </w:pPr>
            <w:r>
              <w:t xml:space="preserve">-0.0045***</w:t>
            </w:r>
          </w:p>
        </w:tc>
        <w:tc>
          <w:tcPr/>
          <w:p>
            <w:pPr>
              <w:pStyle w:val="Compact"/>
              <w:jc w:val="center"/>
            </w:pPr>
            <w:r>
              <w:t xml:space="preserve">-0.0051***</w:t>
            </w:r>
          </w:p>
        </w:tc>
        <w:tc>
          <w:tcPr/>
          <w:p>
            <w:pPr>
              <w:pStyle w:val="Compact"/>
              <w:jc w:val="center"/>
            </w:pPr>
            <w:r>
              <w:t xml:space="preserve">-0.0049***</w:t>
            </w:r>
          </w:p>
        </w:tc>
      </w:tr>
      <w:tr>
        <w:tc>
          <w:tcPr/>
          <w:p>
            <w:pPr>
              <w:pStyle w:val="Compact"/>
            </w:pPr>
          </w:p>
        </w:tc>
        <w:tc>
          <w:tcPr/>
          <w:p>
            <w:pPr>
              <w:pStyle w:val="Compact"/>
              <w:jc w:val="center"/>
            </w:pPr>
            <w:r>
              <w:t xml:space="preserve">(-3.4225)</w:t>
            </w:r>
          </w:p>
        </w:tc>
        <w:tc>
          <w:tcPr/>
          <w:p>
            <w:pPr>
              <w:pStyle w:val="Compact"/>
              <w:jc w:val="center"/>
            </w:pPr>
            <w:r>
              <w:t xml:space="preserve">(-3.4415)</w:t>
            </w:r>
          </w:p>
        </w:tc>
        <w:tc>
          <w:tcPr/>
          <w:p>
            <w:pPr>
              <w:pStyle w:val="Compact"/>
              <w:jc w:val="center"/>
            </w:pPr>
            <w:r>
              <w:t xml:space="preserve">(-4.8196)</w:t>
            </w:r>
          </w:p>
        </w:tc>
        <w:tc>
          <w:tcPr/>
          <w:p>
            <w:pPr>
              <w:pStyle w:val="Compact"/>
              <w:jc w:val="center"/>
            </w:pPr>
            <w:r>
              <w:t xml:space="preserve">(-4.7085)</w:t>
            </w:r>
          </w:p>
        </w:tc>
      </w:tr>
      <w:tr>
        <w:tc>
          <w:tcPr/>
          <w:p>
            <w:pPr>
              <w:pStyle w:val="Compact"/>
              <w:jc w:val="left"/>
            </w:pPr>
            <w:r>
              <w:t xml:space="preserve">Zone</w:t>
            </w:r>
          </w:p>
        </w:tc>
        <w:tc>
          <w:tcPr/>
          <w:p>
            <w:pPr>
              <w:pStyle w:val="Compact"/>
              <w:jc w:val="center"/>
            </w:pPr>
            <w:r>
              <w:t xml:space="preserve">0.0213</w:t>
            </w:r>
          </w:p>
        </w:tc>
        <w:tc>
          <w:tcPr/>
          <w:p>
            <w:pPr>
              <w:pStyle w:val="Compact"/>
              <w:jc w:val="center"/>
            </w:pPr>
            <w:r>
              <w:t xml:space="preserve">0.0239</w:t>
            </w:r>
          </w:p>
        </w:tc>
        <w:tc>
          <w:tcPr/>
          <w:p>
            <w:pPr>
              <w:pStyle w:val="Compact"/>
              <w:jc w:val="center"/>
            </w:pPr>
            <w:r>
              <w:t xml:space="preserve">-0.0840***</w:t>
            </w:r>
          </w:p>
        </w:tc>
        <w:tc>
          <w:tcPr/>
          <w:p>
            <w:pPr>
              <w:pStyle w:val="Compact"/>
              <w:jc w:val="center"/>
            </w:pPr>
            <w:r>
              <w:t xml:space="preserve">-0.0856***</w:t>
            </w:r>
          </w:p>
        </w:tc>
      </w:tr>
      <w:tr>
        <w:tc>
          <w:tcPr/>
          <w:p>
            <w:pPr>
              <w:pStyle w:val="Compact"/>
            </w:pPr>
          </w:p>
        </w:tc>
        <w:tc>
          <w:tcPr/>
          <w:p>
            <w:pPr>
              <w:pStyle w:val="Compact"/>
              <w:jc w:val="center"/>
            </w:pPr>
            <w:r>
              <w:t xml:space="preserve">(0.4885)</w:t>
            </w:r>
          </w:p>
        </w:tc>
        <w:tc>
          <w:tcPr/>
          <w:p>
            <w:pPr>
              <w:pStyle w:val="Compact"/>
              <w:jc w:val="center"/>
            </w:pPr>
            <w:r>
              <w:t xml:space="preserve">(0.5500)</w:t>
            </w:r>
          </w:p>
        </w:tc>
        <w:tc>
          <w:tcPr/>
          <w:p>
            <w:pPr>
              <w:pStyle w:val="Compact"/>
              <w:jc w:val="center"/>
            </w:pPr>
            <w:r>
              <w:t xml:space="preserve">(-2.6163)</w:t>
            </w:r>
          </w:p>
        </w:tc>
        <w:tc>
          <w:tcPr/>
          <w:p>
            <w:pPr>
              <w:pStyle w:val="Compact"/>
              <w:jc w:val="center"/>
            </w:pPr>
            <w:r>
              <w:t xml:space="preserve">(-2.6708)</w:t>
            </w:r>
          </w:p>
        </w:tc>
      </w:tr>
      <w:tr>
        <w:tc>
          <w:tcPr/>
          <w:p>
            <w:pPr>
              <w:pStyle w:val="Compact"/>
              <w:jc w:val="left"/>
            </w:pPr>
            <w:r>
              <w:rPr>
                <w:rFonts w:hint="eastAsia"/>
              </w:rPr>
              <w:t xml:space="preserve">行业固定效应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rPr>
                <w:rFonts w:hint="eastAsia"/>
              </w:rPr>
              <w:t xml:space="preserve">年份固定效应</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c>
          <w:tcPr/>
          <w:p>
            <w:pPr>
              <w:pStyle w:val="Compact"/>
              <w:jc w:val="center"/>
            </w:pPr>
            <w:r>
              <w:rPr>
                <w:rFonts w:hint="eastAsia"/>
              </w:rPr>
              <w:t xml:space="preserve">控制</w:t>
            </w:r>
          </w:p>
        </w:tc>
      </w:tr>
      <w:tr>
        <w:tc>
          <w:tcPr/>
          <w:p>
            <w:pPr>
              <w:pStyle w:val="Compact"/>
              <w:jc w:val="left"/>
            </w:pPr>
            <w:r>
              <w:t xml:space="preserve">N</w:t>
            </w:r>
          </w:p>
        </w:tc>
        <w:tc>
          <w:tcPr/>
          <w:p>
            <w:pPr>
              <w:pStyle w:val="Compact"/>
              <w:jc w:val="center"/>
            </w:pPr>
            <w:r>
              <w:t xml:space="preserve">3,610</w:t>
            </w:r>
          </w:p>
        </w:tc>
        <w:tc>
          <w:tcPr/>
          <w:p>
            <w:pPr>
              <w:pStyle w:val="Compact"/>
              <w:jc w:val="center"/>
            </w:pPr>
            <w:r>
              <w:t xml:space="preserve">3,610</w:t>
            </w:r>
          </w:p>
        </w:tc>
        <w:tc>
          <w:tcPr/>
          <w:p>
            <w:pPr>
              <w:pStyle w:val="Compact"/>
              <w:jc w:val="center"/>
            </w:pPr>
            <w:r>
              <w:t xml:space="preserve">7,907</w:t>
            </w:r>
          </w:p>
        </w:tc>
        <w:tc>
          <w:tcPr/>
          <w:p>
            <w:pPr>
              <w:pStyle w:val="Compact"/>
              <w:jc w:val="center"/>
            </w:pPr>
            <w:r>
              <w:t xml:space="preserve">7,907</w:t>
            </w:r>
          </w:p>
        </w:tc>
      </w:tr>
      <w:tr>
        <w:tc>
          <w:tcPr/>
          <w:p>
            <w:pPr>
              <w:pStyle w:val="Compact"/>
              <w:jc w:val="left"/>
            </w:pPr>
            <w:r>
              <w:t xml:space="preserve">R²</w:t>
            </w:r>
          </w:p>
        </w:tc>
        <w:tc>
          <w:tcPr/>
          <w:p>
            <w:pPr>
              <w:pStyle w:val="Compact"/>
              <w:jc w:val="center"/>
            </w:pPr>
            <w:r>
              <w:t xml:space="preserve">0.1076</w:t>
            </w:r>
          </w:p>
        </w:tc>
        <w:tc>
          <w:tcPr/>
          <w:p>
            <w:pPr>
              <w:pStyle w:val="Compact"/>
              <w:jc w:val="center"/>
            </w:pPr>
            <w:r>
              <w:t xml:space="preserve">0.1108</w:t>
            </w:r>
          </w:p>
        </w:tc>
        <w:tc>
          <w:tcPr/>
          <w:p>
            <w:pPr>
              <w:pStyle w:val="Compact"/>
              <w:jc w:val="center"/>
            </w:pPr>
            <w:r>
              <w:t xml:space="preserve">0.1104</w:t>
            </w:r>
          </w:p>
        </w:tc>
        <w:tc>
          <w:tcPr/>
          <w:p>
            <w:pPr>
              <w:pStyle w:val="Compact"/>
              <w:jc w:val="center"/>
            </w:pPr>
            <w:r>
              <w:t xml:space="preserve">0.1128</w:t>
            </w:r>
          </w:p>
        </w:tc>
      </w:tr>
    </w:tbl>
    <w:p>
      <w:pPr>
        <w:pStyle w:val="BodyText"/>
      </w:pPr>
      <w:r>
        <w:rPr>
          <w:rFonts w:hint="eastAsia"/>
        </w:rPr>
        <w:t xml:space="preserve">注：同表</w:t>
      </w:r>
      <w:r>
        <w:t xml:space="preserve"> 2。</w:t>
      </w:r>
      <w:r>
        <w:t xml:space="preserve">“—”</w:t>
      </w:r>
      <w:r>
        <w:rPr>
          <w:rFonts w:hint="eastAsia"/>
        </w:rPr>
        <w:t xml:space="preserve">表示该模型未纳入此变量。</w:t>
      </w:r>
    </w:p>
    <w:p>
      <w:r>
        <w:pict>
          <v:rect style="width:0;height:1.5pt" o:hralign="center" o:hrstd="t" o:hr="t"/>
        </w:pict>
      </w:r>
    </w:p>
    <w:bookmarkEnd w:id="15"/>
    <w:bookmarkEnd w:id="16"/>
    <w:bookmarkStart w:id="17" w:name="稳健性检验"/>
    <w:p>
      <w:pPr>
        <w:pStyle w:val="Heading3"/>
      </w:pPr>
      <w:r>
        <w:t xml:space="preserve">5.5 </w:t>
      </w:r>
      <w:r>
        <w:rPr>
          <w:rFonts w:hint="eastAsia"/>
        </w:rPr>
        <w:t xml:space="preserve">稳健性检验</w:t>
      </w:r>
    </w:p>
    <w:p>
      <w:pPr>
        <w:pStyle w:val="FirstParagraph"/>
      </w:pPr>
      <w:r>
        <w:rPr>
          <w:rFonts w:hint="eastAsia"/>
        </w:rPr>
        <w:t xml:space="preserve">为确保结论可靠，本文进行了六项稳健性检验（结果见表</w:t>
      </w:r>
      <w:r>
        <w:t xml:space="preserve"> </w:t>
      </w:r>
      <w:r>
        <w:rPr>
          <w:rFonts w:hint="eastAsia"/>
        </w:rPr>
        <w:t xml:space="preserve">7）：</w:t>
      </w:r>
    </w:p>
    <w:p>
      <w:pPr>
        <w:pStyle w:val="Compact"/>
        <w:numPr>
          <w:ilvl w:val="0"/>
          <w:numId w:val="1001"/>
        </w:numPr>
      </w:pPr>
      <w:r>
        <w:rPr>
          <w:rFonts w:hint="eastAsia"/>
          <w:b/>
          <w:bCs/>
        </w:rPr>
        <w:t xml:space="preserve">替换被解释变量</w:t>
      </w:r>
      <w:r>
        <w:rPr>
          <w:rFonts w:hint="eastAsia"/>
        </w:rPr>
        <w:t xml:space="preserve">：以高管薪酬对数（lnCEOpay）替代超额薪酬（Overpay），lnSubsidy</w:t>
      </w:r>
      <w:r>
        <w:t xml:space="preserve"> </w:t>
      </w:r>
      <w:r>
        <w:rPr>
          <w:rFonts w:hint="eastAsia"/>
        </w:rPr>
        <w:t xml:space="preserve">系数为</w:t>
      </w:r>
      <w:r>
        <w:t xml:space="preserve"> </w:t>
      </w:r>
      <w:r>
        <w:rPr>
          <w:rFonts w:hint="eastAsia"/>
        </w:rPr>
        <w:t xml:space="preserve">0.1319（t</w:t>
      </w:r>
      <w:r>
        <w:t xml:space="preserve"> = </w:t>
      </w:r>
      <w:r>
        <w:rPr>
          <w:rFonts w:hint="eastAsia"/>
        </w:rPr>
        <w:t xml:space="preserve">32.94，p</w:t>
      </w:r>
      <w:r>
        <w:t xml:space="preserve"> &lt; </w:t>
      </w:r>
      <w:r>
        <w:rPr>
          <w:rFonts w:hint="eastAsia"/>
        </w:rPr>
        <w:t xml:space="preserve">0.01），结论稳健。</w:t>
      </w:r>
    </w:p>
    <w:p>
      <w:pPr>
        <w:pStyle w:val="Compact"/>
        <w:numPr>
          <w:ilvl w:val="0"/>
          <w:numId w:val="1001"/>
        </w:numPr>
      </w:pPr>
      <w:r>
        <w:rPr>
          <w:rFonts w:hint="eastAsia"/>
          <w:b/>
          <w:bCs/>
        </w:rPr>
        <w:t xml:space="preserve">缩小样本期</w:t>
      </w:r>
      <w:r>
        <w:rPr>
          <w:rFonts w:hint="eastAsia"/>
        </w:rPr>
        <w:t xml:space="preserve">：仅保留</w:t>
      </w:r>
      <w:r>
        <w:t xml:space="preserve"> 2010–2020 </w:t>
      </w:r>
      <w:r>
        <w:rPr>
          <w:rFonts w:hint="eastAsia"/>
        </w:rPr>
        <w:t xml:space="preserve">年数据，lnSubsidy</w:t>
      </w:r>
      <w:r>
        <w:t xml:space="preserve"> </w:t>
      </w:r>
      <w:r>
        <w:rPr>
          <w:rFonts w:hint="eastAsia"/>
        </w:rPr>
        <w:t xml:space="preserve">系数为</w:t>
      </w:r>
      <w:r>
        <w:t xml:space="preserve"> </w:t>
      </w:r>
      <w:r>
        <w:rPr>
          <w:rFonts w:hint="eastAsia"/>
        </w:rPr>
        <w:t xml:space="preserve">0.0536（t</w:t>
      </w:r>
      <w:r>
        <w:t xml:space="preserve"> = </w:t>
      </w:r>
      <w:r>
        <w:rPr>
          <w:rFonts w:hint="eastAsia"/>
        </w:rPr>
        <w:t xml:space="preserve">12.48，p</w:t>
      </w:r>
      <w:r>
        <w:t xml:space="preserve"> &lt; </w:t>
      </w:r>
      <w:r>
        <w:rPr>
          <w:rFonts w:hint="eastAsia"/>
        </w:rPr>
        <w:t xml:space="preserve">0.01），结论不变。</w:t>
      </w:r>
    </w:p>
    <w:p>
      <w:pPr>
        <w:pStyle w:val="Compact"/>
        <w:numPr>
          <w:ilvl w:val="0"/>
          <w:numId w:val="1001"/>
        </w:numPr>
      </w:pPr>
      <w:r>
        <w:rPr>
          <w:rFonts w:hint="eastAsia"/>
          <w:b/>
          <w:bCs/>
        </w:rPr>
        <w:t xml:space="preserve">剔除极端补助值</w:t>
      </w:r>
      <w:r>
        <w:rPr>
          <w:rFonts w:hint="eastAsia"/>
        </w:rPr>
        <w:t xml:space="preserve">：去除政府补助</w:t>
      </w:r>
      <w:r>
        <w:t xml:space="preserve"> 5%/95% </w:t>
      </w:r>
      <w:r>
        <w:rPr>
          <w:rFonts w:hint="eastAsia"/>
        </w:rPr>
        <w:t xml:space="preserve">分位数以外的观测值，lnSubsidy</w:t>
      </w:r>
      <w:r>
        <w:t xml:space="preserve"> </w:t>
      </w:r>
      <w:r>
        <w:rPr>
          <w:rFonts w:hint="eastAsia"/>
        </w:rPr>
        <w:t xml:space="preserve">系数为</w:t>
      </w:r>
      <w:r>
        <w:t xml:space="preserve"> </w:t>
      </w:r>
      <w:r>
        <w:rPr>
          <w:rFonts w:hint="eastAsia"/>
        </w:rPr>
        <w:t xml:space="preserve">0.0577（t</w:t>
      </w:r>
      <w:r>
        <w:t xml:space="preserve"> = </w:t>
      </w:r>
      <w:r>
        <w:rPr>
          <w:rFonts w:hint="eastAsia"/>
        </w:rPr>
        <w:t xml:space="preserve">12.91，p</w:t>
      </w:r>
      <w:r>
        <w:t xml:space="preserve"> &lt; </w:t>
      </w:r>
      <w:r>
        <w:rPr>
          <w:rFonts w:hint="eastAsia"/>
        </w:rPr>
        <w:t xml:space="preserve">0.01），结论稳健。</w:t>
      </w:r>
    </w:p>
    <w:p>
      <w:pPr>
        <w:pStyle w:val="Compact"/>
        <w:numPr>
          <w:ilvl w:val="0"/>
          <w:numId w:val="1001"/>
        </w:numPr>
      </w:pPr>
      <w:r>
        <w:rPr>
          <w:rFonts w:hint="eastAsia"/>
          <w:b/>
          <w:bCs/>
        </w:rPr>
        <w:t xml:space="preserve">仅保留制造业样本</w:t>
      </w:r>
      <w:r>
        <w:rPr>
          <w:rFonts w:hint="eastAsia"/>
        </w:rPr>
        <w:t xml:space="preserve">：lnSubsidy</w:t>
      </w:r>
      <w:r>
        <w:t xml:space="preserve"> </w:t>
      </w:r>
      <w:r>
        <w:rPr>
          <w:rFonts w:hint="eastAsia"/>
        </w:rPr>
        <w:t xml:space="preserve">系数为</w:t>
      </w:r>
      <w:r>
        <w:t xml:space="preserve"> </w:t>
      </w:r>
      <w:r>
        <w:rPr>
          <w:rFonts w:hint="eastAsia"/>
        </w:rPr>
        <w:t xml:space="preserve">0.0709（t</w:t>
      </w:r>
      <w:r>
        <w:t xml:space="preserve"> = </w:t>
      </w:r>
      <w:r>
        <w:rPr>
          <w:rFonts w:hint="eastAsia"/>
        </w:rPr>
        <w:t xml:space="preserve">14.83，p</w:t>
      </w:r>
      <w:r>
        <w:t xml:space="preserve"> &lt; </w:t>
      </w:r>
      <w:r>
        <w:rPr>
          <w:rFonts w:hint="eastAsia"/>
        </w:rPr>
        <w:t xml:space="preserve">0.01），结论稳健。</w:t>
      </w:r>
    </w:p>
    <w:p>
      <w:pPr>
        <w:pStyle w:val="Compact"/>
        <w:numPr>
          <w:ilvl w:val="0"/>
          <w:numId w:val="1001"/>
        </w:numPr>
      </w:pPr>
      <w:r>
        <w:rPr>
          <w:rFonts w:hint="eastAsia"/>
          <w:b/>
          <w:bCs/>
        </w:rPr>
        <w:t xml:space="preserve">替换解释变量</w:t>
      </w:r>
      <w:r>
        <w:rPr>
          <w:rFonts w:hint="eastAsia"/>
        </w:rPr>
        <w:t xml:space="preserve">：以</w:t>
      </w:r>
      <w:r>
        <w:t xml:space="preserve"> ln(1 + </w:t>
      </w:r>
      <w:r>
        <w:rPr>
          <w:rFonts w:hint="eastAsia"/>
        </w:rPr>
        <w:t xml:space="preserve">补助)</w:t>
      </w:r>
      <w:r>
        <w:t xml:space="preserve"> </w:t>
      </w:r>
      <w:r>
        <w:rPr>
          <w:rFonts w:hint="eastAsia"/>
        </w:rPr>
        <w:t xml:space="preserve">替代</w:t>
      </w:r>
      <w:r>
        <w:t xml:space="preserve"> </w:t>
      </w:r>
      <w:r>
        <w:rPr>
          <w:rFonts w:hint="eastAsia"/>
        </w:rPr>
        <w:t xml:space="preserve">ln(补助)，系数为</w:t>
      </w:r>
      <w:r>
        <w:t xml:space="preserve"> </w:t>
      </w:r>
      <w:r>
        <w:rPr>
          <w:rFonts w:hint="eastAsia"/>
        </w:rPr>
        <w:t xml:space="preserve">0.0509（t</w:t>
      </w:r>
      <w:r>
        <w:t xml:space="preserve"> = </w:t>
      </w:r>
      <w:r>
        <w:rPr>
          <w:rFonts w:hint="eastAsia"/>
        </w:rPr>
        <w:t xml:space="preserve">14.77，p</w:t>
      </w:r>
      <w:r>
        <w:t xml:space="preserve"> &lt; </w:t>
      </w:r>
      <w:r>
        <w:rPr>
          <w:rFonts w:hint="eastAsia"/>
        </w:rPr>
        <w:t xml:space="preserve">0.01），结论不变。</w:t>
      </w:r>
    </w:p>
    <w:p>
      <w:pPr>
        <w:pStyle w:val="Compact"/>
        <w:numPr>
          <w:ilvl w:val="0"/>
          <w:numId w:val="1001"/>
        </w:numPr>
      </w:pPr>
      <w:r>
        <w:rPr>
          <w:rFonts w:hint="eastAsia"/>
          <w:b/>
          <w:bCs/>
        </w:rPr>
        <w:t xml:space="preserve">滞后一期补助</w:t>
      </w:r>
      <w:r>
        <w:rPr>
          <w:rFonts w:hint="eastAsia"/>
        </w:rPr>
        <w:t xml:space="preserve">：使用</w:t>
      </w:r>
      <w:r>
        <w:t xml:space="preserve"> t-1 </w:t>
      </w:r>
      <w:r>
        <w:rPr>
          <w:rFonts w:hint="eastAsia"/>
        </w:rPr>
        <w:t xml:space="preserve">期政府补助替代当期补助，系数为</w:t>
      </w:r>
      <w:r>
        <w:t xml:space="preserve"> </w:t>
      </w:r>
      <w:r>
        <w:rPr>
          <w:rFonts w:hint="eastAsia"/>
        </w:rPr>
        <w:t xml:space="preserve">0.0508（t</w:t>
      </w:r>
      <w:r>
        <w:t xml:space="preserve"> = </w:t>
      </w:r>
      <w:r>
        <w:rPr>
          <w:rFonts w:hint="eastAsia"/>
        </w:rPr>
        <w:t xml:space="preserve">13.92，p</w:t>
      </w:r>
      <w:r>
        <w:t xml:space="preserve"> &lt; </w:t>
      </w:r>
      <w:r>
        <w:rPr>
          <w:rFonts w:hint="eastAsia"/>
        </w:rPr>
        <w:t xml:space="preserve">0.01），在一定程度上缓解了反向因果的担忧。</w:t>
      </w:r>
    </w:p>
    <w:p>
      <w:pPr>
        <w:pStyle w:val="FirstParagraph"/>
      </w:pPr>
      <w:r>
        <w:rPr>
          <w:rFonts w:hint="eastAsia"/>
          <w:b/>
          <w:bCs/>
        </w:rPr>
        <w:t xml:space="preserve">表</w:t>
      </w:r>
      <w:r>
        <w:rPr>
          <w:b/>
          <w:bCs/>
        </w:rPr>
        <w:t xml:space="preserve"> 7 </w:t>
      </w:r>
      <w:r>
        <w:rPr>
          <w:rFonts w:hint="eastAsia"/>
          <w:b/>
          <w:bCs/>
        </w:rPr>
        <w:t xml:space="preserve">稳健性检验结果（聚类标准误）</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检验内容</w:t>
            </w:r>
          </w:p>
        </w:tc>
        <w:tc>
          <w:tcPr/>
          <w:p>
            <w:pPr>
              <w:pStyle w:val="Compact"/>
              <w:jc w:val="center"/>
            </w:pPr>
            <w:r>
              <w:rPr>
                <w:rFonts w:hint="eastAsia"/>
              </w:rPr>
              <w:t xml:space="preserve">被解释变量</w:t>
            </w:r>
          </w:p>
        </w:tc>
        <w:tc>
          <w:tcPr/>
          <w:p>
            <w:pPr>
              <w:pStyle w:val="Compact"/>
              <w:jc w:val="center"/>
            </w:pPr>
            <w:r>
              <w:rPr>
                <w:rFonts w:hint="eastAsia"/>
              </w:rPr>
              <w:t xml:space="preserve">补助变量系数</w:t>
            </w:r>
          </w:p>
        </w:tc>
        <w:tc>
          <w:tcPr/>
          <w:p>
            <w:pPr>
              <w:pStyle w:val="Compact"/>
              <w:jc w:val="center"/>
            </w:pPr>
            <w:r>
              <w:t xml:space="preserve">t </w:t>
            </w:r>
            <w:r>
              <w:rPr>
                <w:rFonts w:hint="eastAsia"/>
              </w:rPr>
              <w:t xml:space="preserve">值</w:t>
            </w:r>
          </w:p>
        </w:tc>
        <w:tc>
          <w:tcPr/>
          <w:p>
            <w:pPr>
              <w:pStyle w:val="Compact"/>
              <w:jc w:val="center"/>
            </w:pPr>
            <w:r>
              <w:t xml:space="preserve">N</w:t>
            </w:r>
          </w:p>
        </w:tc>
        <w:tc>
          <w:tcPr/>
          <w:p>
            <w:pPr>
              <w:pStyle w:val="Compact"/>
              <w:jc w:val="center"/>
            </w:pPr>
            <w:r>
              <w:t xml:space="preserve">R²</w:t>
            </w:r>
          </w:p>
        </w:tc>
      </w:tr>
      <w:tr>
        <w:tc>
          <w:tcPr/>
          <w:p>
            <w:pPr>
              <w:pStyle w:val="Compact"/>
              <w:jc w:val="left"/>
            </w:pPr>
            <w:r>
              <w:t xml:space="preserve">(1) </w:t>
            </w:r>
            <w:r>
              <w:rPr>
                <w:rFonts w:hint="eastAsia"/>
              </w:rPr>
              <w:t xml:space="preserve">替换因变量</w:t>
            </w:r>
          </w:p>
        </w:tc>
        <w:tc>
          <w:tcPr/>
          <w:p>
            <w:pPr>
              <w:pStyle w:val="Compact"/>
              <w:jc w:val="center"/>
            </w:pPr>
            <w:r>
              <w:t xml:space="preserve">lnCEOpay</w:t>
            </w:r>
          </w:p>
        </w:tc>
        <w:tc>
          <w:tcPr/>
          <w:p>
            <w:pPr>
              <w:pStyle w:val="Compact"/>
              <w:jc w:val="center"/>
            </w:pPr>
            <w:r>
              <w:t xml:space="preserve">0.1319***</w:t>
            </w:r>
          </w:p>
        </w:tc>
        <w:tc>
          <w:tcPr/>
          <w:p>
            <w:pPr>
              <w:pStyle w:val="Compact"/>
              <w:jc w:val="center"/>
            </w:pPr>
            <w:r>
              <w:t xml:space="preserve">32.9417</w:t>
            </w:r>
          </w:p>
        </w:tc>
        <w:tc>
          <w:tcPr/>
          <w:p>
            <w:pPr>
              <w:pStyle w:val="Compact"/>
              <w:jc w:val="center"/>
            </w:pPr>
            <w:r>
              <w:t xml:space="preserve">52,402</w:t>
            </w:r>
          </w:p>
        </w:tc>
        <w:tc>
          <w:tcPr/>
          <w:p>
            <w:pPr>
              <w:pStyle w:val="Compact"/>
              <w:jc w:val="center"/>
            </w:pPr>
            <w:r>
              <w:t xml:space="preserve">0.4273</w:t>
            </w:r>
          </w:p>
        </w:tc>
      </w:tr>
      <w:tr>
        <w:tc>
          <w:tcPr/>
          <w:p>
            <w:pPr>
              <w:pStyle w:val="Compact"/>
              <w:jc w:val="left"/>
            </w:pPr>
            <w:r>
              <w:t xml:space="preserve">(2) </w:t>
            </w:r>
            <w:r>
              <w:rPr>
                <w:rFonts w:hint="eastAsia"/>
              </w:rPr>
              <w:t xml:space="preserve">缩小样本期（2010–2020）</w:t>
            </w:r>
          </w:p>
        </w:tc>
        <w:tc>
          <w:tcPr/>
          <w:p>
            <w:pPr>
              <w:pStyle w:val="Compact"/>
              <w:jc w:val="center"/>
            </w:pPr>
            <w:r>
              <w:t xml:space="preserve">Overpay</w:t>
            </w:r>
          </w:p>
        </w:tc>
        <w:tc>
          <w:tcPr/>
          <w:p>
            <w:pPr>
              <w:pStyle w:val="Compact"/>
              <w:jc w:val="center"/>
            </w:pPr>
            <w:r>
              <w:t xml:space="preserve">0.0536***</w:t>
            </w:r>
          </w:p>
        </w:tc>
        <w:tc>
          <w:tcPr/>
          <w:p>
            <w:pPr>
              <w:pStyle w:val="Compact"/>
              <w:jc w:val="center"/>
            </w:pPr>
            <w:r>
              <w:t xml:space="preserve">12.4764</w:t>
            </w:r>
          </w:p>
        </w:tc>
        <w:tc>
          <w:tcPr/>
          <w:p>
            <w:pPr>
              <w:pStyle w:val="Compact"/>
              <w:jc w:val="center"/>
            </w:pPr>
            <w:r>
              <w:t xml:space="preserve">29,973</w:t>
            </w:r>
          </w:p>
        </w:tc>
        <w:tc>
          <w:tcPr/>
          <w:p>
            <w:pPr>
              <w:pStyle w:val="Compact"/>
              <w:jc w:val="center"/>
            </w:pPr>
            <w:r>
              <w:t xml:space="preserve">0.0355</w:t>
            </w:r>
          </w:p>
        </w:tc>
      </w:tr>
      <w:tr>
        <w:tc>
          <w:tcPr/>
          <w:p>
            <w:pPr>
              <w:pStyle w:val="Compact"/>
              <w:jc w:val="left"/>
            </w:pPr>
            <w:r>
              <w:t xml:space="preserve">(3) </w:t>
            </w:r>
            <w:r>
              <w:rPr>
                <w:rFonts w:hint="eastAsia"/>
              </w:rPr>
              <w:t xml:space="preserve">剔除极端补助值</w:t>
            </w:r>
          </w:p>
        </w:tc>
        <w:tc>
          <w:tcPr/>
          <w:p>
            <w:pPr>
              <w:pStyle w:val="Compact"/>
              <w:jc w:val="center"/>
            </w:pPr>
            <w:r>
              <w:t xml:space="preserve">Overpay</w:t>
            </w:r>
          </w:p>
        </w:tc>
        <w:tc>
          <w:tcPr/>
          <w:p>
            <w:pPr>
              <w:pStyle w:val="Compact"/>
              <w:jc w:val="center"/>
            </w:pPr>
            <w:r>
              <w:t xml:space="preserve">0.0577***</w:t>
            </w:r>
          </w:p>
        </w:tc>
        <w:tc>
          <w:tcPr/>
          <w:p>
            <w:pPr>
              <w:pStyle w:val="Compact"/>
              <w:jc w:val="center"/>
            </w:pPr>
            <w:r>
              <w:t xml:space="preserve">12.9079</w:t>
            </w:r>
          </w:p>
        </w:tc>
        <w:tc>
          <w:tcPr/>
          <w:p>
            <w:pPr>
              <w:pStyle w:val="Compact"/>
              <w:jc w:val="center"/>
            </w:pPr>
            <w:r>
              <w:t xml:space="preserve">47,048</w:t>
            </w:r>
          </w:p>
        </w:tc>
        <w:tc>
          <w:tcPr/>
          <w:p>
            <w:pPr>
              <w:pStyle w:val="Compact"/>
              <w:jc w:val="center"/>
            </w:pPr>
            <w:r>
              <w:t xml:space="preserve">0.0344</w:t>
            </w:r>
          </w:p>
        </w:tc>
      </w:tr>
      <w:tr>
        <w:tc>
          <w:tcPr/>
          <w:p>
            <w:pPr>
              <w:pStyle w:val="Compact"/>
              <w:jc w:val="left"/>
            </w:pPr>
            <w:r>
              <w:t xml:space="preserve">(4) </w:t>
            </w:r>
            <w:r>
              <w:rPr>
                <w:rFonts w:hint="eastAsia"/>
              </w:rPr>
              <w:t xml:space="preserve">仅制造业</w:t>
            </w:r>
          </w:p>
        </w:tc>
        <w:tc>
          <w:tcPr/>
          <w:p>
            <w:pPr>
              <w:pStyle w:val="Compact"/>
              <w:jc w:val="center"/>
            </w:pPr>
            <w:r>
              <w:t xml:space="preserve">Overpay</w:t>
            </w:r>
          </w:p>
        </w:tc>
        <w:tc>
          <w:tcPr/>
          <w:p>
            <w:pPr>
              <w:pStyle w:val="Compact"/>
              <w:jc w:val="center"/>
            </w:pPr>
            <w:r>
              <w:t xml:space="preserve">0.0709***</w:t>
            </w:r>
          </w:p>
        </w:tc>
        <w:tc>
          <w:tcPr/>
          <w:p>
            <w:pPr>
              <w:pStyle w:val="Compact"/>
              <w:jc w:val="center"/>
            </w:pPr>
            <w:r>
              <w:t xml:space="preserve">14.8332</w:t>
            </w:r>
          </w:p>
        </w:tc>
        <w:tc>
          <w:tcPr/>
          <w:p>
            <w:pPr>
              <w:pStyle w:val="Compact"/>
              <w:jc w:val="center"/>
            </w:pPr>
            <w:r>
              <w:t xml:space="preserve">35,062</w:t>
            </w:r>
          </w:p>
        </w:tc>
        <w:tc>
          <w:tcPr/>
          <w:p>
            <w:pPr>
              <w:pStyle w:val="Compact"/>
              <w:jc w:val="center"/>
            </w:pPr>
            <w:r>
              <w:t xml:space="preserve">0.0499</w:t>
            </w:r>
          </w:p>
        </w:tc>
      </w:tr>
      <w:tr>
        <w:tc>
          <w:tcPr/>
          <w:p>
            <w:pPr>
              <w:pStyle w:val="Compact"/>
              <w:jc w:val="left"/>
            </w:pPr>
            <w:r>
              <w:t xml:space="preserve">(5) </w:t>
            </w:r>
            <w:r>
              <w:rPr>
                <w:rFonts w:hint="eastAsia"/>
              </w:rPr>
              <w:t xml:space="preserve">替换解释变量</w:t>
            </w:r>
            <w:r>
              <w:t xml:space="preserve"> </w:t>
            </w:r>
            <w:r>
              <w:rPr>
                <w:rFonts w:hint="eastAsia"/>
              </w:rPr>
              <w:t xml:space="preserve">ln(1+补助)</w:t>
            </w:r>
          </w:p>
        </w:tc>
        <w:tc>
          <w:tcPr/>
          <w:p>
            <w:pPr>
              <w:pStyle w:val="Compact"/>
              <w:jc w:val="center"/>
            </w:pPr>
            <w:r>
              <w:t xml:space="preserve">Overpay</w:t>
            </w:r>
          </w:p>
        </w:tc>
        <w:tc>
          <w:tcPr/>
          <w:p>
            <w:pPr>
              <w:pStyle w:val="Compact"/>
              <w:jc w:val="center"/>
            </w:pPr>
            <w:r>
              <w:t xml:space="preserve">0.0509***</w:t>
            </w:r>
          </w:p>
        </w:tc>
        <w:tc>
          <w:tcPr/>
          <w:p>
            <w:pPr>
              <w:pStyle w:val="Compact"/>
              <w:jc w:val="center"/>
            </w:pPr>
            <w:r>
              <w:t xml:space="preserve">14.7705</w:t>
            </w:r>
          </w:p>
        </w:tc>
        <w:tc>
          <w:tcPr/>
          <w:p>
            <w:pPr>
              <w:pStyle w:val="Compact"/>
              <w:jc w:val="center"/>
            </w:pPr>
            <w:r>
              <w:t xml:space="preserve">52,224</w:t>
            </w:r>
          </w:p>
        </w:tc>
        <w:tc>
          <w:tcPr/>
          <w:p>
            <w:pPr>
              <w:pStyle w:val="Compact"/>
              <w:jc w:val="center"/>
            </w:pPr>
            <w:r>
              <w:t xml:space="preserve">0.0367</w:t>
            </w:r>
          </w:p>
        </w:tc>
      </w:tr>
      <w:tr>
        <w:tc>
          <w:tcPr/>
          <w:p>
            <w:pPr>
              <w:pStyle w:val="Compact"/>
              <w:jc w:val="left"/>
            </w:pPr>
            <w:r>
              <w:t xml:space="preserve">(6) </w:t>
            </w:r>
            <w:r>
              <w:rPr>
                <w:rFonts w:hint="eastAsia"/>
              </w:rPr>
              <w:t xml:space="preserve">滞后一期补助</w:t>
            </w:r>
          </w:p>
        </w:tc>
        <w:tc>
          <w:tcPr/>
          <w:p>
            <w:pPr>
              <w:pStyle w:val="Compact"/>
              <w:jc w:val="center"/>
            </w:pPr>
            <w:r>
              <w:t xml:space="preserve">Overpay</w:t>
            </w:r>
          </w:p>
        </w:tc>
        <w:tc>
          <w:tcPr/>
          <w:p>
            <w:pPr>
              <w:pStyle w:val="Compact"/>
              <w:jc w:val="center"/>
            </w:pPr>
            <w:r>
              <w:t xml:space="preserve">0.0508***</w:t>
            </w:r>
          </w:p>
        </w:tc>
        <w:tc>
          <w:tcPr/>
          <w:p>
            <w:pPr>
              <w:pStyle w:val="Compact"/>
              <w:jc w:val="center"/>
            </w:pPr>
            <w:r>
              <w:t xml:space="preserve">13.9164</w:t>
            </w:r>
          </w:p>
        </w:tc>
        <w:tc>
          <w:tcPr/>
          <w:p>
            <w:pPr>
              <w:pStyle w:val="Compact"/>
              <w:jc w:val="center"/>
            </w:pPr>
            <w:r>
              <w:t xml:space="preserve">46,971</w:t>
            </w:r>
          </w:p>
        </w:tc>
        <w:tc>
          <w:tcPr/>
          <w:p>
            <w:pPr>
              <w:pStyle w:val="Compact"/>
              <w:jc w:val="center"/>
            </w:pPr>
            <w:r>
              <w:t xml:space="preserve">0.0362</w:t>
            </w:r>
          </w:p>
        </w:tc>
      </w:tr>
    </w:tbl>
    <w:p>
      <w:pPr>
        <w:pStyle w:val="BodyText"/>
      </w:pPr>
      <w:r>
        <w:rPr>
          <w:rFonts w:hint="eastAsia"/>
        </w:rPr>
        <w:t xml:space="preserve">注：***</w:t>
      </w:r>
      <w:r>
        <w:t xml:space="preserve"> p &lt; </w:t>
      </w:r>
      <w:r>
        <w:rPr>
          <w:rFonts w:hint="eastAsia"/>
        </w:rPr>
        <w:t xml:space="preserve">0.01。所有模型均控制</w:t>
      </w:r>
      <w:r>
        <w:t xml:space="preserve"> Roa、Lever、Top1、Zone </w:t>
      </w:r>
      <w:r>
        <w:rPr>
          <w:rFonts w:hint="eastAsia"/>
        </w:rPr>
        <w:t xml:space="preserve">以及行业和年份固定效应。标准误为公司层面聚类稳健标准误。</w:t>
      </w:r>
    </w:p>
    <w:p>
      <w:pPr>
        <w:pStyle w:val="BodyText"/>
      </w:pPr>
      <w:r>
        <w:rPr>
          <w:rFonts w:hint="eastAsia"/>
        </w:rPr>
        <w:t xml:space="preserve">上述六项稳健性检验中，政府补助系数均保持正向高度显著，表明主结论具有高度稳健性。</w:t>
      </w:r>
    </w:p>
    <w:p>
      <w:r>
        <w:pict>
          <v:rect style="width:0;height:1.5pt" o:hralign="center" o:hrstd="t" o:hr="t"/>
        </w:pict>
      </w:r>
    </w:p>
    <w:bookmarkEnd w:id="17"/>
    <w:bookmarkStart w:id="24" w:name="基于机器学习的补充分析"/>
    <w:p>
      <w:pPr>
        <w:pStyle w:val="Heading3"/>
      </w:pPr>
      <w:r>
        <w:t xml:space="preserve">5.6 </w:t>
      </w:r>
      <w:r>
        <w:rPr>
          <w:rFonts w:hint="eastAsia"/>
        </w:rPr>
        <w:t xml:space="preserve">基于机器学习的补充分析</w:t>
      </w:r>
    </w:p>
    <w:p>
      <w:pPr>
        <w:pStyle w:val="FirstParagraph"/>
      </w:pPr>
      <w:r>
        <w:rPr>
          <w:rFonts w:hint="eastAsia"/>
        </w:rPr>
        <w:t xml:space="preserve">计量经济学方法侧重于因果推断与假设检验，而机器学习方法在捕捉非线性关系与高维变量交互效应方面具有独特优势。两类方法的研究目标不同，互为补充而非替代。为从预测与模式发现的角度进一步验证计量回归的核心结论，本文采用</w:t>
      </w:r>
      <w:r>
        <w:t xml:space="preserve"> Lasso </w:t>
      </w:r>
      <w:r>
        <w:rPr>
          <w:rFonts w:hint="eastAsia"/>
        </w:rPr>
        <w:t xml:space="preserve">回归、随机森林、XGBoost、决策树及</w:t>
      </w:r>
      <w:r>
        <w:t xml:space="preserve"> K-Means </w:t>
      </w:r>
      <w:r>
        <w:rPr>
          <w:rFonts w:hint="eastAsia"/>
        </w:rPr>
        <w:t xml:space="preserve">聚类等多种机器学习方法进行补充分析。</w:t>
      </w:r>
    </w:p>
    <w:bookmarkStart w:id="18" w:name="lasso-回归变量筛选"/>
    <w:p>
      <w:pPr>
        <w:pStyle w:val="Heading4"/>
      </w:pPr>
      <w:r>
        <w:t xml:space="preserve">5.6.1 Lasso </w:t>
      </w:r>
      <w:r>
        <w:rPr>
          <w:rFonts w:hint="eastAsia"/>
        </w:rPr>
        <w:t xml:space="preserve">回归——变量筛选</w:t>
      </w:r>
    </w:p>
    <w:p>
      <w:pPr>
        <w:pStyle w:val="FirstParagraph"/>
      </w:pPr>
      <w:r>
        <w:rPr>
          <w:rFonts w:hint="eastAsia"/>
        </w:rPr>
        <w:t xml:space="preserve">采用</w:t>
      </w:r>
      <w:r>
        <w:t xml:space="preserve"> 5 </w:t>
      </w:r>
      <w:r>
        <w:rPr>
          <w:rFonts w:hint="eastAsia"/>
        </w:rPr>
        <w:t xml:space="preserve">折交叉验证选择最优正则化参数</w:t>
      </w:r>
      <w:r>
        <w:t xml:space="preserve"> </w:t>
      </w:r>
      <w:r>
        <w:rPr>
          <w:rFonts w:hint="eastAsia"/>
        </w:rPr>
        <w:t xml:space="preserve">α，通过</w:t>
      </w:r>
      <w:r>
        <w:t xml:space="preserve"> Lasso </w:t>
      </w:r>
      <w:r>
        <w:rPr>
          <w:rFonts w:hint="eastAsia"/>
        </w:rPr>
        <w:t xml:space="preserve">回归对</w:t>
      </w:r>
      <w:r>
        <w:t xml:space="preserve"> 14 </w:t>
      </w:r>
      <w:r>
        <w:rPr>
          <w:rFonts w:hint="eastAsia"/>
        </w:rPr>
        <w:t xml:space="preserve">个候选特征进行变量筛选。Lasso</w:t>
      </w:r>
      <w:r>
        <w:t xml:space="preserve"> </w:t>
      </w:r>
      <w:r>
        <w:rPr>
          <w:rFonts w:hint="eastAsia"/>
        </w:rPr>
        <w:t xml:space="preserve">回归的核心目的是通过</w:t>
      </w:r>
      <w:r>
        <w:t xml:space="preserve"> L₁ </w:t>
      </w:r>
      <w:r>
        <w:rPr>
          <w:rFonts w:hint="eastAsia"/>
        </w:rPr>
        <w:t xml:space="preserve">正则化惩罚项，将不重要变量的系数压缩至零，从而实现自动变量筛选。结果表明：lnSubsidy、Roa、Lever、Top1</w:t>
      </w:r>
      <w:r>
        <w:t xml:space="preserve"> </w:t>
      </w:r>
      <w:r>
        <w:rPr>
          <w:rFonts w:hint="eastAsia"/>
        </w:rPr>
        <w:t xml:space="preserve">等核心变量被保留，验证了</w:t>
      </w:r>
      <w:r>
        <w:t xml:space="preserve"> OLS </w:t>
      </w:r>
      <w:r>
        <w:rPr>
          <w:rFonts w:hint="eastAsia"/>
        </w:rPr>
        <w:t xml:space="preserve">回归模型中变量选取的合理性。被剔除的变量（如</w:t>
      </w:r>
      <w:r>
        <w:t xml:space="preserve"> IsSOE、Zone </w:t>
      </w:r>
      <w:r>
        <w:rPr>
          <w:rFonts w:hint="eastAsia"/>
        </w:rPr>
        <w:t xml:space="preserve">等）在经济意义上属于分组变量而非直接解释变量，其系数被压缩至零符合预期。</w:t>
      </w:r>
    </w:p>
    <w:bookmarkEnd w:id="18"/>
    <w:bookmarkStart w:id="19" w:name="随机森林特征重要性与预测"/>
    <w:p>
      <w:pPr>
        <w:pStyle w:val="Heading4"/>
      </w:pPr>
      <w:r>
        <w:t xml:space="preserve">5.6.2 </w:t>
      </w:r>
      <w:r>
        <w:rPr>
          <w:rFonts w:hint="eastAsia"/>
        </w:rPr>
        <w:t xml:space="preserve">随机森林——特征重要性与预测</w:t>
      </w:r>
    </w:p>
    <w:p>
      <w:pPr>
        <w:pStyle w:val="FirstParagraph"/>
      </w:pPr>
      <w:r>
        <w:rPr>
          <w:rFonts w:hint="eastAsia"/>
        </w:rPr>
        <w:t xml:space="preserve">随机森林回归模型（n_estimators</w:t>
      </w:r>
      <w:r>
        <w:t xml:space="preserve"> = </w:t>
      </w:r>
      <w:r>
        <w:rPr>
          <w:rFonts w:hint="eastAsia"/>
        </w:rPr>
        <w:t xml:space="preserve">200，max_depth</w:t>
      </w:r>
      <w:r>
        <w:t xml:space="preserve"> = </w:t>
      </w:r>
      <w:r>
        <w:rPr>
          <w:rFonts w:hint="eastAsia"/>
        </w:rPr>
        <w:t xml:space="preserve">10）用于预测超额薪酬数值，同时通过特征重要性排序揭示各变量的相对贡献。主要结果如下：</w:t>
      </w:r>
    </w:p>
    <w:p>
      <w:pPr>
        <w:pStyle w:val="Compact"/>
        <w:numPr>
          <w:ilvl w:val="0"/>
          <w:numId w:val="1002"/>
        </w:numPr>
      </w:pPr>
      <w:r>
        <w:rPr>
          <w:rFonts w:hint="eastAsia"/>
        </w:rPr>
        <w:t xml:space="preserve">回归预测：R²</w:t>
      </w:r>
      <w:r>
        <w:t xml:space="preserve"> ≈ </w:t>
      </w:r>
      <w:r>
        <w:rPr>
          <w:rFonts w:hint="eastAsia"/>
        </w:rPr>
        <w:t xml:space="preserve">0.22，RMSE</w:t>
      </w:r>
      <w:r>
        <w:t xml:space="preserve"> ≈ </w:t>
      </w:r>
      <w:r>
        <w:rPr>
          <w:rFonts w:hint="eastAsia"/>
        </w:rPr>
        <w:t xml:space="preserve">0.59，5</w:t>
      </w:r>
      <w:r>
        <w:t xml:space="preserve"> </w:t>
      </w:r>
      <w:r>
        <w:rPr>
          <w:rFonts w:hint="eastAsia"/>
        </w:rPr>
        <w:t xml:space="preserve">折交叉验证</w:t>
      </w:r>
      <w:r>
        <w:t xml:space="preserve"> R² </w:t>
      </w:r>
      <w:r>
        <w:rPr>
          <w:rFonts w:hint="eastAsia"/>
        </w:rPr>
        <w:t xml:space="preserve">稳定；</w:t>
      </w:r>
    </w:p>
    <w:p>
      <w:pPr>
        <w:pStyle w:val="Compact"/>
        <w:numPr>
          <w:ilvl w:val="0"/>
          <w:numId w:val="1002"/>
        </w:numPr>
      </w:pPr>
      <w:r>
        <w:rPr>
          <w:rFonts w:hint="eastAsia"/>
        </w:rPr>
        <w:t xml:space="preserve">分类预测（是否存在超额薪酬）：准确率约</w:t>
      </w:r>
      <w:r>
        <w:t xml:space="preserve"> </w:t>
      </w:r>
      <w:r>
        <w:rPr>
          <w:rFonts w:hint="eastAsia"/>
        </w:rPr>
        <w:t xml:space="preserve">66%；</w:t>
      </w:r>
    </w:p>
    <w:p>
      <w:pPr>
        <w:pStyle w:val="Compact"/>
        <w:numPr>
          <w:ilvl w:val="0"/>
          <w:numId w:val="1002"/>
        </w:numPr>
      </w:pPr>
      <w:r>
        <w:rPr>
          <w:rFonts w:hint="eastAsia"/>
        </w:rPr>
        <w:t xml:space="preserve">特征重要性排名：lnSubsidy</w:t>
      </w:r>
      <w:r>
        <w:t xml:space="preserve"> </w:t>
      </w:r>
      <w:r>
        <w:rPr>
          <w:rFonts w:hint="eastAsia"/>
        </w:rPr>
        <w:t xml:space="preserve">位列前列，与</w:t>
      </w:r>
      <w:r>
        <w:t xml:space="preserve"> OLS </w:t>
      </w:r>
      <w:r>
        <w:rPr>
          <w:rFonts w:hint="eastAsia"/>
        </w:rPr>
        <w:t xml:space="preserve">回归的核心结论一致。</w:t>
      </w:r>
    </w:p>
    <w:bookmarkEnd w:id="19"/>
    <w:bookmarkStart w:id="20" w:name="xgboost-shap-可解释性分析"/>
    <w:p>
      <w:pPr>
        <w:pStyle w:val="Heading4"/>
      </w:pPr>
      <w:r>
        <w:t xml:space="preserve">5.6.3 XGBoost + SHAP </w:t>
      </w:r>
      <w:r>
        <w:rPr>
          <w:rFonts w:hint="eastAsia"/>
        </w:rPr>
        <w:t xml:space="preserve">可解释性分析</w:t>
      </w:r>
    </w:p>
    <w:p>
      <w:pPr>
        <w:pStyle w:val="FirstParagraph"/>
      </w:pPr>
      <w:r>
        <w:t xml:space="preserve">XGBoost </w:t>
      </w:r>
      <w:r>
        <w:rPr>
          <w:rFonts w:hint="eastAsia"/>
        </w:rPr>
        <w:t xml:space="preserve">梯度提升模型（n_estimators</w:t>
      </w:r>
      <w:r>
        <w:t xml:space="preserve"> = </w:t>
      </w:r>
      <w:r>
        <w:rPr>
          <w:rFonts w:hint="eastAsia"/>
        </w:rPr>
        <w:t xml:space="preserve">300，max_depth</w:t>
      </w:r>
      <w:r>
        <w:t xml:space="preserve"> = </w:t>
      </w:r>
      <w:r>
        <w:rPr>
          <w:rFonts w:hint="eastAsia"/>
        </w:rPr>
        <w:t xml:space="preserve">6，learning_rate</w:t>
      </w:r>
      <w:r>
        <w:t xml:space="preserve"> = </w:t>
      </w:r>
      <w:r>
        <w:rPr>
          <w:rFonts w:hint="eastAsia"/>
        </w:rPr>
        <w:t xml:space="preserve">0.05）在预测精度上优于随机森林，并通过</w:t>
      </w:r>
      <w:r>
        <w:t xml:space="preserve"> </w:t>
      </w:r>
      <w:r>
        <w:rPr>
          <w:rFonts w:hint="eastAsia"/>
        </w:rPr>
        <w:t xml:space="preserve">SHAP（SHapley</w:t>
      </w:r>
      <w:r>
        <w:t xml:space="preserve"> Additive </w:t>
      </w:r>
      <w:r>
        <w:rPr>
          <w:rFonts w:hint="eastAsia"/>
        </w:rPr>
        <w:t xml:space="preserve">exPlanations）值分析实现模型的可解释性。</w:t>
      </w:r>
    </w:p>
    <w:p>
      <w:pPr>
        <w:pStyle w:val="Compact"/>
        <w:numPr>
          <w:ilvl w:val="0"/>
          <w:numId w:val="1003"/>
        </w:numPr>
      </w:pPr>
      <w:r>
        <w:t xml:space="preserve">XGBoost </w:t>
      </w:r>
      <w:r>
        <w:rPr>
          <w:rFonts w:hint="eastAsia"/>
        </w:rPr>
        <w:t xml:space="preserve">回归</w:t>
      </w:r>
      <w:r>
        <w:t xml:space="preserve"> R² </w:t>
      </w:r>
      <w:r>
        <w:rPr>
          <w:rFonts w:hint="eastAsia"/>
        </w:rPr>
        <w:t xml:space="preserve">高于随机森林，5</w:t>
      </w:r>
      <w:r>
        <w:t xml:space="preserve"> </w:t>
      </w:r>
      <w:r>
        <w:rPr>
          <w:rFonts w:hint="eastAsia"/>
        </w:rPr>
        <w:t xml:space="preserve">折交叉验证结果稳定；</w:t>
      </w:r>
    </w:p>
    <w:p>
      <w:pPr>
        <w:pStyle w:val="Compact"/>
        <w:numPr>
          <w:ilvl w:val="0"/>
          <w:numId w:val="1003"/>
        </w:numPr>
      </w:pPr>
      <w:r>
        <w:rPr>
          <w:b/>
          <w:bCs/>
        </w:rPr>
        <w:t xml:space="preserve">SHAP </w:t>
      </w:r>
      <w:r>
        <w:rPr>
          <w:rFonts w:hint="eastAsia"/>
          <w:b/>
          <w:bCs/>
        </w:rPr>
        <w:t xml:space="preserve">特征重要性排名</w:t>
      </w:r>
      <w:r>
        <w:rPr>
          <w:rFonts w:hint="eastAsia"/>
        </w:rPr>
        <w:t xml:space="preserve">：lnSubsidy</w:t>
      </w:r>
      <w:r>
        <w:t xml:space="preserve"> </w:t>
      </w:r>
      <w:r>
        <w:rPr>
          <w:rFonts w:hint="eastAsia"/>
        </w:rPr>
        <w:t xml:space="preserve">位列重要性前列，其</w:t>
      </w:r>
      <w:r>
        <w:t xml:space="preserve"> SHAP </w:t>
      </w:r>
      <w:r>
        <w:rPr>
          <w:rFonts w:hint="eastAsia"/>
        </w:rPr>
        <w:t xml:space="preserve">值整体为正，即政府补助增加倾向于推高超额薪酬，与</w:t>
      </w:r>
      <w:r>
        <w:t xml:space="preserve"> OLS </w:t>
      </w:r>
      <w:r>
        <w:rPr>
          <w:rFonts w:hint="eastAsia"/>
        </w:rPr>
        <w:t xml:space="preserve">回归结论高度一致；</w:t>
      </w:r>
    </w:p>
    <w:p>
      <w:pPr>
        <w:pStyle w:val="Compact"/>
        <w:numPr>
          <w:ilvl w:val="0"/>
          <w:numId w:val="1003"/>
        </w:numPr>
      </w:pPr>
      <w:r>
        <w:rPr>
          <w:b/>
          <w:bCs/>
        </w:rPr>
        <w:t xml:space="preserve">SHAP </w:t>
      </w:r>
      <w:r>
        <w:rPr>
          <w:rFonts w:hint="eastAsia"/>
          <w:b/>
          <w:bCs/>
        </w:rPr>
        <w:t xml:space="preserve">依赖图</w:t>
      </w:r>
      <w:r>
        <w:rPr>
          <w:rFonts w:hint="eastAsia"/>
        </w:rPr>
        <w:t xml:space="preserve">显示</w:t>
      </w:r>
      <w:r>
        <w:t xml:space="preserve"> lnSubsidy </w:t>
      </w:r>
      <w:r>
        <w:rPr>
          <w:rFonts w:hint="eastAsia"/>
        </w:rPr>
        <w:t xml:space="preserve">与超额薪酬之间呈现正向关系，但存在轻微的非线性特征——当补助规模达到较高水平时，边际影响有所减弱。</w:t>
      </w:r>
    </w:p>
    <w:bookmarkEnd w:id="20"/>
    <w:bookmarkStart w:id="21" w:name="决策树超额薪酬风险路径"/>
    <w:p>
      <w:pPr>
        <w:pStyle w:val="Heading4"/>
      </w:pPr>
      <w:r>
        <w:t xml:space="preserve">5.6.4 </w:t>
      </w:r>
      <w:r>
        <w:rPr>
          <w:rFonts w:hint="eastAsia"/>
        </w:rPr>
        <w:t xml:space="preserve">决策树——超额薪酬风险路径</w:t>
      </w:r>
    </w:p>
    <w:p>
      <w:pPr>
        <w:pStyle w:val="FirstParagraph"/>
      </w:pPr>
      <w:r>
        <w:rPr>
          <w:rFonts w:hint="eastAsia"/>
        </w:rPr>
        <w:t xml:space="preserve">采用浅层决策树（max_depth</w:t>
      </w:r>
      <w:r>
        <w:t xml:space="preserve"> = </w:t>
      </w:r>
      <w:r>
        <w:rPr>
          <w:rFonts w:hint="eastAsia"/>
        </w:rPr>
        <w:t xml:space="preserve">4）进行分类建模，直观展示哪些条件组合最可能导致高管超额薪酬为正。决策树揭示了”高政府补助</w:t>
      </w:r>
      <w:r>
        <w:t xml:space="preserve"> + </w:t>
      </w:r>
      <w:r>
        <w:rPr>
          <w:rFonts w:hint="eastAsia"/>
        </w:rPr>
        <w:t xml:space="preserve">低财务杠杆</w:t>
      </w:r>
      <w:r>
        <w:t xml:space="preserve"> + </w:t>
      </w:r>
      <w:r>
        <w:rPr>
          <w:rFonts w:hint="eastAsia"/>
        </w:rPr>
        <w:t xml:space="preserve">低股权集中度”的典型高风险路径，为监管机构识别补贴向超额薪酬转化的高风险企业提供了实践参考。</w:t>
      </w:r>
    </w:p>
    <w:bookmarkEnd w:id="21"/>
    <w:bookmarkStart w:id="22" w:name="k-means-聚类企业画像"/>
    <w:p>
      <w:pPr>
        <w:pStyle w:val="Heading4"/>
      </w:pPr>
      <w:r>
        <w:t xml:space="preserve">5.6.5 K-Means </w:t>
      </w:r>
      <w:r>
        <w:rPr>
          <w:rFonts w:hint="eastAsia"/>
        </w:rPr>
        <w:t xml:space="preserve">聚类——企业画像</w:t>
      </w:r>
    </w:p>
    <w:p>
      <w:pPr>
        <w:pStyle w:val="FirstParagraph"/>
      </w:pPr>
      <w:r>
        <w:rPr>
          <w:rFonts w:hint="eastAsia"/>
        </w:rPr>
        <w:t xml:space="preserve">采用</w:t>
      </w:r>
      <w:r>
        <w:t xml:space="preserve"> K-Means </w:t>
      </w:r>
      <w:r>
        <w:rPr>
          <w:rFonts w:hint="eastAsia"/>
        </w:rPr>
        <w:t xml:space="preserve">聚类算法对企业进行分群画像分析。基于</w:t>
      </w:r>
      <w:r>
        <w:t xml:space="preserve"> lnSubsidy、Overpay、Roa、Lever、Top1、lnSale </w:t>
      </w:r>
      <w:r>
        <w:rPr>
          <w:rFonts w:hint="eastAsia"/>
        </w:rPr>
        <w:t xml:space="preserve">六个变量进行聚类，通过轮廓系数确定最优聚类数</w:t>
      </w:r>
      <w:r>
        <w:t xml:space="preserve"> </w:t>
      </w:r>
      <w:r>
        <w:rPr>
          <w:rFonts w:hint="eastAsia"/>
        </w:rPr>
        <w:t xml:space="preserve">K。聚类结果揭示了不同类型企业群的差异化特征：高补助-高超额薪酬群</w:t>
      </w:r>
      <w:r>
        <w:t xml:space="preserve"> vs. </w:t>
      </w:r>
      <w:r>
        <w:rPr>
          <w:rFonts w:hint="eastAsia"/>
        </w:rPr>
        <w:t xml:space="preserve">低补助-低超额薪酬群的对比印证了主回归发现，不同聚类群内国有企业占比的差异也与产权异质性分析的结论一致。</w:t>
      </w:r>
    </w:p>
    <w:bookmarkEnd w:id="22"/>
    <w:bookmarkStart w:id="23" w:name="模型预测性能对比"/>
    <w:p>
      <w:pPr>
        <w:pStyle w:val="Heading4"/>
      </w:pPr>
      <w:r>
        <w:t xml:space="preserve">5.6.6 </w:t>
      </w:r>
      <w:r>
        <w:rPr>
          <w:rFonts w:hint="eastAsia"/>
        </w:rPr>
        <w:t xml:space="preserve">模型预测性能对比</w:t>
      </w:r>
    </w:p>
    <w:p>
      <w:pPr>
        <w:pStyle w:val="FirstParagraph"/>
      </w:pPr>
      <w:r>
        <w:rPr>
          <w:rFonts w:hint="eastAsia"/>
        </w:rPr>
        <w:t xml:space="preserve">表</w:t>
      </w:r>
      <w:r>
        <w:t xml:space="preserve"> 8 </w:t>
      </w:r>
      <w:r>
        <w:rPr>
          <w:rFonts w:hint="eastAsia"/>
        </w:rPr>
        <w:t xml:space="preserve">报告了三种机器学习模型在超额薪酬预测任务上的性能对比。需要指出的是，机器学习模型的预测性能指标（R²、RMSE、MAE）衡量的是模型对样本外数据的预测能力，与</w:t>
      </w:r>
      <w:r>
        <w:t xml:space="preserve"> OLS </w:t>
      </w:r>
      <w:r>
        <w:rPr>
          <w:rFonts w:hint="eastAsia"/>
        </w:rPr>
        <w:t xml:space="preserve">回归的因果推断目标不同，二者不可直接比较。机器学习分析的价值在于：（1）通过特征重要性排序与</w:t>
      </w:r>
      <w:r>
        <w:t xml:space="preserve"> SHAP </w:t>
      </w:r>
      <w:r>
        <w:rPr>
          <w:rFonts w:hint="eastAsia"/>
        </w:rPr>
        <w:t xml:space="preserve">值分析，从预测视角独立验证了</w:t>
      </w:r>
      <w:r>
        <w:t xml:space="preserve"> lnSubsidy </w:t>
      </w:r>
      <w:r>
        <w:rPr>
          <w:rFonts w:hint="eastAsia"/>
        </w:rPr>
        <w:t xml:space="preserve">对超额薪酬的正向关联；（2）揭示了潜在的非线性效应和变量交互模式，为计量回归的线性假定提供了补充检验。</w:t>
      </w:r>
    </w:p>
    <w:p>
      <w:pPr>
        <w:pStyle w:val="BodyText"/>
      </w:pPr>
      <w:r>
        <w:rPr>
          <w:rFonts w:hint="eastAsia"/>
          <w:b/>
          <w:bCs/>
        </w:rPr>
        <w:t xml:space="preserve">表</w:t>
      </w:r>
      <w:r>
        <w:rPr>
          <w:b/>
          <w:bCs/>
        </w:rPr>
        <w:t xml:space="preserve"> 8 </w:t>
      </w:r>
      <w:r>
        <w:rPr>
          <w:rFonts w:hint="eastAsia"/>
          <w:b/>
          <w:bCs/>
        </w:rPr>
        <w:t xml:space="preserve">机器学习模型预测性能对比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模型</w:t>
            </w:r>
          </w:p>
        </w:tc>
        <w:tc>
          <w:tcPr/>
          <w:p>
            <w:pPr>
              <w:pStyle w:val="Compact"/>
              <w:jc w:val="center"/>
            </w:pPr>
            <w:r>
              <w:t xml:space="preserve">R²</w:t>
            </w:r>
          </w:p>
        </w:tc>
        <w:tc>
          <w:tcPr/>
          <w:p>
            <w:pPr>
              <w:pStyle w:val="Compact"/>
              <w:jc w:val="center"/>
            </w:pPr>
            <w:r>
              <w:t xml:space="preserve">RMSE</w:t>
            </w:r>
          </w:p>
        </w:tc>
        <w:tc>
          <w:tcPr/>
          <w:p>
            <w:pPr>
              <w:pStyle w:val="Compact"/>
              <w:jc w:val="center"/>
            </w:pPr>
            <w:r>
              <w:t xml:space="preserve">MAE</w:t>
            </w:r>
          </w:p>
        </w:tc>
      </w:tr>
      <w:tr>
        <w:tc>
          <w:tcPr/>
          <w:p>
            <w:pPr>
              <w:pStyle w:val="Compact"/>
              <w:jc w:val="left"/>
            </w:pPr>
            <w:r>
              <w:t xml:space="preserve">Lasso </w:t>
            </w:r>
            <w:r>
              <w:rPr>
                <w:rFonts w:hint="eastAsia"/>
              </w:rPr>
              <w:t xml:space="preserve">回归</w:t>
            </w:r>
          </w:p>
        </w:tc>
        <w:tc>
          <w:tcPr/>
          <w:p>
            <w:pPr>
              <w:pStyle w:val="Compact"/>
              <w:jc w:val="center"/>
            </w:pPr>
            <w:r>
              <w:rPr>
                <w:rFonts w:hint="eastAsia"/>
              </w:rPr>
              <w:t xml:space="preserve">基准</w:t>
            </w:r>
          </w:p>
        </w:tc>
        <w:tc>
          <w:tcPr/>
          <w:p>
            <w:pPr>
              <w:pStyle w:val="Compact"/>
              <w:jc w:val="center"/>
            </w:pPr>
            <w:r>
              <w:rPr>
                <w:rFonts w:hint="eastAsia"/>
              </w:rPr>
              <w:t xml:space="preserve">基准</w:t>
            </w:r>
          </w:p>
        </w:tc>
        <w:tc>
          <w:tcPr/>
          <w:p>
            <w:pPr>
              <w:pStyle w:val="Compact"/>
              <w:jc w:val="center"/>
            </w:pPr>
            <w:r>
              <w:rPr>
                <w:rFonts w:hint="eastAsia"/>
              </w:rPr>
              <w:t xml:space="preserve">基准</w:t>
            </w:r>
          </w:p>
        </w:tc>
      </w:tr>
      <w:tr>
        <w:tc>
          <w:tcPr/>
          <w:p>
            <w:pPr>
              <w:pStyle w:val="Compact"/>
              <w:jc w:val="left"/>
            </w:pPr>
            <w:r>
              <w:rPr>
                <w:rFonts w:hint="eastAsia"/>
              </w:rPr>
              <w:t xml:space="preserve">随机森林</w:t>
            </w:r>
          </w:p>
        </w:tc>
        <w:tc>
          <w:tcPr/>
          <w:p>
            <w:pPr>
              <w:pStyle w:val="Compact"/>
              <w:jc w:val="center"/>
            </w:pPr>
            <w:r>
              <w:rPr>
                <w:rFonts w:hint="eastAsia"/>
              </w:rPr>
              <w:t xml:space="preserve">高于</w:t>
            </w:r>
            <w:r>
              <w:t xml:space="preserve"> Lasso</w:t>
            </w:r>
          </w:p>
        </w:tc>
        <w:tc>
          <w:tcPr/>
          <w:p>
            <w:pPr>
              <w:pStyle w:val="Compact"/>
              <w:jc w:val="center"/>
            </w:pPr>
            <w:r>
              <w:rPr>
                <w:rFonts w:hint="eastAsia"/>
              </w:rPr>
              <w:t xml:space="preserve">低于</w:t>
            </w:r>
            <w:r>
              <w:t xml:space="preserve"> Lasso</w:t>
            </w:r>
          </w:p>
        </w:tc>
        <w:tc>
          <w:tcPr/>
          <w:p>
            <w:pPr>
              <w:pStyle w:val="Compact"/>
              <w:jc w:val="center"/>
            </w:pPr>
            <w:r>
              <w:rPr>
                <w:rFonts w:hint="eastAsia"/>
              </w:rPr>
              <w:t xml:space="preserve">低于</w:t>
            </w:r>
            <w:r>
              <w:t xml:space="preserve"> Lasso</w:t>
            </w:r>
          </w:p>
        </w:tc>
      </w:tr>
      <w:tr>
        <w:tc>
          <w:tcPr/>
          <w:p>
            <w:pPr>
              <w:pStyle w:val="Compact"/>
              <w:jc w:val="left"/>
            </w:pPr>
            <w:r>
              <w:t xml:space="preserve">XGBoost</w:t>
            </w:r>
          </w:p>
        </w:tc>
        <w:tc>
          <w:tcPr/>
          <w:p>
            <w:pPr>
              <w:pStyle w:val="Compact"/>
              <w:jc w:val="center"/>
            </w:pPr>
            <w:r>
              <w:rPr>
                <w:rFonts w:hint="eastAsia"/>
              </w:rPr>
              <w:t xml:space="preserve">三者中最高</w:t>
            </w:r>
          </w:p>
        </w:tc>
        <w:tc>
          <w:tcPr/>
          <w:p>
            <w:pPr>
              <w:pStyle w:val="Compact"/>
              <w:jc w:val="center"/>
            </w:pPr>
            <w:r>
              <w:rPr>
                <w:rFonts w:hint="eastAsia"/>
              </w:rPr>
              <w:t xml:space="preserve">三者中最低</w:t>
            </w:r>
          </w:p>
        </w:tc>
        <w:tc>
          <w:tcPr/>
          <w:p>
            <w:pPr>
              <w:pStyle w:val="Compact"/>
              <w:jc w:val="center"/>
            </w:pPr>
            <w:r>
              <w:rPr>
                <w:rFonts w:hint="eastAsia"/>
              </w:rPr>
              <w:t xml:space="preserve">三者中最低</w:t>
            </w:r>
          </w:p>
        </w:tc>
      </w:tr>
    </w:tbl>
    <w:p>
      <w:pPr>
        <w:pStyle w:val="BodyText"/>
      </w:pPr>
      <w:r>
        <w:rPr>
          <w:rFonts w:hint="eastAsia"/>
        </w:rPr>
        <w:t xml:space="preserve">注：R²</w:t>
      </w:r>
      <w:r>
        <w:t xml:space="preserve"> </w:t>
      </w:r>
      <w:r>
        <w:rPr>
          <w:rFonts w:hint="eastAsia"/>
        </w:rPr>
        <w:t xml:space="preserve">越高表示预测解释力越强；RMSE</w:t>
      </w:r>
      <w:r>
        <w:t xml:space="preserve"> </w:t>
      </w:r>
      <w:r>
        <w:rPr>
          <w:rFonts w:hint="eastAsia"/>
        </w:rPr>
        <w:t xml:space="preserve">和</w:t>
      </w:r>
      <w:r>
        <w:t xml:space="preserve"> MAE </w:t>
      </w:r>
      <w:r>
        <w:rPr>
          <w:rFonts w:hint="eastAsia"/>
        </w:rPr>
        <w:t xml:space="preserve">越低表示预测误差越小。上述指标仅反映预测性能，不等同于因果效应的估计质量。</w:t>
      </w:r>
    </w:p>
    <w:p>
      <w:pPr>
        <w:pStyle w:val="BodyText"/>
      </w:pPr>
      <w:r>
        <w:rPr>
          <w:rFonts w:hint="eastAsia"/>
        </w:rPr>
        <w:t xml:space="preserve">三种机器学习模型的特征重要性排序均将</w:t>
      </w:r>
      <w:r>
        <w:t xml:space="preserve"> lnSubsidy </w:t>
      </w:r>
      <w:r>
        <w:rPr>
          <w:rFonts w:hint="eastAsia"/>
        </w:rPr>
        <w:t xml:space="preserve">列为关键预测变量之一，且</w:t>
      </w:r>
      <w:r>
        <w:t xml:space="preserve"> SHAP </w:t>
      </w:r>
      <w:r>
        <w:rPr>
          <w:rFonts w:hint="eastAsia"/>
        </w:rPr>
        <w:t xml:space="preserve">分析一致显示其正向效应，与计量回归的核心结论相互印证，从方法论互补的角度增强了实证结果的可信度。</w:t>
      </w:r>
    </w:p>
    <w:p>
      <w:r>
        <w:pict>
          <v:rect style="width:0;height:1.5pt" o:hralign="center" o:hrstd="t" o:hr="t"/>
        </w:pict>
      </w:r>
    </w:p>
    <w:bookmarkEnd w:id="23"/>
    <w:bookmarkEnd w:id="24"/>
    <w:bookmarkEnd w:id="25"/>
    <w:bookmarkStart w:id="26" w:name="研究结论"/>
    <w:p>
      <w:pPr>
        <w:pStyle w:val="Heading2"/>
      </w:pPr>
      <w:r>
        <w:t xml:space="preserve">6. </w:t>
      </w:r>
      <w:r>
        <w:rPr>
          <w:rFonts w:hint="eastAsia"/>
        </w:rPr>
        <w:t xml:space="preserve">研究结论</w:t>
      </w:r>
    </w:p>
    <w:p>
      <w:pPr>
        <w:pStyle w:val="FirstParagraph"/>
      </w:pPr>
      <w:r>
        <w:rPr>
          <w:rFonts w:hint="eastAsia"/>
        </w:rPr>
        <w:t xml:space="preserve">本文基于</w:t>
      </w:r>
      <w:r>
        <w:t xml:space="preserve"> 2003–2024 </w:t>
      </w:r>
      <w:r>
        <w:rPr>
          <w:rFonts w:hint="eastAsia"/>
        </w:rPr>
        <w:t xml:space="preserve">年沪深</w:t>
      </w:r>
      <w:r>
        <w:t xml:space="preserve"> A </w:t>
      </w:r>
      <w:r>
        <w:rPr>
          <w:rFonts w:hint="eastAsia"/>
        </w:rPr>
        <w:t xml:space="preserve">股上市公司面板数据，综合运用计量经济学方法和机器学习技术，系统考察了政府补助对高管超额薪酬的影响及其内在机制。实证结果表明：</w:t>
      </w:r>
    </w:p>
    <w:p>
      <w:pPr>
        <w:pStyle w:val="BodyText"/>
      </w:pPr>
      <w:r>
        <w:rPr>
          <w:rFonts w:hint="eastAsia"/>
          <w:b/>
          <w:bCs/>
        </w:rPr>
        <w:t xml:space="preserve">（1）政府补助对高管超额薪酬具有显著正向影响（H1</w:t>
      </w:r>
      <w:r>
        <w:rPr>
          <w:b/>
          <w:bCs/>
        </w:rPr>
        <w:t xml:space="preserve"> </w:t>
      </w:r>
      <w:r>
        <w:rPr>
          <w:rFonts w:hint="eastAsia"/>
          <w:b/>
          <w:bCs/>
        </w:rPr>
        <w:t xml:space="preserve">得到支持）。</w:t>
      </w:r>
      <w:r>
        <w:t xml:space="preserve"> </w:t>
      </w:r>
      <w:r>
        <w:rPr>
          <w:rFonts w:hint="eastAsia"/>
        </w:rPr>
        <w:t xml:space="preserve">在控制业绩、财务杠杆、股权结构、区域特征以及行业和年份固定效应后，lnSubsidy</w:t>
      </w:r>
      <w:r>
        <w:t xml:space="preserve"> </w:t>
      </w:r>
      <w:r>
        <w:rPr>
          <w:rFonts w:hint="eastAsia"/>
        </w:rPr>
        <w:t xml:space="preserve">系数在</w:t>
      </w:r>
      <w:r>
        <w:t xml:space="preserve"> 1% </w:t>
      </w:r>
      <w:r>
        <w:rPr>
          <w:rFonts w:hint="eastAsia"/>
        </w:rPr>
        <w:t xml:space="preserve">水平下显著为正（0.0552），经济意义上，政府补助每增加</w:t>
      </w:r>
      <w:r>
        <w:t xml:space="preserve"> </w:t>
      </w:r>
      <w:r>
        <w:rPr>
          <w:rFonts w:hint="eastAsia"/>
        </w:rPr>
        <w:t xml:space="preserve">1%，超额薪酬增加约</w:t>
      </w:r>
      <w:r>
        <w:t xml:space="preserve"> 0.055 </w:t>
      </w:r>
      <w:r>
        <w:rPr>
          <w:rFonts w:hint="eastAsia"/>
        </w:rPr>
        <w:t xml:space="preserve">个单位。该效应在六项稳健性检验中保持一致。</w:t>
      </w:r>
    </w:p>
    <w:p>
      <w:pPr>
        <w:pStyle w:val="BodyText"/>
      </w:pPr>
      <w:r>
        <w:rPr>
          <w:rFonts w:hint="eastAsia"/>
          <w:b/>
          <w:bCs/>
        </w:rPr>
        <w:t xml:space="preserve">（2）管理层权力的中介效应在全样本下不成立（H2</w:t>
      </w:r>
      <w:r>
        <w:rPr>
          <w:b/>
          <w:bCs/>
        </w:rPr>
        <w:t xml:space="preserve"> </w:t>
      </w:r>
      <w:r>
        <w:rPr>
          <w:rFonts w:hint="eastAsia"/>
          <w:b/>
          <w:bCs/>
        </w:rPr>
        <w:t xml:space="preserve">在全样本下不支持）。</w:t>
      </w:r>
      <w:r>
        <w:t xml:space="preserve"> </w:t>
      </w:r>
      <w:r>
        <w:rPr>
          <w:rFonts w:hint="eastAsia"/>
        </w:rPr>
        <w:t xml:space="preserve">虽然政府补助对管理层权力有显著正向影响（路径</w:t>
      </w:r>
      <w:r>
        <w:t xml:space="preserve"> a </w:t>
      </w:r>
      <w:r>
        <w:rPr>
          <w:rFonts w:hint="eastAsia"/>
        </w:rPr>
        <w:t xml:space="preserve">成立，系数</w:t>
      </w:r>
      <w:r>
        <w:t xml:space="preserve"> </w:t>
      </w:r>
      <w:r>
        <w:rPr>
          <w:rFonts w:hint="eastAsia"/>
        </w:rPr>
        <w:t xml:space="preserve">0.0974），但管理层权力对超额薪酬的影响微弱且统计不显著（路径</w:t>
      </w:r>
      <w:r>
        <w:t xml:space="preserve"> b </w:t>
      </w:r>
      <w:r>
        <w:rPr>
          <w:rFonts w:hint="eastAsia"/>
        </w:rPr>
        <w:t xml:space="preserve">不成立），Sobel</w:t>
      </w:r>
      <w:r>
        <w:t xml:space="preserve"> </w:t>
      </w:r>
      <w:r>
        <w:rPr>
          <w:rFonts w:hint="eastAsia"/>
        </w:rPr>
        <w:t xml:space="preserve">检验完全不显著。该结果可能源于样本扩展至全部</w:t>
      </w:r>
      <w:r>
        <w:t xml:space="preserve"> A </w:t>
      </w:r>
      <w:r>
        <w:rPr>
          <w:rFonts w:hint="eastAsia"/>
        </w:rPr>
        <w:t xml:space="preserve">股后，管理层权力理论所依赖的所有者缺位等制度前提在非国有企业中并不适用。</w:t>
      </w:r>
    </w:p>
    <w:p>
      <w:pPr>
        <w:pStyle w:val="BodyText"/>
      </w:pPr>
      <w:r>
        <w:rPr>
          <w:rFonts w:hint="eastAsia"/>
          <w:b/>
          <w:bCs/>
        </w:rPr>
        <w:t xml:space="preserve">（3）补贴效应存在显著的产权异质性。</w:t>
      </w:r>
      <w:r>
        <w:t xml:space="preserve"> </w:t>
      </w:r>
      <w:r>
        <w:rPr>
          <w:rFonts w:hint="eastAsia"/>
        </w:rPr>
        <w:t xml:space="preserve">非国有企业中补贴效应显著强于国有企业（0.0734</w:t>
      </w:r>
      <w:r>
        <w:t xml:space="preserve"> vs. </w:t>
      </w:r>
      <w:r>
        <w:rPr>
          <w:rFonts w:hint="eastAsia"/>
        </w:rPr>
        <w:t xml:space="preserve">0.0416），表明国有企业的薪酬管控制度对补贴向超额薪酬的转化起到了一定的约束作用。</w:t>
      </w:r>
    </w:p>
    <w:p>
      <w:pPr>
        <w:pStyle w:val="BodyText"/>
      </w:pPr>
      <w:r>
        <w:rPr>
          <w:rFonts w:hint="eastAsia"/>
          <w:b/>
          <w:bCs/>
        </w:rPr>
        <w:t xml:space="preserve">（4）行业监管和国企层级对补贴效应有显著的调节作用。</w:t>
      </w:r>
      <w:r>
        <w:t xml:space="preserve"> </w:t>
      </w:r>
      <w:r>
        <w:rPr>
          <w:rFonts w:hint="eastAsia"/>
        </w:rPr>
        <w:t xml:space="preserve">管制行业中补贴效应（0.0260）显著低于非管制行业（0.0625），说明行业监管对补贴效应具有实质性约束；央企（0.0202）与地方国企（0.0432）的效应差距明显。值得注意的是，管理层权力（Power）在央企（p</w:t>
      </w:r>
      <w:r>
        <w:t xml:space="preserve"> &lt; </w:t>
      </w:r>
      <w:r>
        <w:rPr>
          <w:rFonts w:hint="eastAsia"/>
        </w:rPr>
        <w:t xml:space="preserve">0.1）和地方国企（p</w:t>
      </w:r>
      <w:r>
        <w:t xml:space="preserve"> &lt; </w:t>
      </w:r>
      <w:r>
        <w:rPr>
          <w:rFonts w:hint="eastAsia"/>
        </w:rPr>
        <w:t xml:space="preserve">0.05）子样本中均显著为正，表明管理层权力的中介机制具有</w:t>
      </w:r>
      <w:r>
        <w:rPr>
          <w:rFonts w:hint="eastAsia"/>
          <w:b/>
          <w:bCs/>
        </w:rPr>
        <w:t xml:space="preserve">制度依赖性</w:t>
      </w:r>
      <w:r>
        <w:rPr>
          <w:rFonts w:hint="eastAsia"/>
        </w:rPr>
        <w:t xml:space="preserve">，在国有产权结构下更为突出，这为未来研究提供了有价值的线索。</w:t>
      </w:r>
    </w:p>
    <w:p>
      <w:pPr>
        <w:pStyle w:val="BodyText"/>
      </w:pPr>
      <w:r>
        <w:rPr>
          <w:rFonts w:hint="eastAsia"/>
          <w:b/>
          <w:bCs/>
        </w:rPr>
        <w:t xml:space="preserve">（5）机器学习方法从预测与模式发现的角度交叉验证了上述结论。</w:t>
      </w:r>
      <w:r>
        <w:t xml:space="preserve"> </w:t>
      </w:r>
      <w:r>
        <w:t xml:space="preserve">Lasso </w:t>
      </w:r>
      <w:r>
        <w:rPr>
          <w:rFonts w:hint="eastAsia"/>
        </w:rPr>
        <w:t xml:space="preserve">回归保留了</w:t>
      </w:r>
      <w:r>
        <w:t xml:space="preserve"> lnSubsidy </w:t>
      </w:r>
      <w:r>
        <w:rPr>
          <w:rFonts w:hint="eastAsia"/>
        </w:rPr>
        <w:t xml:space="preserve">等核心变量，验证了计量模型中变量选取的合理性；XGBoost</w:t>
      </w:r>
      <w:r>
        <w:t xml:space="preserve"> </w:t>
      </w:r>
      <w:r>
        <w:rPr>
          <w:rFonts w:hint="eastAsia"/>
        </w:rPr>
        <w:t xml:space="preserve">的</w:t>
      </w:r>
      <w:r>
        <w:t xml:space="preserve"> SHAP </w:t>
      </w:r>
      <w:r>
        <w:rPr>
          <w:rFonts w:hint="eastAsia"/>
        </w:rPr>
        <w:t xml:space="preserve">分析将</w:t>
      </w:r>
      <w:r>
        <w:t xml:space="preserve"> lnSubsidy </w:t>
      </w:r>
      <w:r>
        <w:rPr>
          <w:rFonts w:hint="eastAsia"/>
        </w:rPr>
        <w:t xml:space="preserve">列为重要预测特征之一，且</w:t>
      </w:r>
      <w:r>
        <w:t xml:space="preserve"> SHAP </w:t>
      </w:r>
      <w:r>
        <w:rPr>
          <w:rFonts w:hint="eastAsia"/>
        </w:rPr>
        <w:t xml:space="preserve">值呈现正向效应，与</w:t>
      </w:r>
      <w:r>
        <w:t xml:space="preserve"> OLS </w:t>
      </w:r>
      <w:r>
        <w:rPr>
          <w:rFonts w:hint="eastAsia"/>
        </w:rPr>
        <w:t xml:space="preserve">回归的因果推断结论一致；决策树揭示了”高补助</w:t>
      </w:r>
      <w:r>
        <w:t xml:space="preserve"> + </w:t>
      </w:r>
      <w:r>
        <w:rPr>
          <w:rFonts w:hint="eastAsia"/>
        </w:rPr>
        <w:t xml:space="preserve">低杠杆</w:t>
      </w:r>
      <w:r>
        <w:t xml:space="preserve"> + </w:t>
      </w:r>
      <w:r>
        <w:rPr>
          <w:rFonts w:hint="eastAsia"/>
        </w:rPr>
        <w:t xml:space="preserve">低股权集中度”的超额薪酬高风险路径；K-Means</w:t>
      </w:r>
      <w:r>
        <w:t xml:space="preserve"> </w:t>
      </w:r>
      <w:r>
        <w:rPr>
          <w:rFonts w:hint="eastAsia"/>
        </w:rPr>
        <w:t xml:space="preserve">聚类分析的企业画像结果与产权异质性分析相吻合。需要强调的是，机器学习方法侧重预测与关联分析，不具备计量经济学方法的因果识别能力，二者互为补充而非替代。</w:t>
      </w:r>
    </w:p>
    <w:p>
      <w:pPr>
        <w:pStyle w:val="BodyText"/>
      </w:pPr>
      <w:r>
        <w:rPr>
          <w:rFonts w:hint="eastAsia"/>
          <w:b/>
          <w:bCs/>
        </w:rPr>
        <w:t xml:space="preserve">理论贡献：</w:t>
      </w:r>
      <w:r>
        <w:t xml:space="preserve"> </w:t>
      </w:r>
      <w:r>
        <w:rPr>
          <w:rFonts w:hint="eastAsia"/>
        </w:rPr>
        <w:t xml:space="preserve">本文在管理者权力理论和代理理论的框架下，通过大样本实证检验，揭示了政府补助对高管超额薪酬的正向影响及其在不同产权结构、行业管制和国企层级下的差异化表现。研究发现管理层权力的中介作用具有制度依赖性，在国有产权结构（尤其是央企和地方国企）下更为明显，丰富了对财政补贴治理效应的理论理解。</w:t>
      </w:r>
    </w:p>
    <w:p>
      <w:pPr>
        <w:pStyle w:val="BodyText"/>
      </w:pPr>
      <w:r>
        <w:rPr>
          <w:rFonts w:hint="eastAsia"/>
          <w:b/>
          <w:bCs/>
        </w:rPr>
        <w:t xml:space="preserve">实践启示：</w:t>
      </w:r>
      <w:r>
        <w:t xml:space="preserve"> </w:t>
      </w:r>
      <w:r>
        <w:rPr>
          <w:rFonts w:hint="eastAsia"/>
        </w:rPr>
        <w:t xml:space="preserve">财政部门应加强对补贴资金使用的监督与绩效评估，尤其关注非国有企业和非管制行业中补贴资金可能被高管攫取的风险；监管机构可借鉴本文机器学习方法，构建基于多维特征的超额薪酬风险预警模型，识别高风险企业；企业自身应完善内部控制与薪酬治理机制，确保补贴资金合理使用。</w:t>
      </w:r>
    </w:p>
    <w:p>
      <w:pPr>
        <w:pStyle w:val="BodyText"/>
      </w:pPr>
      <w:r>
        <w:rPr>
          <w:rFonts w:hint="eastAsia"/>
          <w:b/>
          <w:bCs/>
        </w:rPr>
        <w:t xml:space="preserve">研究局限与展望：</w:t>
      </w:r>
      <w:r>
        <w:t xml:space="preserve"> </w:t>
      </w:r>
      <w:r>
        <w:rPr>
          <w:rFonts w:hint="eastAsia"/>
        </w:rPr>
        <w:t xml:space="preserve">本文虽控制了行业和年份固定效应并采用了多种稳健性检验，但仍存在以下不足：（1）未引入工具变量法处理潜在的内生性问题，OLS</w:t>
      </w:r>
      <w:r>
        <w:t xml:space="preserve"> </w:t>
      </w:r>
      <w:r>
        <w:rPr>
          <w:rFonts w:hint="eastAsia"/>
        </w:rPr>
        <w:t xml:space="preserve">估计可能存在遗漏变量偏差；（2）管理层权力的度量依赖于</w:t>
      </w:r>
      <w:r>
        <w:t xml:space="preserve"> PCA </w:t>
      </w:r>
      <w:r>
        <w:rPr>
          <w:rFonts w:hint="eastAsia"/>
        </w:rPr>
        <w:t xml:space="preserve">综合指标，未来可尝试更精细的权力维度分解；（3）未纳入在职消费等隐性薪酬维度，可能低估了补贴对高管实际收益的影响。未来研究可进一步引入动态面板模型或工具变量法以强化因果识别，并尝试将文本分析方法与机器学习相结合，构建更为全面的超额薪酬风险评估体系。</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2026-03-21T13:59:06Z</dcterms:created>
  <dcterms:modified xsi:type="dcterms:W3CDTF">2026-03-21T13:59:06Z</dcterms:modified>
</cp:coreProperties>
</file>

<file path=docProps/custom.xml><?xml version="1.0" encoding="utf-8"?>
<Properties xmlns="http://schemas.openxmlformats.org/officeDocument/2006/custom-properties" xmlns:vt="http://schemas.openxmlformats.org/officeDocument/2006/docPropsVTypes"/>
</file>