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spacing w:before="0" w:after="0" w:line="240" w:lineRule="auto"/>
              <w:ind w:firstLine="0"/>
              <w:jc w:val="left"/>
              <w:rPr>
                <w:rFonts w:ascii="楷体" w:eastAsia="楷体" w:hAnsi="楷体"/>
                <w:color w:val="000000"/>
                <w:kern w:val="0"/>
                <w:sz w:val="28"/>
                <w:szCs w:val="28"/>
              </w:rPr>
            </w:pPr>
            <w:r>
              <w:rPr>
                <w:rFonts w:ascii="楷体" w:hAnsi="楷体" w:eastAsia="楷体"/>
                <w:sz w:val="28"/>
              </w:rPr>
              <w:t>基于数据挖掘的上市公司财政补贴</w:t>
            </w:r>
          </w:p>
          <w:p>
            <w:pPr>
              <w:spacing w:before="0" w:after="0" w:line="240" w:lineRule="auto"/>
              <w:ind w:firstLine="0"/>
              <w:jc w:val="left"/>
            </w:pPr>
            <w:r>
              <w:rPr>
                <w:rFonts w:ascii="楷体" w:hAnsi="楷体" w:eastAsia="楷体"/>
                <w:sz w:val="28"/>
              </w:rPr>
              <w:t>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w:t>
        <w:br/>
        <w:t>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left"/>
      </w:pPr>
      <w:r>
        <w:rPr>
          <w:rFonts w:hint="eastAsia" w:ascii="Times New Roman" w:hAnsi="Times New Roman" w:eastAsia="宋体"/>
          <w:sz w:val="21"/>
        </w:rPr>
        <w:t xml:space="preserve">本文以2003—2024年沪深A股非金融上市公司为观察对象，将基准回归限定在上一年已获财政补贴的公司年度，考察补贴强度与高管超额薪酬的关系。估计显示，滞后一期正补助对数系数为正且显著。加入行业×年份固定效应、缩短样本期、仅保留制造业样本，并实施Heckman校正和事件动态检验后，结论方向保持一致。异质性发现表明，这一关联在民营企业和非管制行业更明显。管理层权力可能参与传导，但经济幅度较小。机器学习部分仅提供预测层面的补充线索。总体来看，已获补贴企业内部的补贴强度上升，往往伴随更高的超额薪酬，相关解释仍需保持审慎。</w:t>
      </w:r>
    </w:p>
    <w:p>
      <w:pPr>
        <w:spacing w:line="240" w:lineRule="auto" w:before="0" w:after="0"/>
        <w:ind w:firstLine="0"/>
        <w:jc w:val="left"/>
      </w:pPr>
      <w:r>
        <w:rPr>
          <w:rFonts w:ascii="Times New Roman" w:hAnsi="Times New Roman" w:eastAsia="宋体"/>
          <w:sz w:val="21"/>
        </w:rPr>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240" w:lineRule="auto" w:before="0" w:after="0"/>
        <w:ind w:firstLine="0"/>
        <w:jc w:val="center"/>
      </w:pPr>
      <w:r>
        <w:rPr>
          <w:rFonts w:ascii="Times New Roman" w:hAnsi="Times New Roman" w:eastAsia="宋体"/>
          <w:sz w:val="21"/>
        </w:rPr>
      </w:r>
    </w:p>
    <w:p>
      <w:pPr>
        <w:spacing w:line="240" w:lineRule="auto" w:before="0" w:after="0"/>
        <w:ind w:firstLine="0"/>
        <w:jc w:val="center"/>
      </w:pPr>
      <w:r>
        <w:rPr>
          <w:rFonts w:ascii="Times New Roman" w:hAnsi="Times New Roman" w:eastAsia="宋体"/>
          <w:sz w:val="21"/>
        </w:rPr>
      </w:r>
    </w:p>
    <w:p>
      <w:pPr>
        <w:spacing w:line="240" w:lineRule="auto" w:before="0" w:after="0"/>
        <w:ind w:firstLine="0"/>
        <w:jc w:val="left"/>
      </w:pPr>
      <w:r>
        <w:rPr>
          <w:rFonts w:ascii="Times New Roman" w:hAnsi="Times New Roman" w:eastAsia="宋体"/>
          <w:sz w:val="21"/>
        </w:rPr>
      </w:r>
    </w:p>
    <w:p>
      <w:pPr>
        <w:pageBreakBefore w:val="0"/>
        <w:spacing w:line="312" w:lineRule="auto" w:before="0" w:after="0"/>
        <w:ind w:firstLine="0"/>
        <w:jc w:val="center"/>
      </w:pPr>
      <w:r>
        <w:rPr>
          <w:rFonts w:ascii="Times New Roman" w:hAnsi="Times New Roman" w:eastAsia="Times New Roman"/>
          <w:b/>
          <w:sz w:val="32"/>
        </w:rPr>
        <w:t>RESEARCH ON FISCAL SUBSIDIES AND EXECUTIVE</w:t>
      </w:r>
    </w:p>
    <w:p>
      <w:pPr>
        <w:spacing w:line="312" w:lineRule="auto" w:before="0" w:after="0"/>
        <w:ind w:firstLine="0"/>
        <w:jc w:val="center"/>
      </w:pPr>
      <w:r>
        <w:rPr>
          <w:rFonts w:ascii="Times New Roman" w:hAnsi="Times New Roman" w:eastAsia="Times New Roman"/>
          <w:b/>
          <w:sz w:val="32"/>
        </w:rPr>
        <w:t>EXCESS COMPENSATION OF LISTED COMPANIES</w:t>
      </w:r>
    </w:p>
    <w:p>
      <w:pPr>
        <w:spacing w:line="312" w:lineRule="auto" w:before="0" w:after="0"/>
        <w:ind w:firstLine="0"/>
        <w:jc w:val="center"/>
      </w:pPr>
      <w:r>
        <w:rPr>
          <w:rFonts w:ascii="Times New Roman" w:hAnsi="Times New Roman" w:eastAsia="Times New Roman"/>
          <w:b/>
          <w:sz w:val="32"/>
        </w:rPr>
        <w:t>BASED ON DATA MINING</w:t>
      </w:r>
    </w:p>
    <w:p>
      <w:pPr>
        <w:spacing w:line="240" w:lineRule="auto" w:before="0" w:after="0"/>
        <w:ind w:firstLine="0"/>
        <w:jc w:val="center"/>
      </w:pPr>
      <w:r>
        <w:rPr>
          <w:rFonts w:ascii="Times New Roman" w:hAnsi="Times New Roman" w:eastAsia="宋体"/>
          <w:sz w:val="21"/>
        </w:rPr>
      </w:r>
    </w:p>
    <w:p>
      <w:pPr>
        <w:spacing w:line="312" w:lineRule="auto" w:before="0" w:after="0"/>
        <w:ind w:firstLine="0"/>
        <w:jc w:val="center"/>
      </w:pPr>
      <w:r>
        <w:rPr>
          <w:rFonts w:ascii="Times New Roman" w:hAnsi="Times New Roman" w:eastAsia="Times New Roman"/>
          <w:b/>
          <w:sz w:val="28"/>
        </w:rPr>
        <w:t xml:space="preserve">ABSTRACT</w:t>
      </w:r>
    </w:p>
    <w:p>
      <w:pPr>
        <w:spacing w:line="240" w:lineRule="auto" w:before="0" w:after="0"/>
        <w:ind w:firstLine="0"/>
        <w:jc w:val="center"/>
      </w:pPr>
      <w:r>
        <w:rPr>
          <w:rFonts w:ascii="Times New Roman" w:hAnsi="Times New Roman" w:eastAsia="宋体"/>
          <w:sz w:val="21"/>
        </w:rPr>
      </w:r>
    </w:p>
    <w:p>
      <w:pPr>
        <w:spacing w:line="312" w:lineRule="auto" w:before="0" w:after="0"/>
        <w:ind w:firstLine="420"/>
        <w:jc w:val="left"/>
      </w:pPr>
      <w:r>
        <w:rPr>
          <w:rFonts w:ascii="Times New Roman" w:hAnsi="Times New Roman" w:eastAsia="Times New Roman"/>
          <w:sz w:val="21"/>
        </w:rPr>
        <w:t xml:space="preserve">Using non-financial A-share listed firms from 2003 to 2024 as the observation frame, this study restricts the baseline regression to firm-year observations that had already received fiscal subsidies in the previous year and examines the association between subsidy intensity and executive excess compensation. The coefficient on the logarithm of lagged positive subsidies is positive and statistically significant. The direction remains stable after adding industry-by-year fixed effects, shortening the sample period, retaining only manufacturing firms, applying Heckman correction, and conducting an event-study dynamic check. Heterogeneity tests suggest that the association is more evident in private firms and non-regulated industries. Managerial power may serve as a partial channel, but its economic magnitude is small. The machine-learning section only provides predictive supplementary evidence. Overall, within already subsidized firms, higher subsidy intensity tends to be accompanied by higher executive excess compensation, while the interpretation remains cautious.</w:t>
      </w:r>
    </w:p>
    <w:p>
      <w:pPr>
        <w:spacing w:line="240" w:lineRule="auto" w:before="0" w:after="0"/>
        <w:ind w:firstLine="0"/>
        <w:jc w:val="left"/>
      </w:pPr>
      <w:r>
        <w:rPr>
          <w:rFonts w:ascii="Times New Roman" w:hAnsi="Times New Roman" w:eastAsia="宋体"/>
          <w:sz w:val="21"/>
        </w:rPr>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hyperlink w:anchor="_TocAuto0001" w:history="1">
        <w:r>
          <w:rPr>
            <w:noProof/>
          </w:rPr>
          <w:t>第一章</w:t>
        </w:r>
        <w:r>
          <w:rPr>
            <w:noProof/>
          </w:rPr>
          <w:t xml:space="preserve"> </w:t>
        </w:r>
        <w:r>
          <w:rPr>
            <w:noProof/>
          </w:rPr>
          <w:t>绪论</w:t>
        </w:r>
      </w:hyperlink>
      <w:r>
        <w:rPr>
          <w:noProof/>
        </w:rPr>
        <w:tab/>
      </w:r>
      <w:r>
        <w:rPr>
          <w:noProof/>
        </w:rPr>
        <w:t>1</w:t>
      </w:r>
    </w:p>
    <w:p>
      <w:pPr>
        <w:pStyle w:val="TOC2"/>
      </w:pPr>
      <w:hyperlink w:anchor="_TocAuto0002" w:history="1">
        <w:r>
          <w:rPr>
            <w:noProof/>
          </w:rPr>
          <w:t>1.1</w:t>
        </w:r>
        <w:r>
          <w:rPr>
            <w:noProof/>
          </w:rPr>
          <w:t xml:space="preserve"> </w:t>
        </w:r>
        <w:r>
          <w:rPr>
            <w:noProof/>
          </w:rPr>
          <w:t>研究背景与问题提出</w:t>
        </w:r>
      </w:hyperlink>
      <w:r>
        <w:rPr>
          <w:noProof/>
        </w:rPr>
        <w:tab/>
      </w:r>
      <w:r>
        <w:rPr>
          <w:noProof/>
        </w:rPr>
        <w:t>1</w:t>
      </w:r>
    </w:p>
    <w:p>
      <w:pPr>
        <w:pStyle w:val="TOC2"/>
      </w:pPr>
      <w:hyperlink w:anchor="_TocAuto0003" w:history="1">
        <w:r>
          <w:rPr>
            <w:noProof/>
          </w:rPr>
          <w:t>1.2</w:t>
        </w:r>
        <w:r>
          <w:rPr>
            <w:noProof/>
          </w:rPr>
          <w:t xml:space="preserve"> </w:t>
        </w:r>
        <w:r>
          <w:rPr>
            <w:noProof/>
          </w:rPr>
          <w:t>研究目的与研究意义</w:t>
        </w:r>
      </w:hyperlink>
      <w:r>
        <w:rPr>
          <w:noProof/>
        </w:rPr>
        <w:tab/>
      </w:r>
      <w:r>
        <w:rPr>
          <w:noProof/>
        </w:rPr>
        <w:t>2</w:t>
      </w:r>
    </w:p>
    <w:p>
      <w:pPr>
        <w:pStyle w:val="TOC2"/>
      </w:pPr>
      <w:hyperlink w:anchor="_TocAuto0004" w:history="1">
        <w:r>
          <w:rPr>
            <w:noProof/>
          </w:rPr>
          <w:t>1.3</w:t>
        </w:r>
        <w:r>
          <w:rPr>
            <w:noProof/>
          </w:rPr>
          <w:t xml:space="preserve"> </w:t>
        </w:r>
        <w:r>
          <w:rPr>
            <w:noProof/>
          </w:rPr>
          <w:t>国内外研究现状</w:t>
        </w:r>
      </w:hyperlink>
      <w:r>
        <w:rPr>
          <w:noProof/>
        </w:rPr>
        <w:tab/>
      </w:r>
      <w:r>
        <w:rPr>
          <w:noProof/>
        </w:rPr>
        <w:t>3</w:t>
      </w:r>
    </w:p>
    <w:p>
      <w:pPr>
        <w:pStyle w:val="TOC2"/>
      </w:pPr>
      <w:hyperlink w:anchor="_TocAuto0005" w:history="1">
        <w:r>
          <w:rPr>
            <w:noProof/>
          </w:rPr>
          <w:t>1.4</w:t>
        </w:r>
        <w:r>
          <w:rPr>
            <w:noProof/>
          </w:rPr>
          <w:t xml:space="preserve"> </w:t>
        </w:r>
        <w:r>
          <w:rPr>
            <w:noProof/>
          </w:rPr>
          <w:t>研究方法与技术路线</w:t>
        </w:r>
      </w:hyperlink>
      <w:r>
        <w:rPr>
          <w:noProof/>
        </w:rPr>
        <w:tab/>
      </w:r>
      <w:r>
        <w:rPr>
          <w:noProof/>
        </w:rPr>
        <w:t>7</w:t>
      </w:r>
    </w:p>
    <w:p>
      <w:pPr>
        <w:pStyle w:val="TOC1"/>
      </w:pPr>
      <w:hyperlink w:anchor="_TocAuto0006" w:history="1">
        <w:r>
          <w:rPr>
            <w:noProof/>
          </w:rPr>
          <w:t>第二章</w:t>
        </w:r>
        <w:r>
          <w:rPr>
            <w:noProof/>
          </w:rPr>
          <w:t xml:space="preserve"> </w:t>
        </w:r>
        <w:r>
          <w:rPr>
            <w:noProof/>
          </w:rPr>
          <w:t>理论分析与假设</w:t>
        </w:r>
      </w:hyperlink>
      <w:r>
        <w:rPr>
          <w:noProof/>
        </w:rPr>
        <w:tab/>
      </w:r>
      <w:r>
        <w:rPr>
          <w:noProof/>
        </w:rPr>
        <w:t>10</w:t>
      </w:r>
    </w:p>
    <w:p>
      <w:pPr>
        <w:pStyle w:val="TOC2"/>
      </w:pPr>
      <w:hyperlink w:anchor="_TocAuto0007" w:history="1">
        <w:r>
          <w:rPr>
            <w:noProof/>
          </w:rPr>
          <w:t>2.1</w:t>
        </w:r>
        <w:r>
          <w:rPr>
            <w:noProof/>
          </w:rPr>
          <w:t xml:space="preserve"> </w:t>
        </w:r>
        <w:r>
          <w:rPr>
            <w:noProof/>
          </w:rPr>
          <w:t>概念界定</w:t>
        </w:r>
      </w:hyperlink>
      <w:r>
        <w:rPr>
          <w:noProof/>
        </w:rPr>
        <w:tab/>
      </w:r>
      <w:r>
        <w:rPr>
          <w:noProof/>
        </w:rPr>
        <w:t>10</w:t>
      </w:r>
    </w:p>
    <w:p>
      <w:pPr>
        <w:pStyle w:val="TOC2"/>
      </w:pPr>
      <w:hyperlink w:anchor="_TocAuto0008" w:history="1">
        <w:r>
          <w:rPr>
            <w:noProof/>
          </w:rPr>
          <w:t>2.2</w:t>
        </w:r>
        <w:r>
          <w:rPr>
            <w:noProof/>
          </w:rPr>
          <w:t xml:space="preserve"> </w:t>
        </w:r>
        <w:r>
          <w:rPr>
            <w:noProof/>
          </w:rPr>
          <w:t>理论基础</w:t>
        </w:r>
      </w:hyperlink>
      <w:r>
        <w:rPr>
          <w:noProof/>
        </w:rPr>
        <w:tab/>
      </w:r>
      <w:r>
        <w:rPr>
          <w:noProof/>
        </w:rPr>
        <w:t>13</w:t>
      </w:r>
    </w:p>
    <w:p>
      <w:pPr>
        <w:pStyle w:val="TOC2"/>
      </w:pPr>
      <w:hyperlink w:anchor="_TocAuto0009" w:history="1">
        <w:r>
          <w:rPr>
            <w:noProof/>
          </w:rPr>
          <w:t>2.3</w:t>
        </w:r>
        <w:r>
          <w:rPr>
            <w:noProof/>
          </w:rPr>
          <w:t xml:space="preserve"> </w:t>
        </w:r>
        <w:r>
          <w:rPr>
            <w:noProof/>
          </w:rPr>
          <w:t>研究假设</w:t>
        </w:r>
      </w:hyperlink>
      <w:r>
        <w:rPr>
          <w:noProof/>
        </w:rPr>
        <w:tab/>
      </w:r>
      <w:r>
        <w:rPr>
          <w:noProof/>
        </w:rPr>
        <w:t>19</w:t>
      </w:r>
    </w:p>
    <w:p>
      <w:pPr>
        <w:pStyle w:val="TOC1"/>
      </w:pPr>
      <w:hyperlink w:anchor="_TocAuto0010" w:history="1">
        <w:r>
          <w:rPr>
            <w:noProof/>
          </w:rPr>
          <w:t>第三章</w:t>
        </w:r>
        <w:r>
          <w:rPr>
            <w:noProof/>
          </w:rPr>
          <w:t xml:space="preserve"> </w:t>
        </w:r>
        <w:r>
          <w:rPr>
            <w:noProof/>
          </w:rPr>
          <w:t>研究设计</w:t>
        </w:r>
      </w:hyperlink>
      <w:r>
        <w:rPr>
          <w:noProof/>
        </w:rPr>
        <w:tab/>
      </w:r>
      <w:r>
        <w:rPr>
          <w:noProof/>
        </w:rPr>
        <w:t>21</w:t>
      </w:r>
    </w:p>
    <w:p>
      <w:pPr>
        <w:pStyle w:val="TOC2"/>
      </w:pPr>
      <w:hyperlink w:anchor="_TocAuto0011" w:history="1">
        <w:r>
          <w:rPr>
            <w:noProof/>
          </w:rPr>
          <w:t>3.1</w:t>
        </w:r>
        <w:r>
          <w:rPr>
            <w:noProof/>
          </w:rPr>
          <w:t xml:space="preserve"> </w:t>
        </w:r>
        <w:r>
          <w:rPr>
            <w:noProof/>
          </w:rPr>
          <w:t>研究问题界定与分析框架</w:t>
        </w:r>
      </w:hyperlink>
      <w:r>
        <w:rPr>
          <w:noProof/>
        </w:rPr>
        <w:tab/>
      </w:r>
      <w:r>
        <w:rPr>
          <w:noProof/>
        </w:rPr>
        <w:t>21</w:t>
      </w:r>
    </w:p>
    <w:p>
      <w:pPr>
        <w:pStyle w:val="TOC2"/>
      </w:pPr>
      <w:hyperlink w:anchor="_TocAuto0012" w:history="1">
        <w:r>
          <w:rPr>
            <w:noProof/>
          </w:rPr>
          <w:t>3.2</w:t>
        </w:r>
        <w:r>
          <w:rPr>
            <w:noProof/>
          </w:rPr>
          <w:t xml:space="preserve"> </w:t>
        </w:r>
        <w:r>
          <w:rPr>
            <w:noProof/>
          </w:rPr>
          <w:t>样本选择与数据来源</w:t>
        </w:r>
      </w:hyperlink>
      <w:r>
        <w:rPr>
          <w:noProof/>
        </w:rPr>
        <w:tab/>
      </w:r>
      <w:r>
        <w:rPr>
          <w:noProof/>
        </w:rPr>
        <w:t>22</w:t>
      </w:r>
    </w:p>
    <w:p>
      <w:pPr>
        <w:pStyle w:val="TOC2"/>
      </w:pPr>
      <w:hyperlink w:anchor="_TocAuto0013" w:history="1">
        <w:r>
          <w:rPr>
            <w:noProof/>
          </w:rPr>
          <w:t>3.3</w:t>
        </w:r>
        <w:r>
          <w:rPr>
            <w:noProof/>
          </w:rPr>
          <w:t xml:space="preserve"> </w:t>
        </w:r>
        <w:r>
          <w:rPr>
            <w:noProof/>
          </w:rPr>
          <w:t>变量设定与说明</w:t>
        </w:r>
      </w:hyperlink>
      <w:r>
        <w:rPr>
          <w:noProof/>
        </w:rPr>
        <w:tab/>
      </w:r>
      <w:r>
        <w:rPr>
          <w:noProof/>
        </w:rPr>
        <w:t>24</w:t>
      </w:r>
    </w:p>
    <w:p>
      <w:pPr>
        <w:pStyle w:val="TOC2"/>
      </w:pPr>
      <w:hyperlink w:anchor="_TocAuto0014" w:history="1">
        <w:r>
          <w:rPr>
            <w:noProof/>
          </w:rPr>
          <w:t>3.4</w:t>
        </w:r>
        <w:r>
          <w:rPr>
            <w:noProof/>
          </w:rPr>
          <w:t xml:space="preserve"> </w:t>
        </w:r>
        <w:r>
          <w:rPr>
            <w:noProof/>
          </w:rPr>
          <w:t>模型设定</w:t>
        </w:r>
      </w:hyperlink>
      <w:r>
        <w:rPr>
          <w:noProof/>
        </w:rPr>
        <w:tab/>
      </w:r>
      <w:r>
        <w:rPr>
          <w:noProof/>
        </w:rPr>
        <w:t>27</w:t>
      </w:r>
    </w:p>
    <w:p>
      <w:pPr>
        <w:pStyle w:val="TOC2"/>
      </w:pPr>
      <w:hyperlink w:anchor="_TocAuto0015" w:history="1">
        <w:r>
          <w:rPr>
            <w:noProof/>
          </w:rPr>
          <w:t>3.5</w:t>
        </w:r>
        <w:r>
          <w:rPr>
            <w:noProof/>
          </w:rPr>
          <w:t xml:space="preserve"> </w:t>
        </w:r>
        <w:r>
          <w:rPr>
            <w:noProof/>
          </w:rPr>
          <w:t>机器学习方法</w:t>
        </w:r>
      </w:hyperlink>
      <w:r>
        <w:rPr>
          <w:noProof/>
        </w:rPr>
        <w:tab/>
      </w:r>
      <w:r>
        <w:rPr>
          <w:noProof/>
        </w:rPr>
        <w:t>30</w:t>
      </w:r>
    </w:p>
    <w:p>
      <w:pPr>
        <w:pStyle w:val="TOC1"/>
      </w:pPr>
      <w:hyperlink w:anchor="_TocAuto0016" w:history="1">
        <w:r>
          <w:rPr>
            <w:noProof/>
          </w:rPr>
          <w:t>第四章</w:t>
        </w:r>
        <w:r>
          <w:rPr>
            <w:noProof/>
          </w:rPr>
          <w:t xml:space="preserve"> </w:t>
        </w:r>
        <w:r>
          <w:rPr>
            <w:noProof/>
          </w:rPr>
          <w:t>实证分析</w:t>
        </w:r>
      </w:hyperlink>
      <w:r>
        <w:rPr>
          <w:noProof/>
        </w:rPr>
        <w:tab/>
      </w:r>
      <w:r>
        <w:rPr>
          <w:noProof/>
        </w:rPr>
        <w:t>37</w:t>
      </w:r>
    </w:p>
    <w:p>
      <w:pPr>
        <w:pStyle w:val="TOC2"/>
      </w:pPr>
      <w:hyperlink w:anchor="_TocAuto0017" w:history="1">
        <w:r>
          <w:rPr>
            <w:noProof/>
          </w:rPr>
          <w:t>4.1</w:t>
        </w:r>
        <w:r>
          <w:rPr>
            <w:noProof/>
          </w:rPr>
          <w:t xml:space="preserve"> </w:t>
        </w:r>
        <w:r>
          <w:rPr>
            <w:noProof/>
          </w:rPr>
          <w:t>描述性统计</w:t>
        </w:r>
      </w:hyperlink>
      <w:r>
        <w:rPr>
          <w:noProof/>
        </w:rPr>
        <w:tab/>
      </w:r>
      <w:r>
        <w:rPr>
          <w:noProof/>
        </w:rPr>
        <w:t>37</w:t>
      </w:r>
    </w:p>
    <w:p>
      <w:pPr>
        <w:pStyle w:val="TOC2"/>
      </w:pPr>
      <w:hyperlink w:anchor="_TocAuto0018" w:history="1">
        <w:r>
          <w:rPr>
            <w:noProof/>
          </w:rPr>
          <w:t>4.2</w:t>
        </w:r>
        <w:r>
          <w:rPr>
            <w:noProof/>
          </w:rPr>
          <w:t xml:space="preserve"> </w:t>
        </w:r>
        <w:r>
          <w:rPr>
            <w:noProof/>
          </w:rPr>
          <w:t>相关性分析</w:t>
        </w:r>
      </w:hyperlink>
      <w:r>
        <w:rPr>
          <w:noProof/>
        </w:rPr>
        <w:tab/>
      </w:r>
      <w:r>
        <w:rPr>
          <w:noProof/>
        </w:rPr>
        <w:t>38</w:t>
      </w:r>
    </w:p>
    <w:p>
      <w:pPr>
        <w:pStyle w:val="TOC2"/>
      </w:pPr>
      <w:hyperlink w:anchor="_TocAuto0019" w:history="1">
        <w:r>
          <w:rPr>
            <w:noProof/>
          </w:rPr>
          <w:t>4.3</w:t>
        </w:r>
        <w:r>
          <w:rPr>
            <w:noProof/>
          </w:rPr>
          <w:t xml:space="preserve"> </w:t>
        </w:r>
        <w:r>
          <w:rPr>
            <w:noProof/>
          </w:rPr>
          <w:t>基准回归分析</w:t>
        </w:r>
      </w:hyperlink>
      <w:r>
        <w:rPr>
          <w:noProof/>
        </w:rPr>
        <w:tab/>
      </w:r>
      <w:r>
        <w:rPr>
          <w:noProof/>
        </w:rPr>
        <w:t>40</w:t>
      </w:r>
    </w:p>
    <w:p>
      <w:pPr>
        <w:pStyle w:val="TOC2"/>
      </w:pPr>
      <w:hyperlink w:anchor="_TocAuto0020" w:history="1">
        <w:r>
          <w:rPr>
            <w:noProof/>
          </w:rPr>
          <w:t>4.4</w:t>
        </w:r>
        <w:r>
          <w:rPr>
            <w:noProof/>
          </w:rPr>
          <w:t xml:space="preserve"> </w:t>
        </w:r>
        <w:r>
          <w:rPr>
            <w:noProof/>
          </w:rPr>
          <w:t>内生性处理</w:t>
        </w:r>
      </w:hyperlink>
      <w:r>
        <w:rPr>
          <w:noProof/>
        </w:rPr>
        <w:tab/>
      </w:r>
      <w:r>
        <w:rPr>
          <w:noProof/>
        </w:rPr>
        <w:t>43</w:t>
      </w:r>
    </w:p>
    <w:p>
      <w:pPr>
        <w:pStyle w:val="TOC2"/>
      </w:pPr>
      <w:hyperlink w:anchor="_TocAuto0021" w:history="1">
        <w:r>
          <w:rPr>
            <w:noProof/>
          </w:rPr>
          <w:t>4.5</w:t>
        </w:r>
        <w:r>
          <w:rPr>
            <w:noProof/>
          </w:rPr>
          <w:t xml:space="preserve"> </w:t>
        </w:r>
        <w:r>
          <w:rPr>
            <w:noProof/>
          </w:rPr>
          <w:t>稳健性检验</w:t>
        </w:r>
      </w:hyperlink>
      <w:r>
        <w:rPr>
          <w:noProof/>
        </w:rPr>
        <w:tab/>
      </w:r>
      <w:r>
        <w:rPr>
          <w:noProof/>
        </w:rPr>
        <w:t>47</w:t>
      </w:r>
    </w:p>
    <w:p>
      <w:pPr>
        <w:pStyle w:val="TOC2"/>
      </w:pPr>
      <w:hyperlink w:anchor="_TocAuto0022" w:history="1">
        <w:r>
          <w:rPr>
            <w:noProof/>
          </w:rPr>
          <w:t>4.6</w:t>
        </w:r>
        <w:r>
          <w:rPr>
            <w:noProof/>
          </w:rPr>
          <w:t xml:space="preserve"> </w:t>
        </w:r>
        <w:r>
          <w:rPr>
            <w:noProof/>
          </w:rPr>
          <w:t>基于机器学习方法的补充验证</w:t>
        </w:r>
      </w:hyperlink>
      <w:r>
        <w:rPr>
          <w:noProof/>
        </w:rPr>
        <w:tab/>
      </w:r>
      <w:r>
        <w:rPr>
          <w:noProof/>
        </w:rPr>
        <w:t>49</w:t>
      </w:r>
    </w:p>
    <w:p>
      <w:pPr>
        <w:pStyle w:val="TOC2"/>
      </w:pPr>
      <w:hyperlink w:anchor="_TocAuto0023" w:history="1">
        <w:r>
          <w:rPr>
            <w:noProof/>
          </w:rPr>
          <w:t>4.7</w:t>
        </w:r>
        <w:r>
          <w:rPr>
            <w:noProof/>
          </w:rPr>
          <w:t xml:space="preserve"> </w:t>
        </w:r>
        <w:r>
          <w:rPr>
            <w:noProof/>
          </w:rPr>
          <w:t>中介效应分析</w:t>
        </w:r>
      </w:hyperlink>
      <w:r>
        <w:rPr>
          <w:noProof/>
        </w:rPr>
        <w:tab/>
      </w:r>
      <w:r>
        <w:rPr>
          <w:noProof/>
        </w:rPr>
        <w:t>55</w:t>
      </w:r>
    </w:p>
    <w:p>
      <w:pPr>
        <w:pStyle w:val="TOC2"/>
      </w:pPr>
      <w:hyperlink w:anchor="_TocAuto0024" w:history="1">
        <w:r>
          <w:rPr>
            <w:noProof/>
          </w:rPr>
          <w:t>4.8</w:t>
        </w:r>
        <w:r>
          <w:rPr>
            <w:noProof/>
          </w:rPr>
          <w:t xml:space="preserve"> </w:t>
        </w:r>
        <w:r>
          <w:rPr>
            <w:noProof/>
          </w:rPr>
          <w:t>异质性分析</w:t>
        </w:r>
      </w:hyperlink>
      <w:r>
        <w:rPr>
          <w:noProof/>
        </w:rPr>
        <w:tab/>
      </w:r>
      <w:r>
        <w:rPr>
          <w:noProof/>
        </w:rPr>
        <w:t>58</w:t>
      </w:r>
    </w:p>
    <w:p>
      <w:pPr>
        <w:pStyle w:val="TOC1"/>
      </w:pPr>
      <w:hyperlink w:anchor="_TocAuto0025" w:history="1">
        <w:r>
          <w:rPr>
            <w:noProof/>
          </w:rPr>
          <w:t>第五章</w:t>
        </w:r>
        <w:r>
          <w:rPr>
            <w:noProof/>
          </w:rPr>
          <w:t xml:space="preserve"> </w:t>
        </w:r>
        <w:r>
          <w:rPr>
            <w:noProof/>
          </w:rPr>
          <w:t>结论</w:t>
        </w:r>
      </w:hyperlink>
      <w:r>
        <w:rPr>
          <w:noProof/>
        </w:rPr>
        <w:tab/>
      </w:r>
      <w:r>
        <w:rPr>
          <w:noProof/>
        </w:rPr>
        <w:t>63</w:t>
      </w:r>
    </w:p>
    <w:p>
      <w:pPr>
        <w:pStyle w:val="TOC2"/>
      </w:pPr>
      <w:hyperlink w:anchor="_TocAuto0026" w:history="1">
        <w:r>
          <w:rPr>
            <w:noProof/>
          </w:rPr>
          <w:t>5.1</w:t>
        </w:r>
        <w:r>
          <w:rPr>
            <w:noProof/>
          </w:rPr>
          <w:t xml:space="preserve"> </w:t>
        </w:r>
        <w:r>
          <w:rPr>
            <w:noProof/>
          </w:rPr>
          <w:t>研究结论</w:t>
        </w:r>
      </w:hyperlink>
      <w:r>
        <w:rPr>
          <w:noProof/>
        </w:rPr>
        <w:tab/>
      </w:r>
      <w:r>
        <w:rPr>
          <w:noProof/>
        </w:rPr>
        <w:t>63</w:t>
      </w:r>
    </w:p>
    <w:p>
      <w:pPr>
        <w:pStyle w:val="TOC2"/>
      </w:pPr>
      <w:hyperlink w:anchor="_TocAuto0027" w:history="1">
        <w:r>
          <w:rPr>
            <w:noProof/>
          </w:rPr>
          <w:t>5.2</w:t>
        </w:r>
        <w:r>
          <w:rPr>
            <w:noProof/>
          </w:rPr>
          <w:t xml:space="preserve"> </w:t>
        </w:r>
        <w:r>
          <w:rPr>
            <w:noProof/>
          </w:rPr>
          <w:t>政策建议</w:t>
        </w:r>
      </w:hyperlink>
      <w:r>
        <w:rPr>
          <w:noProof/>
        </w:rPr>
        <w:tab/>
      </w:r>
      <w:r>
        <w:rPr>
          <w:noProof/>
        </w:rPr>
        <w:t>65</w:t>
      </w:r>
    </w:p>
    <w:p>
      <w:pPr>
        <w:pStyle w:val="TOC2"/>
      </w:pPr>
      <w:hyperlink w:anchor="_TocAuto0028" w:history="1">
        <w:r>
          <w:rPr>
            <w:noProof/>
          </w:rPr>
          <w:t>5.3</w:t>
        </w:r>
        <w:r>
          <w:rPr>
            <w:noProof/>
          </w:rPr>
          <w:t xml:space="preserve"> </w:t>
        </w:r>
        <w:r>
          <w:rPr>
            <w:noProof/>
          </w:rPr>
          <w:t>研究局限与展望</w:t>
        </w:r>
      </w:hyperlink>
      <w:r>
        <w:rPr>
          <w:noProof/>
        </w:rPr>
        <w:tab/>
      </w:r>
      <w:r>
        <w:rPr>
          <w:noProof/>
        </w:rPr>
        <w:t>66</w:t>
      </w:r>
    </w:p>
    <w:p>
      <w:pPr>
        <w:pStyle w:val="TOC1"/>
      </w:pPr>
      <w:hyperlink w:anchor="_TocAuto0029" w:history="1">
        <w:r>
          <w:rPr>
            <w:noProof/>
          </w:rPr>
          <w:t>参考文献</w:t>
        </w:r>
      </w:hyperlink>
      <w:r>
        <w:rPr>
          <w:noProof/>
        </w:rPr>
        <w:tab/>
      </w:r>
      <w:r>
        <w:rPr>
          <w:noProof/>
        </w:rPr>
        <w:t>68</w:t>
      </w:r>
    </w:p>
    <w:p>
      <w:pPr>
        <w:pStyle w:val="TOC1"/>
      </w:pPr>
      <w:hyperlink w:anchor="_TocAuto0030" w:history="1">
        <w:r>
          <w:rPr>
            <w:noProof/>
          </w:rPr>
          <w:t>致谢</w:t>
        </w:r>
      </w:hyperlink>
      <w:r>
        <w:rPr>
          <w:noProof/>
        </w:rPr>
        <w:tab/>
      </w:r>
      <w:r>
        <w:rPr>
          <w:noProof/>
        </w:rPr>
        <w:t>71</w:t>
      </w:r>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105"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105"/>
    </w:p>
    <w:bookmarkStart w:id="2" w:name="研究背景与问题提出"/>
    <w:p>
      <w:pPr>
        <w:pStyle w:val="2"/>
        <w:spacing w:line="312" w:lineRule="auto" w:before="0" w:after="0"/>
        <w:ind w:firstLine="0"/>
        <w:jc w:val="left"/>
      </w:pPr>
      <w:bookmarkStart w:id="106" w:name="_TocAuto0002"/>
      <w:r>
        <w:rPr>
          <w:rFonts w:ascii="Times New Roman" w:hAnsi="Times New Roman" w:eastAsia="黑体"/>
          <w:b w:val="0"/>
          <w:sz w:val="28"/>
        </w:rPr>
        <w:t xml:space="preserve">1.1 </w:t>
      </w:r>
      <w:r>
        <w:rPr>
          <w:rFonts w:hint="eastAsia" w:ascii="Times New Roman" w:hAnsi="Times New Roman" w:eastAsia="黑体"/>
          <w:b w:val="0"/>
          <w:sz w:val="28"/>
        </w:rPr>
        <w:t xml:space="preserve">研究背景与问题提出</w:t>
      </w:r>
      <w:bookmarkEnd w:id="106"/>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更注重发展质量的新阶段。这一转变对应着政府资金投向、政策工具选择和绩效评估标准的全面调整。财政补贴在这一背景下持续承担政策功能，服务于战略性新兴产业培育和技术创新激励，也承担企业纾困、稳就业和稳预期等现实任务。根据</w:t>
      </w:r>
      <w:r>
        <w:rPr>
          <w:rFonts w:ascii="Times New Roman" w:hAnsi="Times New Roman" w:eastAsia="宋体"/>
          <w:b w:val="0"/>
          <w:sz w:val="21"/>
        </w:rPr>
        <w:t xml:space="preserve"> CSMAR </w:t>
      </w:r>
      <w:r>
        <w:rPr>
          <w:rFonts w:hint="eastAsia" w:ascii="Times New Roman" w:hAnsi="Times New Roman" w:eastAsia="宋体"/>
          <w:b w:val="0"/>
          <w:sz w:val="21"/>
        </w:rPr>
        <w:t xml:space="preserve">统计，2003至2024年间沪深A股非金融上市公司的政府补助规模持续扩大，获补企业数量和平均补贴强度均呈上升趋势。财政补贴已成为中国资本市场一类常规的制度性变量。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学术讨论和公共舆论的焦点。学术上，它关系激励契约设计、代理成本控制和公司治理效率。公众层面，它牵涉收入分配公平、财政资金使用效率和市场信任基础。一个日益引人关注的问题是：企业获得补贴后，高管薪酬是否会随之抬升？更深一层的担忧在于，原本服务于产业发展和公共利益的政策性资源，是否会在信息不对称和治理约束不足的条件下部分转化为管理层的私人收益。这个问题也涉及财政资源配置效率和企业内部利益分配的合理性。</w:t>
      </w:r>
    </w:p>
    <w:p>
      <w:pPr>
        <w:spacing w:line="312" w:lineRule="auto" w:before="0" w:after="0"/>
        <w:ind w:firstLine="420"/>
        <w:jc w:val="both"/>
      </w:pPr>
      <w:r>
        <w:rPr>
          <w:rFonts w:hint="eastAsia" w:ascii="Times New Roman" w:hAnsi="Times New Roman" w:eastAsia="宋体"/>
          <w:b w:val="0"/>
          <w:sz w:val="21"/>
        </w:rPr>
        <w:t xml:space="preserve">高管薪酬为何偏离“合理区间”，现有文献主要沿两条路径解释。“最优契约说”强调市场竞争与治理约束，视薪酬为董事会与高管博弈后的均衡状态，最终应反映高管的边际贡献；“管理权力说”则关注现实中的治理偏差，认为所有权与控制权分离的公司中，高管可以通过干预董事会构成、薪酬委员会安排和信息披露节奏来抬高自身报酬。在中国上市公司中，后一种解释更贴近现实——信息不对称程度较高、内部控制质量参差不齐、独立董事独立性有限，这些因素会放大管理层的自利空间。财政补贴作为外部资源进入企业后，增加了可支配资金，也容易抬高高管薪酬议价空间、为寻租行为提供空间。本文便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问题：在已经获得财政补贴的上市公司内部，补贴强度在控制企业基本特征后是否与高管超额薪酬存在显著正向关联？管理层权力是否可能在两者之间形成传导路径，即补贴强度变化会不会通过改变权力结构传导到超额薪酬？这一关联在不同产权性质和行业管制强度下是否呈现差异？机器学习补充验证能否从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边际贡献、系数保留与方向一致性、部分依赖趋势四个角度，为基准回归提供补充观察？</w:t>
      </w:r>
    </w:p>
    <w:bookmarkEnd w:id="0"/>
    <w:bookmarkStart w:id="3" w:name="研究目的与研究意义"/>
    <w:p>
      <w:pPr>
        <w:pStyle w:val="2"/>
        <w:spacing w:line="312" w:lineRule="auto" w:before="0" w:after="0"/>
        <w:ind w:firstLine="0"/>
        <w:jc w:val="left"/>
      </w:pPr>
      <w:bookmarkStart w:id="107" w:name="_TocAuto0003"/>
      <w:r>
        <w:rPr>
          <w:rFonts w:ascii="Times New Roman" w:hAnsi="Times New Roman" w:eastAsia="黑体"/>
          <w:b w:val="0"/>
          <w:sz w:val="28"/>
        </w:rPr>
        <w:t xml:space="preserve">1.2 </w:t>
      </w:r>
      <w:r>
        <w:rPr>
          <w:rFonts w:hint="eastAsia" w:ascii="Times New Roman" w:hAnsi="Times New Roman" w:eastAsia="黑体"/>
          <w:b w:val="0"/>
          <w:sz w:val="28"/>
        </w:rPr>
        <w:t xml:space="preserve">研究目的与研究意义</w:t>
      </w:r>
      <w:bookmarkEnd w:id="107"/>
    </w:p>
    <w:p>
      <w:pPr>
        <w:spacing w:line="312" w:lineRule="auto" w:before="0" w:after="0"/>
        <w:ind w:firstLine="420"/>
        <w:jc w:val="both"/>
      </w:pPr>
      <w:r>
        <w:rPr>
          <w:rFonts w:hint="eastAsia" w:ascii="Times New Roman" w:hAnsi="Times New Roman" w:eastAsia="宋体"/>
          <w:b w:val="0"/>
          <w:sz w:val="21"/>
        </w:rPr>
        <w:t xml:space="preserve">在理论层面，本文将政府补贴这一政策变量纳入高管超额薪酬的经验结构，把“外部资源输入”与“内部权力结构”纳入同一条解释链。实证设计上主动区分“是否获得补贴”和“获得补贴后的强弱差异”，把核心命题收束为已获补贴企业内部的强度效应，有助于避免把两个不同经济议题混成一条回归。测量层面采用</w:t>
      </w:r>
      <w:r>
        <w:rPr>
          <w:rFonts w:ascii="Times New Roman" w:hAnsi="Times New Roman" w:eastAsia="宋体"/>
          <w:b w:val="0"/>
          <w:sz w:val="21"/>
        </w:rPr>
        <w:t xml:space="preserve"> PCA </w:t>
      </w:r>
      <w:r>
        <w:rPr>
          <w:rFonts w:hint="eastAsia" w:ascii="Times New Roman" w:hAnsi="Times New Roman" w:eastAsia="宋体"/>
          <w:b w:val="0"/>
          <w:sz w:val="21"/>
        </w:rPr>
        <w:t xml:space="preserve">构造管理层权力综合指标，同时将固定效应、选择偏差校正和机器学习补充验证并行使用，使线性识别与非线性观察能够相互补充。</w:t>
      </w:r>
    </w:p>
    <w:p>
      <w:pPr>
        <w:spacing w:line="312" w:lineRule="auto" w:before="0" w:after="0"/>
        <w:ind w:firstLine="420"/>
        <w:jc w:val="both"/>
      </w:pPr>
      <w:r>
        <w:rPr>
          <w:rFonts w:hint="eastAsia" w:ascii="Times New Roman" w:hAnsi="Times New Roman" w:eastAsia="宋体"/>
          <w:b w:val="0"/>
          <w:sz w:val="21"/>
        </w:rPr>
        <w:t xml:space="preserve">在实践层面，本文更贴近政策和市场实践。对财政监管部门而言，现有证据提示：真正更值得关注的，不是“补贴是否必然推高薪酬”，而是已经获得补贴的企业在补贴强度上升后，是否同步出现高管薪酬异常抬升。对资本市场监管者来说，产权和行业异质性表明，民营企业和非管制行业中的补贴—薪酬联动更值得重点核查；机器学习补充验证给出的财政补贴与核心基本面变量的相对重要性排序，可作为筛查线索的辅助参考，但不宜直接替代正式监管判断。对投资者和公众而言，理解补贴与薪酬之间潜在联系及其边界，有助于评估上市公司治理质量和财政资金的实际使用效率。</w:t>
      </w:r>
    </w:p>
    <w:bookmarkEnd w:id="1"/>
    <w:bookmarkStart w:id="4" w:name="国内外研究现状"/>
    <w:p>
      <w:pPr>
        <w:pStyle w:val="2"/>
        <w:spacing w:line="312" w:lineRule="auto" w:before="0" w:after="0"/>
        <w:ind w:firstLine="0"/>
        <w:jc w:val="left"/>
      </w:pPr>
      <w:bookmarkStart w:id="108" w:name="_TocAuto0004"/>
      <w:r>
        <w:rPr>
          <w:rFonts w:ascii="Times New Roman" w:hAnsi="Times New Roman" w:eastAsia="黑体"/>
          <w:b w:val="0"/>
          <w:sz w:val="28"/>
        </w:rPr>
        <w:t xml:space="preserve">1.3 </w:t>
      </w:r>
      <w:r>
        <w:rPr>
          <w:rFonts w:hint="eastAsia" w:ascii="Times New Roman" w:hAnsi="Times New Roman" w:eastAsia="黑体"/>
          <w:b w:val="0"/>
          <w:sz w:val="28"/>
        </w:rPr>
        <w:t xml:space="preserve">国内外研究现状</w:t>
      </w:r>
      <w:bookmarkEnd w:id="108"/>
    </w:p>
    <w:bookmarkStart w:id="5" w:name="高管超额薪酬的界定与测量方法"/>
    <w:p>
      <w:pPr>
        <w:pStyle w:val="31"/>
        <w:spacing w:line="312" w:lineRule="auto" w:before="0" w:after="0"/>
        <w:ind w:firstLine="420"/>
        <w:jc w:val="left"/>
      </w:pPr>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p>
    <w:p>
      <w:pPr>
        <w:spacing w:line="312" w:lineRule="auto" w:before="0" w:after="0"/>
        <w:ind w:firstLine="420"/>
        <w:jc w:val="both"/>
      </w:pPr>
      <w:r>
        <w:rPr>
          <w:rFonts w:hint="eastAsia" w:ascii="Times New Roman" w:hAnsi="Times New Roman" w:eastAsia="宋体"/>
          <w:b w:val="0"/>
          <w:sz w:val="21"/>
        </w:rPr>
        <w:t xml:space="preserve">高管超额薪酬这一议题的核心困难不在于发现“薪酬高”，而在于区分哪些部分属于正常激励、哪些已偏离合理边界。早期文献常直接使用CEO绝对薪酬规模作代理变量，操作简便但难以将企业规模、业绩补偿和治理失灵带来的额外收益分开。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将讨论视角从“薪酬高不高”转向“薪酬契约如何形成”，指出所有权分散的上市公司中，管理层可通过干预董事会提名、薪酬委员会构成和条款设计来抬高自身报酬。期权、退休福利和其他隐性收益因此成为识别管理权力的重要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框架展开，并在样本处理和变量设定上作了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[24]</w:t>
      </w:r>
      <w:r>
        <w:rPr>
          <w:rFonts w:hint="eastAsia" w:ascii="Times New Roman" w:hAnsi="Times New Roman" w:eastAsia="宋体"/>
          <w:b w:val="0"/>
          <w:sz w:val="21"/>
        </w:rPr>
        <w:t xml:space="preserve">则直接使用残差法刻画超额薪酬，二者切入点不同，却都把政府补贴纳入了解释框架，并得到补贴与高管额外收益正向联系的结论。吴妍（2019）</w:t>
      </w:r>
      <w:r>
        <w:rPr>
          <w:rFonts w:ascii="Times New Roman" w:hAnsi="Times New Roman" w:eastAsia="宋体"/>
          <w:b w:val="0"/>
          <w:sz w:val="21"/>
          <w:vertAlign w:val="superscript"/>
        </w:rPr>
        <w:t>[29]</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[32]</w:t>
      </w:r>
      <w:r>
        <w:rPr>
          <w:rFonts w:hint="eastAsia" w:ascii="Times New Roman" w:hAnsi="Times New Roman" w:eastAsia="宋体"/>
          <w:b w:val="0"/>
          <w:sz w:val="21"/>
        </w:rPr>
        <w:t xml:space="preserve">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2"/>
    <w:bookmarkStart w:id="6" w:name="财政补贴的分配逻辑与公司行为效应"/>
    <w:p>
      <w:pPr>
        <w:pStyle w:val="31"/>
        <w:spacing w:line="312" w:lineRule="auto" w:before="0" w:after="0"/>
        <w:ind w:firstLine="420"/>
        <w:jc w:val="left"/>
      </w:pPr>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p>
    <w:p>
      <w:pPr>
        <w:spacing w:line="312" w:lineRule="auto" w:before="0" w:after="0"/>
        <w:ind w:firstLine="420"/>
        <w:jc w:val="both"/>
      </w:pPr>
      <w:r>
        <w:rPr>
          <w:rFonts w:hint="eastAsia" w:ascii="Times New Roman" w:hAnsi="Times New Roman" w:eastAsia="宋体"/>
          <w:b w:val="0"/>
          <w:sz w:val="21"/>
        </w:rPr>
        <w:t xml:space="preserve">现有文献提醒，财政补贴不宜被理解为随机落入企业账户的外部资金。唐清泉和罗党论（2007）</w:t>
      </w:r>
      <w:r>
        <w:rPr>
          <w:rFonts w:ascii="Times New Roman" w:hAnsi="Times New Roman" w:eastAsia="宋体"/>
          <w:b w:val="0"/>
          <w:sz w:val="21"/>
          <w:vertAlign w:val="superscript"/>
        </w:rPr>
        <w:t>[27]</w:t>
      </w:r>
      <w:r>
        <w:rPr>
          <w:rFonts w:hint="eastAsia" w:ascii="Times New Roman" w:hAnsi="Times New Roman" w:eastAsia="宋体"/>
          <w:b w:val="0"/>
          <w:sz w:val="21"/>
        </w:rPr>
        <w:t xml:space="preserve">指出，中国上市公司的补贴分配兼带产业政策导向和政治关联色彩，补贴能否获得本身就嵌入了企业特征与制度关系的筛选。潘红波、夏新平和余明桂（2008）</w:t>
      </w:r>
      <w:r>
        <w:rPr>
          <w:rFonts w:ascii="Times New Roman" w:hAnsi="Times New Roman" w:eastAsia="宋体"/>
          <w:b w:val="0"/>
          <w:sz w:val="21"/>
          <w:vertAlign w:val="superscript"/>
        </w:rPr>
        <w:t>[26]</w:t>
      </w:r>
      <w:r>
        <w:rPr>
          <w:rFonts w:hint="eastAsia" w:ascii="Times New Roman" w:hAnsi="Times New Roman" w:eastAsia="宋体"/>
          <w:b w:val="0"/>
          <w:sz w:val="21"/>
        </w:rPr>
        <w:t xml:space="preserve">进一步发现政治关联更强的企业更容易获得政策支持。补贴兼具财务资源和治理关系的双重属性：它进入企业后会牵动利润表，并改变管理层在企业内部的资源支配位置。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将视角延伸至补贴到账后的资源消化环节，观察到政府补贴与管理冗余显著正相关，在内部控制较弱、社会信任基础较低的企业中这种关系更为明显。补贴未必自动转化为效率改进，某些情形下反而成为管理层可占用的松弛空间。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从披露端提供了另一条证据：部分企业会通过强化年报中的政策导向表述来提升补贴获取概率，这提示补贴的形成过程本身就嵌入了信息策略和治理差异。既然补贴的获取和使用都并非中性过程，补贴进入企业后能否外溢到高管薪酬，便取决于内部治理机制的约束强度，这正是下一节的讨论重点。</w:t>
      </w:r>
    </w:p>
    <w:bookmarkEnd w:id="3"/>
    <w:bookmarkStart w:id="7" w:name="内部治理机制对补贴薪酬关联的调节"/>
    <w:p>
      <w:pPr>
        <w:pStyle w:val="31"/>
        <w:spacing w:line="312" w:lineRule="auto" w:before="0" w:after="0"/>
        <w:ind w:firstLine="420"/>
        <w:jc w:val="left"/>
      </w:pPr>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p>
    <w:p>
      <w:pPr>
        <w:spacing w:line="312" w:lineRule="auto" w:before="0" w:after="0"/>
        <w:ind w:firstLine="420"/>
        <w:jc w:val="both"/>
      </w:pPr>
      <w:r>
        <w:rPr>
          <w:rFonts w:hint="eastAsia" w:ascii="Times New Roman" w:hAnsi="Times New Roman" w:eastAsia="宋体"/>
          <w:b w:val="0"/>
          <w:sz w:val="21"/>
        </w:rPr>
        <w:t xml:space="preserve">补贴能否外溢到薪酬端，很大程度上取决于企业内部的治理约束强度。步丹璐和王晓艳（2014）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观察到政府补助会扩大高管与员工之间的薪酬差距，治理约束较弱的企业表现更为明显。陈冬华、陈信元和万华林（2005）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讨论国有企业时指出，显性薪酬受限后管理层会转向在职消费、差旅费等更隐蔽的补偿渠道。综合来看，补贴对薪酬的外溢不一定体现为工资单上的直接增加，也会沿着治理薄弱环节转化为更隐性的收益安排。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[23]</w:t>
      </w:r>
      <w:r>
        <w:rPr>
          <w:rFonts w:hint="eastAsia" w:ascii="Times New Roman" w:hAnsi="Times New Roman" w:eastAsia="宋体"/>
          <w:b w:val="0"/>
          <w:sz w:val="21"/>
        </w:rPr>
        <w:t xml:space="preserve">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将视角延伸至年报文本，得到业绩不佳或存在不利信息时企业更倾向于使用复杂表达，年报可读性低的企业高管超额薪酬也更高。信息披露并非单纯的事实呈现，它也容易成为提高解读成本、削弱外部监督的工具。连君莎（2020）</w:t>
      </w:r>
      <w:r>
        <w:rPr>
          <w:rFonts w:ascii="Times New Roman" w:hAnsi="Times New Roman" w:eastAsia="宋体"/>
          <w:b w:val="0"/>
          <w:sz w:val="21"/>
          <w:vertAlign w:val="superscript"/>
        </w:rPr>
        <w:t>[20]</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[31]</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[30]</w:t>
      </w:r>
      <w:r>
        <w:rPr>
          <w:rFonts w:hint="eastAsia" w:ascii="Times New Roman" w:hAnsi="Times New Roman" w:eastAsia="宋体"/>
          <w:b w:val="0"/>
          <w:sz w:val="21"/>
        </w:rPr>
        <w:t xml:space="preserve">分别从内部控制、薪酬公平和管理层语调角度进一步补充了这一判断：补贴、治理与薪酬的联系需要在信息透明度和监督强度的差异中理解。上述文献主要依赖线性计量框架，而补贴与薪酬之间可能存在的非线性关系和交互结构，则需要借助机器学习工具加以补充观察。</w:t>
      </w:r>
    </w:p>
    <w:bookmarkEnd w:id="4"/>
    <w:bookmarkStart w:id="8" w:name="机器学习与数据挖掘方法在会计金融研究中的应用"/>
    <w:p>
      <w:pPr>
        <w:pStyle w:val="31"/>
        <w:spacing w:line="312" w:lineRule="auto" w:before="0" w:after="0"/>
        <w:ind w:firstLine="420"/>
        <w:jc w:val="left"/>
      </w:pPr>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p>
    <w:p>
      <w:pPr>
        <w:spacing w:line="312" w:lineRule="auto" w:before="0" w:after="0"/>
        <w:ind w:firstLine="420"/>
        <w:jc w:val="both"/>
      </w:pPr>
      <w:r>
        <w:rPr>
          <w:rFonts w:hint="eastAsia" w:ascii="Times New Roman" w:hAnsi="Times New Roman" w:eastAsia="宋体"/>
          <w:b w:val="0"/>
          <w:sz w:val="21"/>
        </w:rPr>
        <w:t xml:space="preserve">机器学习文献与本文的关联在于，它能处理线性回归不太擅长处理的情形。Li（2008）</w:t>
      </w:r>
      <w:r>
        <w:rPr>
          <w:rFonts w:ascii="Times New Roman" w:hAnsi="Times New Roman" w:eastAsia="宋体"/>
          <w:b w:val="0"/>
          <w:sz w:val="21"/>
          <w:vertAlign w:val="superscript"/>
        </w:rPr>
        <w:t>[11]</w:t>
      </w:r>
      <w:r>
        <w:rPr>
          <w:rFonts w:hint="eastAsia" w:ascii="Times New Roman" w:hAnsi="Times New Roman" w:eastAsia="宋体"/>
          <w:b w:val="0"/>
          <w:sz w:val="21"/>
        </w:rPr>
        <w:t xml:space="preserve">较早将文本特征与经济后果联系起来，这意味着非结构化信息也可以进入会计议题。Gu、Kelly</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Xiu（2020）</w:t>
      </w:r>
      <w:r>
        <w:rPr>
          <w:rFonts w:ascii="Times New Roman" w:hAnsi="Times New Roman" w:eastAsia="宋体"/>
          <w:b w:val="0"/>
          <w:sz w:val="21"/>
          <w:vertAlign w:val="superscript"/>
        </w:rPr>
        <w:t>[7]</w:t>
      </w:r>
      <w:r>
        <w:rPr>
          <w:rFonts w:hint="eastAsia" w:ascii="Times New Roman" w:hAnsi="Times New Roman" w:eastAsia="宋体"/>
          <w:b w:val="0"/>
          <w:sz w:val="21"/>
        </w:rPr>
        <w:t xml:space="preserve">在实证资产定价领域系统比较了多种机器学习工具，提示集成树和神经网络在捕捉非线性模式方面具有显著优势。Perols、Bowen、Zimmermann等（2017）</w:t>
      </w:r>
      <w:r>
        <w:rPr>
          <w:rFonts w:ascii="Times New Roman" w:hAnsi="Times New Roman" w:eastAsia="宋体"/>
          <w:b w:val="0"/>
          <w:sz w:val="21"/>
          <w:vertAlign w:val="superscript"/>
        </w:rPr>
        <w:t>[12]</w:t>
      </w:r>
      <w:r>
        <w:rPr>
          <w:rFonts w:hint="eastAsia" w:ascii="Times New Roman" w:hAnsi="Times New Roman" w:eastAsia="宋体"/>
          <w:b w:val="0"/>
          <w:sz w:val="21"/>
        </w:rPr>
        <w:t xml:space="preserve">在财务舞弊识别中观察到，随机森林、神经网络和Boosting等方法相较传统逻辑回归有更好的预测表现，关键在于模型能自动捕捉更高阶的交互结构。陆瑶、张叶青、黎波和赵浩宇（2020）</w:t>
      </w:r>
      <w:r>
        <w:rPr>
          <w:rFonts w:ascii="Times New Roman" w:hAnsi="Times New Roman" w:eastAsia="宋体"/>
          <w:b w:val="0"/>
          <w:sz w:val="21"/>
          <w:vertAlign w:val="superscript"/>
        </w:rPr>
        <w:t>[22]</w:t>
      </w:r>
      <w:r>
        <w:rPr>
          <w:rFonts w:hint="eastAsia" w:ascii="Times New Roman" w:hAnsi="Times New Roman" w:eastAsia="宋体"/>
          <w:b w:val="0"/>
          <w:sz w:val="21"/>
        </w:rPr>
        <w:t xml:space="preserve">将梯度提升树用于高管特征与公司业绩关系的考察，显示某些变量的作用不一定沿线性方式平稳展开，在特定区间或特定组合下才明显增强。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后续文献将这一思路扩展到文本分析和异常识别。马长峰、陈志娟和张顺明（2020）</w:t>
      </w:r>
      <w:r>
        <w:rPr>
          <w:rFonts w:ascii="Times New Roman" w:hAnsi="Times New Roman" w:eastAsia="宋体"/>
          <w:b w:val="0"/>
          <w:sz w:val="21"/>
          <w:vertAlign w:val="superscript"/>
        </w:rPr>
        <w:t>[25]</w:t>
      </w:r>
      <w:r>
        <w:rPr>
          <w:rFonts w:hint="eastAsia" w:ascii="Times New Roman" w:hAnsi="Times New Roman" w:eastAsia="宋体"/>
          <w:b w:val="0"/>
          <w:sz w:val="21"/>
        </w:rPr>
        <w:t xml:space="preserve">在综述中提到，机器学习更适合承担探索性和补充性任务，不宜直接替代因果推断。Rjiba、Saadi、Boubaker等（2021）</w:t>
      </w:r>
      <w:r>
        <w:rPr>
          <w:rFonts w:ascii="Times New Roman" w:hAnsi="Times New Roman" w:eastAsia="宋体"/>
          <w:b w:val="0"/>
          <w:sz w:val="21"/>
          <w:vertAlign w:val="superscript"/>
        </w:rPr>
        <w:t>[13]</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[3]</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[10]</w:t>
      </w:r>
      <w:r>
        <w:rPr>
          <w:rFonts w:hint="eastAsia" w:ascii="Times New Roman" w:hAnsi="Times New Roman" w:eastAsia="宋体"/>
          <w:b w:val="0"/>
          <w:sz w:val="21"/>
        </w:rPr>
        <w:t xml:space="preserve">则将上下文语言学习与人工智能方法用于舞弊和异常识别。这些工作的启发在于：当财政补贴与超额薪酬之间可能存在区间效应、交互结构或非线性关系时，机器学习可作为补充观察工具，但不应替代基准回归的主体地位。综合以上四个维度的文献积累，下面对现有文献的总体贡献和仍待填补的空白进行述评。</w:t>
      </w:r>
    </w:p>
    <w:bookmarkEnd w:id="5"/>
    <w:bookmarkStart w:id="9" w:name="研究述评与现有文献的局限"/>
    <w:p>
      <w:pPr>
        <w:pStyle w:val="31"/>
        <w:spacing w:line="312" w:lineRule="auto" w:before="0" w:after="0"/>
        <w:ind w:firstLine="420"/>
        <w:jc w:val="left"/>
      </w:pPr>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p>
    <w:p>
      <w:pPr>
        <w:spacing w:line="312" w:lineRule="auto" w:before="0" w:after="0"/>
        <w:ind w:firstLine="420"/>
        <w:jc w:val="both"/>
      </w:pPr>
      <w:r>
        <w:rPr>
          <w:rFonts w:hint="eastAsia" w:ascii="Times New Roman" w:hAnsi="Times New Roman" w:eastAsia="宋体"/>
          <w:b w:val="0"/>
          <w:sz w:val="21"/>
        </w:rPr>
        <w:t xml:space="preserve">综合前述文献，现有文献对几个基础命题已形成较清晰的认识：超额薪酬的界定与测量已有较稳定的处理路径，财政补贴对高管收入的作用在中国情境下积累了不少证据，内部控制、媒体监督和披露复杂性等因素对补贴效应强弱的调节效应也得到了较多支持。</w:t>
      </w:r>
    </w:p>
    <w:p>
      <w:pPr>
        <w:spacing w:line="312" w:lineRule="auto" w:before="0" w:after="0"/>
        <w:ind w:firstLine="420"/>
        <w:jc w:val="both"/>
      </w:pPr>
      <w:r>
        <w:rPr>
          <w:rFonts w:hint="eastAsia" w:ascii="Times New Roman" w:hAnsi="Times New Roman" w:eastAsia="宋体"/>
          <w:b w:val="0"/>
          <w:sz w:val="21"/>
        </w:rPr>
        <w:t xml:space="preserve">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6"/>
    <w:bookmarkEnd w:id="7"/>
    <w:bookmarkStart w:id="10" w:name="研究方法与技术路线"/>
    <w:p>
      <w:pPr>
        <w:pStyle w:val="2"/>
        <w:spacing w:line="312" w:lineRule="auto" w:before="0" w:after="0"/>
        <w:ind w:firstLine="0"/>
        <w:jc w:val="left"/>
      </w:pPr>
      <w:bookmarkStart w:id="109" w:name="_TocAuto0005"/>
      <w:r>
        <w:rPr>
          <w:rFonts w:ascii="Times New Roman" w:hAnsi="Times New Roman" w:eastAsia="黑体"/>
          <w:b w:val="0"/>
          <w:sz w:val="28"/>
        </w:rPr>
        <w:t xml:space="preserve">1.4 </w:t>
      </w:r>
      <w:r>
        <w:rPr>
          <w:rFonts w:hint="eastAsia" w:ascii="Times New Roman" w:hAnsi="Times New Roman" w:eastAsia="黑体"/>
          <w:b w:val="0"/>
          <w:sz w:val="28"/>
        </w:rPr>
        <w:t xml:space="preserve">研究方法与技术路线</w:t>
      </w:r>
      <w:bookmarkEnd w:id="109"/>
    </w:p>
    <w:p>
      <w:pPr>
        <w:spacing w:line="312" w:lineRule="auto" w:before="0" w:after="0"/>
        <w:ind w:firstLine="420"/>
        <w:jc w:val="both"/>
      </w:pPr>
      <w:r>
        <w:rPr>
          <w:rFonts w:hint="eastAsia" w:ascii="Times New Roman" w:hAnsi="Times New Roman" w:eastAsia="宋体"/>
          <w:b w:val="0"/>
          <w:sz w:val="21"/>
        </w:rPr>
        <w:t xml:space="preserve">技术路线的设计让每类工具回答不同层面的任务。前半部分完成文献梳理与理论推演，明确两条检验主线：财政补贴与高管超额薪酬是否存在稳定联系，管理层权力是否承担传导角色。</w:t>
      </w:r>
    </w:p>
    <w:p>
      <w:pPr>
        <w:spacing w:line="312" w:lineRule="auto" w:before="0" w:after="0"/>
        <w:ind w:firstLine="420"/>
        <w:jc w:val="both"/>
      </w:pPr>
      <w:r>
        <w:rPr>
          <w:rFonts w:hint="eastAsia" w:ascii="Times New Roman" w:hAnsi="Times New Roman" w:eastAsia="宋体"/>
          <w:b w:val="0"/>
          <w:sz w:val="21"/>
        </w:rPr>
        <w:t xml:space="preserve">随后进入基准计量部分，利用CSMAR面板数据和Core等（1999）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的设定构造超额薪酬变量，并把基准回归聚焦为“上一年已获得补贴企业内部的补贴强度效应”：在公司和年份固定效应下，检验滞后一期正补助对数是否与</w:t>
      </w:r>
      <w:r>
        <w:rPr>
          <w:rFonts w:ascii="Times New Roman" w:hAnsi="Times New Roman" w:eastAsia="宋体"/>
          <w:b w:val="0"/>
          <w:sz w:val="21"/>
        </w:rPr>
        <w:t xml:space="preserve"> Overpay </w:t>
      </w:r>
      <w:r>
        <w:rPr>
          <w:rFonts w:hint="eastAsia" w:ascii="Times New Roman" w:hAnsi="Times New Roman" w:eastAsia="宋体"/>
          <w:b w:val="0"/>
          <w:sz w:val="21"/>
        </w:rPr>
        <w:t xml:space="preserve">同步变化。更严格的行业×年份固定效应、选择偏差校正和事件动态检验用于收紧识别边界，中介检验观察权力渠道是否存在，异质性分析判断联系是否随制度情境而分化。</w:t>
      </w:r>
    </w:p>
    <w:p>
      <w:pPr>
        <w:spacing w:line="312" w:lineRule="auto" w:before="0" w:after="0"/>
        <w:ind w:firstLine="420"/>
        <w:jc w:val="both"/>
      </w:pPr>
      <w:r>
        <w:rPr>
          <w:rFonts w:hint="eastAsia" w:ascii="Times New Roman" w:hAnsi="Times New Roman" w:eastAsia="宋体"/>
          <w:b w:val="0"/>
          <w:sz w:val="21"/>
        </w:rPr>
        <w:t xml:space="preserve">机器学习补充验证置于第四章稳健性检验之后，并与基准回归保持相同的样本边界和核心变量口径。随机森林复核财政补贴与控制变量的相对重要性；SHAP补充解释财政补贴的边际贡献强度；Lasso检验财政补贴变量是否被保留且方向一致；XGBoost则通过特征重要性与财政补贴的部分依赖图，观察更灵活模型中的趋势是否与OLS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3505200" cy="15113000"/>
            <wp:effectExtent b="0" l="0" r="0" t="0"/>
            <wp:docPr descr="" title="" id="2" name="Picture"/>
            <a:graphic>
              <a:graphicData uri="http://schemas.openxmlformats.org/drawingml/2006/picture">
                <pic:pic>
                  <pic:nvPicPr>
                    <pic:cNvPr descr="./images/fig1_1_techroute.png" id="2" name="Picture"/>
                    <pic:cNvPicPr>
                      <a:picLocks noChangeArrowheads="1" noChangeAspect="1"/>
                    </pic:cNvPicPr>
                  </pic:nvPicPr>
                  <pic:blipFill>
                    <a:blip r:embed="rId24"/>
                    <a:stretch>
                      <a:fillRect/>
                    </a:stretch>
                  </pic:blipFill>
                  <pic:spPr bwMode="auto">
                    <a:xfrm>
                      <a:off x="0" y="0"/>
                      <a:ext cx="3505200" cy="1511300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图1-1</w:t>
      </w:r>
      <w:r>
        <w:rPr>
          <w:rFonts w:ascii="Times New Roman" w:hAnsi="Times New Roman" w:eastAsia="宋体"/>
          <w:b/>
          <w:sz w:val="18"/>
        </w:rPr>
        <w:t xml:space="preserve"> </w:t>
      </w:r>
      <w:r>
        <w:rPr>
          <w:rFonts w:hint="eastAsia" w:ascii="Times New Roman" w:hAnsi="Times New Roman" w:eastAsia="宋体"/>
          <w:b/>
          <w:sz w:val="18"/>
        </w:rPr>
        <w:t xml:space="preserve">技术路线图</w:t>
      </w:r>
    </w:p>
    <w:bookmarkEnd w:id="8"/>
    <w:bookmarkEnd w:id="9"/>
    <w:bookmarkStart w:id="11" w:name="第二章-理论分析与假设"/>
    <w:p>
      <w:pPr>
        <w:pStyle w:val="1"/>
        <w:pageBreakBefore/>
        <w:spacing w:line="312" w:lineRule="auto" w:before="0" w:after="0"/>
        <w:ind w:firstLine="0"/>
        <w:jc w:val="center"/>
      </w:pPr>
      <w:bookmarkStart w:id="110" w:name="_TocAuto0006"/>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110"/>
    </w:p>
    <w:bookmarkStart w:id="12" w:name="概念界定"/>
    <w:p>
      <w:pPr>
        <w:pStyle w:val="2"/>
        <w:spacing w:line="312" w:lineRule="auto" w:before="0" w:after="0"/>
        <w:ind w:firstLine="0"/>
        <w:jc w:val="left"/>
      </w:pPr>
      <w:bookmarkStart w:id="111" w:name="_TocAuto0007"/>
      <w:r>
        <w:rPr>
          <w:rFonts w:ascii="Times New Roman" w:hAnsi="Times New Roman" w:eastAsia="黑体"/>
          <w:b w:val="0"/>
          <w:sz w:val="28"/>
        </w:rPr>
        <w:t xml:space="preserve">2.1 </w:t>
      </w:r>
      <w:r>
        <w:rPr>
          <w:rFonts w:hint="eastAsia" w:ascii="Times New Roman" w:hAnsi="Times New Roman" w:eastAsia="黑体"/>
          <w:b w:val="0"/>
          <w:sz w:val="28"/>
        </w:rPr>
        <w:t xml:space="preserve">概念界定</w:t>
      </w:r>
      <w:bookmarkEnd w:id="111"/>
    </w:p>
    <w:bookmarkStart w:id="13" w:name="财政补贴"/>
    <w:p>
      <w:pPr>
        <w:pStyle w:val="31"/>
        <w:spacing w:line="312" w:lineRule="auto" w:before="0" w:after="0"/>
        <w:ind w:firstLine="420"/>
        <w:jc w:val="left"/>
      </w:pPr>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p>
    <w:p>
      <w:pPr>
        <w:spacing w:line="312" w:lineRule="auto" w:before="0" w:after="0"/>
        <w:ind w:firstLine="420"/>
        <w:jc w:val="both"/>
      </w:pPr>
      <w:r>
        <w:rPr>
          <w:rFonts w:hint="eastAsia" w:ascii="Times New Roman" w:hAnsi="Times New Roman" w:eastAsia="宋体"/>
          <w:b w:val="0"/>
          <w:sz w:val="21"/>
        </w:rPr>
        <w:t xml:space="preserve">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w:t>
      </w:r>
      <w:r>
        <w:rPr>
          <w:rFonts w:hint="eastAsia" w:ascii="Times New Roman" w:hAnsi="Times New Roman" w:eastAsia="宋体"/>
          <w:b w:val="0"/>
          <w:sz w:val="21"/>
        </w:rPr>
        <w:t xml:space="preserve">“与资产相关”</w:t>
      </w:r>
      <w:r>
        <w:rPr>
          <w:rFonts w:hint="eastAsia" w:ascii="Times New Roman" w:hAnsi="Times New Roman" w:eastAsia="宋体"/>
          <w:b w:val="0"/>
          <w:sz w:val="21"/>
        </w:rPr>
        <w:t xml:space="preserve">的补助通过递延收益逐期摊销进入利润，</w:t>
      </w:r>
      <w:r>
        <w:rPr>
          <w:rFonts w:hint="eastAsia" w:ascii="Times New Roman" w:hAnsi="Times New Roman" w:eastAsia="宋体"/>
          <w:b w:val="0"/>
          <w:sz w:val="21"/>
        </w:rPr>
        <w:t xml:space="preserve">“与收益相关”</w:t>
      </w:r>
      <w:r>
        <w:rPr>
          <w:rFonts w:hint="eastAsia" w:ascii="Times New Roman" w:hAnsi="Times New Roman" w:eastAsia="宋体"/>
          <w:b w:val="0"/>
          <w:sz w:val="21"/>
        </w:rPr>
        <w:t xml:space="preserve">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pPr>
        <w:spacing w:line="312" w:lineRule="auto" w:before="0" w:after="0"/>
        <w:ind w:firstLine="420"/>
        <w:jc w:val="both"/>
      </w:pPr>
      <w:r>
        <w:rPr>
          <w:rFonts w:hint="eastAsia" w:ascii="Times New Roman" w:hAnsi="Times New Roman" w:eastAsia="宋体"/>
          <w:b w:val="0"/>
          <w:sz w:val="21"/>
        </w:rPr>
        <w:t xml:space="preserve">从经济性质看，财政补贴并非企业依靠市场竞争创造的经营收入，而是带有明确政策来源的外部资源输入。对上市公司而言，它会改变利润表表现，进而带动管理层安排资源的空间。在我国制度环境下，补贴使用约束相对有限、事后跟踪并不总是充分，这使其容易成为管理层寻租的渠道。本文据此将财政补贴置于“补贴—治理—薪酬”关系链条的起点。这种外部资源属性不等同于补贴具有准自然实验性质，全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在具体度量上，本文同时保留两类补贴口径。描述性统计和对照考察中使用企业年度政府补助金额经零值保留后的对数形式，即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p>
    <w:p>
      <w:pPr>
        <w:spacing w:line="312" w:lineRule="auto" w:before="0" w:after="0"/>
        <w:ind w:firstLine="420"/>
        <w:jc w:val="both"/>
      </w:pPr>
      <w:r>
        <w:rPr>
          <w:rFonts w:hint="eastAsia" w:ascii="Times New Roman" w:hAnsi="Times New Roman" w:eastAsia="宋体"/>
          <w:b w:val="0"/>
          <w:sz w:val="21"/>
        </w:rPr>
        <w:t xml:space="preserve">高管超额薪酬并非泛指“薪酬高”，而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1"/>
    <w:bookmarkStart w:id="15" w:name="管理层权力"/>
    <w:p>
      <w:pPr>
        <w:pStyle w:val="31"/>
        <w:spacing w:line="312" w:lineRule="auto" w:before="0" w:after="0"/>
        <w:ind w:firstLine="420"/>
        <w:jc w:val="left"/>
      </w:pPr>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指高管对企业关键决策施加实际改变的空间，尤其体现在薪酬契约、资源配置和战略议程上的控制程度。它并非单一维度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要看到，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这里的处理方式保留了可操作性，部分非正式权力渠道仍可能被低估，后文区分国有与民营企业的异质性检验也有这层考虑。</w:t>
      </w:r>
    </w:p>
    <w:bookmarkEnd w:id="12"/>
    <w:bookmarkEnd w:id="13"/>
    <w:bookmarkStart w:id="16" w:name="理论基础"/>
    <w:p>
      <w:pPr>
        <w:pStyle w:val="2"/>
        <w:spacing w:line="312" w:lineRule="auto" w:before="0" w:after="0"/>
        <w:ind w:firstLine="0"/>
        <w:jc w:val="left"/>
      </w:pPr>
      <w:bookmarkStart w:id="112" w:name="_TocAuto0008"/>
      <w:r>
        <w:rPr>
          <w:rFonts w:ascii="Times New Roman" w:hAnsi="Times New Roman" w:eastAsia="黑体"/>
          <w:b w:val="0"/>
          <w:sz w:val="28"/>
        </w:rPr>
        <w:t xml:space="preserve">2.2 </w:t>
      </w:r>
      <w:r>
        <w:rPr>
          <w:rFonts w:hint="eastAsia" w:ascii="Times New Roman" w:hAnsi="Times New Roman" w:eastAsia="黑体"/>
          <w:b w:val="0"/>
          <w:sz w:val="28"/>
        </w:rPr>
        <w:t xml:space="preserve">理论基础</w:t>
      </w:r>
      <w:bookmarkEnd w:id="112"/>
    </w:p>
    <w:bookmarkStart w:id="17" w:name="管理者权力理论"/>
    <w:p>
      <w:pPr>
        <w:pStyle w:val="31"/>
        <w:spacing w:line="312" w:lineRule="auto" w:before="0" w:after="0"/>
        <w:ind w:firstLine="420"/>
        <w:jc w:val="left"/>
      </w:pPr>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Theory）是理解补贴与薪酬关系的重要起点。Bebchuk和Fried（2003）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提出这一视角，核心原因在于“最优契约说”对董事会的理性和中立假定过于乐观。按最优契约逻辑，高管薪酬应反映其边际贡献；管理者权力理论则说明，现实中董事会、薪酬委员会和经理人市场未必能形成有效约束，高管往往深度介入薪酬安排的形成过程，薪酬合同因而容易成为权力结构的产物。Finkelstein（1992）</w:t>
      </w:r>
      <w:r>
        <w:rPr>
          <w:rFonts w:ascii="Times New Roman" w:hAnsi="Times New Roman" w:eastAsia="宋体"/>
          <w:b w:val="0"/>
          <w:sz w:val="21"/>
          <w:vertAlign w:val="superscript"/>
        </w:rPr>
        <w:t>[6]</w:t>
      </w:r>
      <w:r>
        <w:rPr>
          <w:rFonts w:hint="eastAsia" w:ascii="Times New Roman" w:hAnsi="Times New Roman" w:eastAsia="宋体"/>
          <w:b w:val="0"/>
          <w:sz w:val="21"/>
        </w:rPr>
        <w:t xml:space="preserve">将高管权力划分为结构性权力、所有权权力、专家性权力和声望性权力，为后续经验工作提供了清晰的操作思路。本文以两职合一、董事会规模、内部董事比例和高管持股四个指标刻画管理层权力，延续了多角度检验的思路。</w:t>
      </w:r>
    </w:p>
    <w:p>
      <w:pPr>
        <w:spacing w:line="312" w:lineRule="auto" w:before="0" w:after="0"/>
        <w:ind w:firstLine="420"/>
        <w:jc w:val="both"/>
      </w:pPr>
      <w:r>
        <w:rPr>
          <w:rFonts w:hint="eastAsia" w:ascii="Times New Roman" w:hAnsi="Times New Roman" w:eastAsia="宋体"/>
          <w:b w:val="0"/>
          <w:sz w:val="21"/>
        </w:rPr>
        <w:t xml:space="preserve">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治理结构、较高薪酬和较差绩效放入同一经验结构，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权力，某些时候甚至默许其在薪酬安排中的主导地位。</w:t>
      </w:r>
    </w:p>
    <w:p>
      <w:pPr>
        <w:spacing w:line="312" w:lineRule="auto" w:before="0" w:after="0"/>
        <w:ind w:firstLine="420"/>
        <w:jc w:val="both"/>
      </w:pPr>
      <w:r>
        <w:rPr>
          <w:rFonts w:hint="eastAsia" w:ascii="Times New Roman" w:hAnsi="Times New Roman" w:eastAsia="宋体"/>
          <w:b w:val="0"/>
          <w:sz w:val="21"/>
        </w:rPr>
        <w:t xml:space="preserve">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在治理较弱企业中观察到更强的正向关系，与这一判断一致。</w:t>
      </w:r>
    </w:p>
    <w:bookmarkEnd w:id="14"/>
    <w:bookmarkStart w:id="18" w:name="代理理论"/>
    <w:p>
      <w:pPr>
        <w:pStyle w:val="31"/>
        <w:spacing w:line="312" w:lineRule="auto" w:before="0" w:after="0"/>
        <w:ind w:firstLine="420"/>
        <w:jc w:val="left"/>
      </w:pPr>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 xml:space="preserve">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pPr>
        <w:spacing w:line="312" w:lineRule="auto" w:before="0" w:after="0"/>
        <w:ind w:firstLine="420"/>
        <w:jc w:val="both"/>
      </w:pPr>
      <w:r>
        <w:rPr>
          <w:rFonts w:hint="eastAsia" w:ascii="Times New Roman" w:hAnsi="Times New Roman" w:eastAsia="宋体"/>
          <w:b w:val="0"/>
          <w:sz w:val="21"/>
        </w:rPr>
        <w:t xml:space="preserve">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15"/>
    <w:bookmarkStart w:id="19" w:name="信号传递理论"/>
    <w:p>
      <w:pPr>
        <w:pStyle w:val="31"/>
        <w:spacing w:line="312" w:lineRule="auto" w:before="0" w:after="0"/>
        <w:ind w:firstLine="420"/>
        <w:jc w:val="left"/>
      </w:pPr>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 xml:space="preserve">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pPr>
        <w:spacing w:line="312" w:lineRule="auto" w:before="0" w:after="0"/>
        <w:ind w:firstLine="420"/>
        <w:jc w:val="both"/>
      </w:pPr>
      <w:r>
        <w:rPr>
          <w:rFonts w:hint="eastAsia" w:ascii="Times New Roman" w:hAnsi="Times New Roman" w:eastAsia="宋体"/>
          <w:b w:val="0"/>
          <w:sz w:val="21"/>
        </w:rPr>
        <w:t xml:space="preserve">放在补贴与薪酬的关系中，它至少能解释三件事。企业会主动向政府发送“我值得被支持”的信号，在文本披露中强化创新、环保和政策契合度表达，以提升补贴获取概率；已有文献提示，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p>
    <w:p>
      <w:pPr>
        <w:spacing w:line="312" w:lineRule="auto" w:before="0" w:after="0"/>
        <w:ind w:firstLine="420"/>
        <w:jc w:val="both"/>
      </w:pPr>
      <w:r>
        <w:rPr>
          <w:rFonts w:hint="eastAsia" w:ascii="Times New Roman" w:hAnsi="Times New Roman" w:eastAsia="宋体"/>
          <w:b w:val="0"/>
          <w:bCs/>
          <w:sz w:val="21"/>
        </w:rPr>
        <w:t xml:space="preserve">管理者权力理论、代理理论和信号传递理论的比较</w:t>
      </w:r>
    </w:p>
    <w:p>
      <w:pPr>
        <w:spacing w:line="312" w:lineRule="auto" w:before="0" w:after="0"/>
        <w:ind w:firstLine="420"/>
        <w:jc w:val="both"/>
      </w:pPr>
      <w:r>
        <w:rPr>
          <w:rFonts w:hint="eastAsia" w:ascii="Times New Roman" w:hAnsi="Times New Roman" w:eastAsia="宋体"/>
          <w:b w:val="0"/>
          <w:sz w:val="21"/>
        </w:rPr>
        <w:t xml:space="preserve">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pPr>
        <w:spacing w:line="312" w:lineRule="auto" w:before="0" w:after="0"/>
        <w:ind w:firstLine="420"/>
        <w:jc w:val="both"/>
      </w:pPr>
      <w:r>
        <w:rPr>
          <w:rFonts w:hint="eastAsia" w:ascii="Times New Roman" w:hAnsi="Times New Roman" w:eastAsia="宋体"/>
          <w:b w:val="0"/>
          <w:bCs/>
          <w:sz w:val="21"/>
        </w:rPr>
        <w:t xml:space="preserve">理论视角的内在张力</w:t>
      </w:r>
    </w:p>
    <w:p>
      <w:pPr>
        <w:spacing w:line="312" w:lineRule="auto" w:before="0" w:after="0"/>
        <w:ind w:firstLine="420"/>
        <w:jc w:val="both"/>
      </w:pPr>
      <w:r>
        <w:rPr>
          <w:rFonts w:hint="eastAsia" w:ascii="Times New Roman" w:hAnsi="Times New Roman" w:eastAsia="宋体"/>
          <w:b w:val="0"/>
          <w:sz w:val="21"/>
        </w:rPr>
        <w:t xml:space="preserve">虽然这三个理论视角可以相互补充，但它们也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17"/>
    <w:bookmarkStart w:id="21" w:name="中国制度情境下的理论延展"/>
    <w:p>
      <w:pPr>
        <w:pStyle w:val="31"/>
        <w:spacing w:line="312" w:lineRule="auto" w:before="0" w:after="0"/>
        <w:ind w:firstLine="420"/>
        <w:jc w:val="left"/>
      </w:pPr>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pPr>
        <w:spacing w:line="312" w:lineRule="auto" w:before="0" w:after="0"/>
        <w:ind w:firstLine="420"/>
        <w:jc w:val="both"/>
      </w:pPr>
      <w:r>
        <w:rPr>
          <w:rFonts w:hint="eastAsia" w:ascii="Times New Roman" w:hAnsi="Times New Roman" w:eastAsia="宋体"/>
          <w:b w:val="0"/>
          <w:sz w:val="21"/>
        </w:rPr>
        <w:t xml:space="preserve">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pPr>
        <w:spacing w:line="312" w:lineRule="auto" w:before="0" w:after="0"/>
        <w:ind w:firstLine="420"/>
        <w:jc w:val="both"/>
      </w:pPr>
      <w:r>
        <w:rPr>
          <w:rFonts w:hint="eastAsia" w:ascii="Times New Roman" w:hAnsi="Times New Roman" w:eastAsia="宋体"/>
          <w:b w:val="0"/>
          <w:sz w:val="21"/>
        </w:rPr>
        <w:t xml:space="preserve">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pPr>
        <w:spacing w:line="312" w:lineRule="auto" w:before="0" w:after="0"/>
        <w:ind w:firstLine="420"/>
        <w:jc w:val="both"/>
      </w:pPr>
      <w:r>
        <w:rPr>
          <w:rFonts w:hint="eastAsia" w:ascii="Times New Roman" w:hAnsi="Times New Roman" w:eastAsia="宋体"/>
          <w:b w:val="0"/>
          <w:sz w:val="21"/>
        </w:rPr>
        <w:t xml:space="preserve">这一制度背景也解释了为何全文一并采用固定效应、中介效应和机器学习补充验证。固定效应和滞后设定更适合区分“企业原本就不同”和“补贴变动之后发生了什么”；中介效应检验侧重观察权力渠道是否存在传导线索；机器学习补充验证则在基准回归样本上复核财政补贴在多变量竞争下是否仍保留信息含量，并观察财政补贴的局部趋势是否与</w:t>
      </w:r>
      <w:r>
        <w:rPr>
          <w:rFonts w:ascii="Times New Roman" w:hAnsi="Times New Roman" w:eastAsia="宋体"/>
          <w:b w:val="0"/>
          <w:sz w:val="21"/>
        </w:rPr>
        <w:t xml:space="preserve"> OLS </w:t>
      </w:r>
      <w:r>
        <w:rPr>
          <w:rFonts w:hint="eastAsia" w:ascii="Times New Roman" w:hAnsi="Times New Roman" w:eastAsia="宋体"/>
          <w:b w:val="0"/>
          <w:sz w:val="21"/>
        </w:rPr>
        <w:t xml:space="preserve">保持一致。第二章的理论推演，归根到底要回答两个层面的追问：补贴为何会与超额薪酬上升相伴随，以及为什么这一关系在不同企业中强度并不相同。</w:t>
      </w:r>
    </w:p>
    <w:bookmarkEnd w:id="18"/>
    <w:bookmarkEnd w:id="19"/>
    <w:bookmarkStart w:id="22" w:name="研究假设"/>
    <w:p>
      <w:pPr>
        <w:pStyle w:val="2"/>
        <w:spacing w:line="312" w:lineRule="auto" w:before="0" w:after="0"/>
        <w:ind w:firstLine="0"/>
        <w:jc w:val="left"/>
      </w:pPr>
      <w:bookmarkStart w:id="113" w:name="_TocAuto0009"/>
      <w:r>
        <w:rPr>
          <w:rFonts w:ascii="Times New Roman" w:hAnsi="Times New Roman" w:eastAsia="黑体"/>
          <w:b w:val="0"/>
          <w:sz w:val="28"/>
        </w:rPr>
        <w:t xml:space="preserve">2.3 </w:t>
      </w:r>
      <w:r>
        <w:rPr>
          <w:rFonts w:hint="eastAsia" w:ascii="Times New Roman" w:hAnsi="Times New Roman" w:eastAsia="黑体"/>
          <w:b w:val="0"/>
          <w:sz w:val="28"/>
        </w:rPr>
        <w:t xml:space="preserve">研究假设</w:t>
      </w:r>
      <w:bookmarkEnd w:id="113"/>
    </w:p>
    <w:p>
      <w:pPr>
        <w:spacing w:line="312" w:lineRule="auto" w:before="0" w:after="0"/>
        <w:ind w:firstLine="420"/>
        <w:jc w:val="both"/>
      </w:pPr>
      <w:r>
        <w:rPr>
          <w:rFonts w:hint="eastAsia" w:ascii="Times New Roman" w:hAnsi="Times New Roman" w:eastAsia="宋体"/>
          <w:b w:val="0"/>
          <w:sz w:val="21"/>
        </w:rPr>
        <w:t xml:space="preserve">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基于上述理论梳理，提出以下两个核心理论假设：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pPr>
        <w:spacing w:line="312" w:lineRule="auto" w:before="0" w:after="0"/>
        <w:ind w:firstLine="420"/>
        <w:jc w:val="both"/>
      </w:pPr>
      <w:r>
        <w:rPr>
          <w:rFonts w:hint="eastAsia" w:ascii="Times New Roman" w:hAnsi="Times New Roman" w:eastAsia="宋体"/>
          <w:b w:val="0"/>
          <w:bCs/>
          <w:sz w:val="21"/>
        </w:rPr>
        <w:t xml:space="preserve">假设H2（约束路径假设）</w:t>
      </w:r>
      <w:r>
        <w:rPr>
          <w:rFonts w:hint="eastAsia" w:ascii="Times New Roman" w:hAnsi="Times New Roman" w:eastAsia="宋体"/>
          <w:b w:val="0"/>
          <w:sz w:val="21"/>
        </w:rPr>
        <w:t xml:space="preserve">：本文检验管理层权力是否可能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强化其在组织内部的议程设置权；补贴使用中的自由裁量越大，补贴资源被转化为薪酬议价筹码的空间也越大。管理层权力的测度本身仍带有经验性，相关路径始终需要审慎解释。第四章的中介检验即围绕这一待检验链条展开。</w:t>
      </w:r>
    </w:p>
    <w:bookmarkEnd w:id="20"/>
    <w:bookmarkEnd w:id="21"/>
    <w:bookmarkStart w:id="23" w:name="第三章-研究设计"/>
    <w:p>
      <w:pPr>
        <w:pStyle w:val="1"/>
        <w:pageBreakBefore/>
        <w:spacing w:line="312" w:lineRule="auto" w:before="0" w:after="0"/>
        <w:ind w:firstLine="0"/>
        <w:jc w:val="center"/>
      </w:pPr>
      <w:bookmarkStart w:id="114" w:name="_TocAuto0010"/>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114"/>
    </w:p>
    <w:bookmarkStart w:id="24" w:name="研究问题界定与分析框架"/>
    <w:p>
      <w:pPr>
        <w:pStyle w:val="2"/>
        <w:spacing w:line="312" w:lineRule="auto" w:before="0" w:after="0"/>
        <w:ind w:firstLine="0"/>
        <w:jc w:val="left"/>
      </w:pPr>
      <w:bookmarkStart w:id="115" w:name="_TocAuto0011"/>
      <w:r>
        <w:rPr>
          <w:rFonts w:ascii="Times New Roman" w:hAnsi="Times New Roman" w:eastAsia="黑体"/>
          <w:b w:val="0"/>
          <w:sz w:val="28"/>
        </w:rPr>
        <w:t xml:space="preserve">3.1 </w:t>
      </w:r>
      <w:r>
        <w:rPr>
          <w:rFonts w:hint="eastAsia" w:ascii="Times New Roman" w:hAnsi="Times New Roman" w:eastAsia="黑体"/>
          <w:b w:val="0"/>
          <w:sz w:val="28"/>
        </w:rPr>
        <w:t xml:space="preserve">研究问题界定与分析框架</w:t>
      </w:r>
      <w:bookmarkEnd w:id="115"/>
    </w:p>
    <w:p>
      <w:pPr>
        <w:spacing w:line="312" w:lineRule="auto" w:before="0" w:after="0"/>
        <w:ind w:firstLine="420"/>
        <w:jc w:val="both"/>
      </w:pPr>
      <w:r>
        <w:rPr>
          <w:rFonts w:hint="eastAsia" w:ascii="Times New Roman" w:hAnsi="Times New Roman" w:eastAsia="宋体"/>
          <w:b w:val="0"/>
          <w:sz w:val="21"/>
        </w:rPr>
        <w:t xml:space="preserve">本章实证设计围绕一个明确的核心命题展开：</w:t>
      </w:r>
      <w:r>
        <w:rPr>
          <w:rFonts w:hint="eastAsia" w:ascii="Times New Roman" w:hAnsi="Times New Roman" w:eastAsia="宋体"/>
          <w:b w:val="0"/>
          <w:bCs/>
          <w:sz w:val="21"/>
        </w:rPr>
        <w:t xml:space="preserve">在已经获得财政补贴的上市公司内部，补贴强度的差异是否与高管超额薪酬存在显著的正向关联？</w:t>
      </w:r>
      <w:r>
        <w:rPr>
          <w:rFonts w:ascii="Times New Roman" w:hAnsi="Times New Roman" w:eastAsia="宋体"/>
          <w:b w:val="0"/>
          <w:sz w:val="21"/>
        </w:rPr>
        <w:t xml:space="preserve"> </w:t>
      </w:r>
      <w:r>
        <w:rPr>
          <w:rFonts w:hint="eastAsia" w:ascii="Times New Roman" w:hAnsi="Times New Roman" w:eastAsia="宋体"/>
          <w:b w:val="0"/>
          <w:sz w:val="21"/>
        </w:rPr>
        <w:t xml:space="preserve">这一考察边界有意将”是否获得补贴”的获得边际与”获得补贴后拿得多还是少”的强度边际区分开来。既有文献多在全样本上估计补贴的平均效应，将零补助企业与正补助企业混合比较，难以厘清结论究竟来自”有无补贴”还是”补贴多少”。本文将基准回归限定在上一年已获得正补助的公司年度，使估计对象聚焦于已获补贴企业之间的补贴强度差异，而非全部上市公司平均意义上的补贴效应。围绕这一核心命题，还需进一步检验两个延伸边界：管理层权力是否可能构成补贴强度向超额薪酬传导的中介路径（H2）？上述关联在不同产权性质和行业管制强度下是否呈现显著差异？</w:t>
      </w:r>
    </w:p>
    <w:p>
      <w:pPr>
        <w:spacing w:line="312" w:lineRule="auto" w:before="0" w:after="0"/>
        <w:ind w:firstLine="420"/>
        <w:jc w:val="both"/>
      </w:pPr>
      <w:r>
        <w:rPr>
          <w:rFonts w:hint="eastAsia" w:ascii="Times New Roman" w:hAnsi="Times New Roman" w:eastAsia="宋体"/>
          <w:b w:val="0"/>
          <w:sz w:val="21"/>
        </w:rPr>
        <w:t xml:space="preserve">整体经验结构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pPr>
        <w:spacing w:line="312" w:lineRule="auto" w:before="0" w:after="0"/>
        <w:ind w:firstLine="420"/>
        <w:jc w:val="both"/>
      </w:pPr>
      <w:r>
        <w:rPr>
          <w:rFonts w:hint="eastAsia" w:ascii="Times New Roman" w:hAnsi="Times New Roman" w:eastAsia="宋体"/>
          <w:b w:val="0"/>
          <w:sz w:val="21"/>
        </w:rPr>
        <w:t xml:space="preserve">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pPr>
        <w:spacing w:line="312" w:lineRule="auto" w:before="0" w:after="0"/>
        <w:ind w:firstLine="420"/>
        <w:jc w:val="both"/>
      </w:pPr>
      <w:r>
        <w:rPr>
          <w:rFonts w:hint="eastAsia" w:ascii="Times New Roman" w:hAnsi="Times New Roman" w:eastAsia="宋体"/>
          <w:b w:val="0"/>
          <w:sz w:val="21"/>
        </w:rPr>
        <w:t xml:space="preserve">基于这一逻辑，后文的实证部分按四步展开：先用基准回归检验主关联，再用稳健性检验考察关系是否对样本和设定变化敏感；随后开展选择偏差校正、中介效应拆解和异质性考察，尽量把识别边界、传导路径与制度情境差异说明清楚；最后再借助机器学习补充验证，在与基准回归一致的变量设定下复核财政补贴的重要性、方向一致性和局部趋势。这样的安排旨在让不同做法分别回答不同命题，而不是简单叠加工具以堆砌结论。</w:t>
      </w:r>
    </w:p>
    <w:bookmarkEnd w:id="22"/>
    <w:bookmarkStart w:id="25" w:name="样本选择与数据来源"/>
    <w:p>
      <w:pPr>
        <w:pStyle w:val="2"/>
        <w:spacing w:line="312" w:lineRule="auto" w:before="0" w:after="0"/>
        <w:ind w:firstLine="0"/>
        <w:jc w:val="left"/>
      </w:pPr>
      <w:bookmarkStart w:id="116" w:name="_TocAuto0012"/>
      <w:r>
        <w:rPr>
          <w:rFonts w:ascii="Times New Roman" w:hAnsi="Times New Roman" w:eastAsia="黑体"/>
          <w:b w:val="0"/>
          <w:sz w:val="28"/>
        </w:rPr>
        <w:t xml:space="preserve">3.2 </w:t>
      </w:r>
      <w:r>
        <w:rPr>
          <w:rFonts w:hint="eastAsia" w:ascii="Times New Roman" w:hAnsi="Times New Roman" w:eastAsia="黑体"/>
          <w:b w:val="0"/>
          <w:sz w:val="28"/>
        </w:rPr>
        <w:t xml:space="preserve">样本选择与数据来源</w:t>
      </w:r>
      <w:bookmarkEnd w:id="116"/>
    </w:p>
    <w:p>
      <w:pPr>
        <w:spacing w:line="312" w:lineRule="auto" w:before="0" w:after="0"/>
        <w:ind w:firstLine="420"/>
        <w:jc w:val="both"/>
      </w:pPr>
      <w:r>
        <w:rPr>
          <w:rFonts w:hint="eastAsia" w:ascii="Times New Roman" w:hAnsi="Times New Roman" w:eastAsia="宋体"/>
          <w:b w:val="0"/>
          <w:sz w:val="21"/>
        </w:rPr>
        <w:t xml:space="preserve">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pPr>
        <w:spacing w:line="312" w:lineRule="auto" w:before="0" w:after="0"/>
        <w:ind w:firstLine="420"/>
        <w:jc w:val="both"/>
      </w:pPr>
      <w:r>
        <w:rPr>
          <w:rFonts w:hint="eastAsia" w:ascii="Times New Roman" w:hAnsi="Times New Roman" w:eastAsia="宋体"/>
          <w:b w:val="0"/>
          <w:sz w:val="21"/>
        </w:rPr>
        <w:t xml:space="preserve">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状态维表，实际操作按合并后简称字段中的标签进行识别和剔除，目的是排除财务异常、退市风险和极端经营状态的样本，尽量保证不同公司之间薪酬与补贴比较基准的可比性。</w:t>
      </w:r>
    </w:p>
    <w:p>
      <w:pPr>
        <w:spacing w:line="312" w:lineRule="auto" w:before="0" w:after="0"/>
        <w:ind w:firstLine="420"/>
        <w:jc w:val="both"/>
      </w:pPr>
      <w:r>
        <w:rPr>
          <w:rFonts w:hint="eastAsia" w:ascii="Times New Roman" w:hAnsi="Times New Roman" w:eastAsia="宋体"/>
          <w:b w:val="0"/>
          <w:sz w:val="21"/>
        </w:rPr>
        <w:t xml:space="preserve">对于政府补助数据，若公司年度未披露补助项目，则该年度补助金额记为0，以避免零补贴观测在构造描述性统计和第一阶段变量时被机械删除；少量负值观测在构造</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时按0处理。正文中的基准回归不再把“未获得补贴”和“已获得补贴但金额不同”的公司年度混在一起，而是仅保留上一年实际获得正补助的公司年度，并以滞后一期正补助对数刻画补贴强度。这样处理后，第二阶段回答的是“已获补贴企业内部，补贴拿得更多是否伴随更高的超额薪酬”，而不是“全部企业平均意义上是否存在补贴效应”。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pPr>
        <w:spacing w:line="312" w:lineRule="auto" w:before="0" w:after="0"/>
        <w:ind w:firstLine="420"/>
        <w:jc w:val="both"/>
      </w:pPr>
      <w:r>
        <w:rPr>
          <w:rFonts w:hint="eastAsia" w:ascii="Times New Roman" w:hAnsi="Times New Roman" w:eastAsia="宋体"/>
          <w:b w:val="0"/>
          <w:sz w:val="21"/>
        </w:rPr>
        <w:t xml:space="preserve">经过这些步骤，原始公司—年度观测为70,559条；剔除金融行业后为69,142条；再剔除特殊处理样本后为63,011条；满足关键变量完整要求的样本为52,980条；满足基准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进一步要求“上一年补助金额大于0”且滞后一期补贴强度可得后，模型2样本为43,417条；机器学习补充验证与基准回归保持同一变量口径，因此其可用样本同样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420"/>
        <w:jc w:val="both"/>
      </w:pPr>
      <w:r>
        <w:rPr>
          <w:rFonts w:hint="eastAsia" w:ascii="Times New Roman" w:hAnsi="Times New Roman" w:eastAsia="宋体"/>
          <w:b w:val="0"/>
          <w:sz w:val="21"/>
        </w:rPr>
        <w:t xml:space="preserve">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pPr>
        <w:spacing w:line="312" w:lineRule="auto" w:before="0" w:after="0"/>
        <w:ind w:firstLine="420"/>
        <w:jc w:val="both"/>
      </w:pPr>
      <w:r>
        <w:rPr>
          <w:rFonts w:hint="eastAsia" w:ascii="Times New Roman" w:hAnsi="Times New Roman" w:eastAsia="宋体"/>
          <w:b w:val="0"/>
          <w:sz w:val="21"/>
        </w:rPr>
        <w:t xml:space="preserve">为了避免不同实证模块的样本口径被混为一谈，这里专门说明样本量的变化。第一步，基准薪酬模型使用52,805条观测构造</w:t>
      </w:r>
      <w:r>
        <w:rPr>
          <w:rFonts w:ascii="Times New Roman" w:hAnsi="Times New Roman" w:eastAsia="宋体"/>
          <w:b w:val="0"/>
          <w:sz w:val="21"/>
        </w:rPr>
        <w:t xml:space="preserve"> </w:t>
      </w:r>
      <w:r>
        <w:rPr>
          <w:rFonts w:hint="eastAsia" w:ascii="Times New Roman" w:hAnsi="Times New Roman" w:eastAsia="宋体"/>
          <w:b w:val="0"/>
          <w:sz w:val="21"/>
        </w:rPr>
        <w:t xml:space="preserve">Overpay；第二步，基准回归模型2在加入“上一年获得正补助”的样本限制后，样本降至43,417条；第三步，机器学习补充验证直接沿用基准回归样本，只保留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四个输入变量，因此其样本量保持在43,417条；第四步，中介检验需要管理层权力综合指标</w:t>
      </w:r>
      <w:r>
        <w:rPr>
          <w:rFonts w:ascii="Times New Roman" w:hAnsi="Times New Roman" w:eastAsia="宋体"/>
          <w:b w:val="0"/>
          <w:sz w:val="21"/>
        </w:rPr>
        <w:t xml:space="preserve"> </w:t>
      </w:r>
      <w:r>
        <w:rPr>
          <w:rFonts w:hint="eastAsia" w:ascii="Times New Roman" w:hAnsi="Times New Roman" w:eastAsia="宋体"/>
          <w:b w:val="0"/>
          <w:sz w:val="21"/>
        </w:rPr>
        <w:t xml:space="preserve">Power（PCA）完整，因此统一样本进一步降至41,186条。这样的处理可以把“基准回归样本”“机器学习样本”和“中介样本”清楚区分开来，避免在答辩时把不同样本边界混为一谈。</w:t>
      </w:r>
    </w:p>
    <w:bookmarkEnd w:id="23"/>
    <w:bookmarkStart w:id="26" w:name="变量设定与说明"/>
    <w:p>
      <w:pPr>
        <w:pStyle w:val="2"/>
        <w:spacing w:line="312" w:lineRule="auto" w:before="0" w:after="0"/>
        <w:ind w:firstLine="0"/>
        <w:jc w:val="left"/>
      </w:pPr>
      <w:bookmarkStart w:id="117" w:name="_TocAuto0013"/>
      <w:r>
        <w:rPr>
          <w:rFonts w:ascii="Times New Roman" w:hAnsi="Times New Roman" w:eastAsia="黑体"/>
          <w:b w:val="0"/>
          <w:sz w:val="28"/>
        </w:rPr>
        <w:t xml:space="preserve">3.3 </w:t>
      </w:r>
      <w:r>
        <w:rPr>
          <w:rFonts w:hint="eastAsia" w:ascii="Times New Roman" w:hAnsi="Times New Roman" w:eastAsia="黑体"/>
          <w:b w:val="0"/>
          <w:sz w:val="28"/>
        </w:rPr>
        <w:t xml:space="preserve">变量设定与说明</w:t>
      </w:r>
      <w:bookmarkEnd w:id="117"/>
    </w:p>
    <w:bookmarkStart w:id="27" w:name="被解释变量高管超额薪酬overpay"/>
    <w:p>
      <w:pPr>
        <w:pStyle w:val="31"/>
        <w:spacing w:line="312" w:lineRule="auto" w:before="0" w:after="0"/>
        <w:ind w:firstLine="420"/>
        <w:jc w:val="left"/>
      </w:pPr>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p>
    <w:p>
      <w:pPr>
        <w:spacing w:line="312" w:lineRule="auto" w:before="0" w:after="0"/>
        <w:ind w:firstLine="420"/>
        <w:jc w:val="both"/>
      </w:pPr>
      <w:r>
        <w:rPr>
          <w:rFonts w:hint="eastAsia" w:ascii="Times New Roman" w:hAnsi="Times New Roman" w:eastAsia="宋体"/>
          <w:b w:val="0"/>
          <w:sz w:val="21"/>
        </w:rPr>
        <w:t xml:space="preserve">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lnSale、盈利表现</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作为核心解释变量，并控制行业和年份固定效应。对应模型在第三章模型设定部分正式给出。</w:t>
      </w:r>
    </w:p>
    <w:p>
      <w:pPr>
        <w:spacing w:line="312" w:lineRule="auto" w:before="0" w:after="0"/>
        <w:ind w:firstLine="420"/>
        <w:jc w:val="both"/>
      </w:pPr>
      <w:r>
        <w:rPr>
          <w:rFonts w:hint="eastAsia" w:ascii="Times New Roman" w:hAnsi="Times New Roman" w:eastAsia="宋体"/>
          <w:b w:val="0"/>
          <w:sz w:val="21"/>
        </w:rPr>
        <w:t xml:space="preserve">基准薪酬模型的残差项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p>
    <w:p>
      <w:pPr>
        <w:spacing w:line="312" w:lineRule="auto" w:before="0" w:after="0"/>
        <w:ind w:firstLine="420"/>
        <w:jc w:val="both"/>
      </w:pPr>
      <w:r>
        <w:rPr>
          <w:rFonts w:hint="eastAsia" w:ascii="Times New Roman" w:hAnsi="Times New Roman" w:eastAsia="宋体"/>
          <w:b w:val="0"/>
          <w:sz w:val="21"/>
        </w:rPr>
        <w:t xml:space="preserve">为区分“是否获得补贴”和“获得补贴后的强弱差异”，本文同时保留两类补贴度量。第一类是描述性统计和对照检验中使用的全样本口径：</w:t>
      </w:r>
    </w:p>
    <w:p>
      <w:pPr>
        <w:tabs>
          <w:tab w:pos="8617" w:val="right"/>
        </w:tabs>
        <w:spacing w:line="312" w:lineRule="auto" w:before="0" w:after="0"/>
        <w:ind w:firstLine="0"/>
        <w:jc w:val="center"/>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第二类是基准回归使用的强度口径，仅在补助金额大于0时取自然对数：</w:t>
      </w:r>
    </w:p>
    <w:p>
      <w:pPr>
        <w:tabs>
          <w:tab w:pos="8617" w:val="right"/>
        </w:tabs>
        <w:spacing w:line="312" w:lineRule="auto" w:before="0" w:after="0"/>
        <w:ind w:firstLine="0"/>
        <w:jc w:val="center"/>
      </w:pPr>
      <m:oMathPara>
        <m:oMathParaPr>
          <m:jc m:val="center"/>
        </m:oMathParaPr>
        <m:oMath>
          <m:r>
            <m:rPr>
              <m:sty m:val="p"/>
            </m:rPr>
            <m:t>ln</m:t>
          </m:r>
          <m:sSubSup>
            <m:e>
              <m:r>
                <m:rPr>
                  <m:nor/>
                  <m:sty m:val="p"/>
                </m:rPr>
                <m:t>Subsidy</m:t>
              </m:r>
            </m:e>
            <m:sub>
              <m:r>
                <m:t>i</m:t>
              </m:r>
              <m:r>
                <m:t>t</m:t>
              </m:r>
            </m:sub>
            <m:sup>
              <m:r>
                <m:rPr>
                  <m:sty m:val="p"/>
                </m:rPr>
                <m:t>+</m:t>
              </m:r>
            </m:sup>
          </m:sSubSup>
          <m:r>
            <m:rPr>
              <m:sty m:val="p"/>
            </m:rPr>
            <m:t>=</m:t>
          </m:r>
          <m:r>
            <m:rPr>
              <m:sty m:val="p"/>
            </m:rPr>
            <m:t>ln</m:t>
          </m:r>
          <m:r>
            <m:rPr>
              <m:sty m:val="p"/>
            </m:rPr>
            <m:t>(</m:t>
          </m:r>
          <m:sSub>
            <m:e>
              <m:r>
                <m:rPr>
                  <m:nor/>
                  <m:sty m:val="p"/>
                </m:rPr>
                <m:t>GovernmentSubsidy</m:t>
              </m:r>
            </m:e>
            <m:sub>
              <m:r>
                <m:t>i</m:t>
              </m:r>
              <m:r>
                <m:t>t</m:t>
              </m:r>
            </m:sub>
          </m:sSub>
          <m:r>
            <m:rPr>
              <m:sty m:val="p"/>
            </m:rPr>
            <m:t>)</m:t>
          </m:r>
          <m:r>
            <m:rPr>
              <m:sty m:val="p"/>
            </m:rPr>
            <m:t>,</m:t>
          </m:r>
          <m:r>
            <m:t>  </m:t>
          </m:r>
          <m:sSub>
            <m:e>
              <m:r>
                <m:rPr>
                  <m:nor/>
                  <m:sty m:val="p"/>
                </m:rPr>
                <m:t>GovernmentSubsidy</m:t>
              </m:r>
            </m:e>
            <m:sub>
              <m:r>
                <m:t>i</m:t>
              </m:r>
              <m:r>
                <m:t>t</m:t>
              </m:r>
            </m:sub>
          </m:sSub>
          <m:r>
            <m:rPr>
              <m:sty m:val="p"/>
            </m:rPr>
            <m:t>&gt;</m:t>
          </m:r>
          <m:r>
            <m:t>0</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其中，第二阶段基准回归实际使用的是滞后一期变量</w:t>
      </w:r>
      <w:r>
        <w:rPr>
          <w:rFonts w:ascii="Times New Roman" w:hAnsi="Times New Roman" w:eastAsia="宋体"/>
          <w:b w:val="0"/>
          <w:sz w:val="21"/>
        </w:rPr>
        <w:t xml:space="preserve"> </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。这样处理的考虑有两点：</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25"/>
    <w:bookmarkStart w:id="29" w:name="控制变量"/>
    <w:p>
      <w:pPr>
        <w:pStyle w:val="31"/>
        <w:spacing w:line="312" w:lineRule="auto" w:before="0" w:after="0"/>
        <w:ind w:firstLine="420"/>
        <w:jc w:val="left"/>
      </w:pPr>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控制变量分成两个阶段来设定，原因在于两阶段模型各自承担的任务并不一样。第一阶段的目标，是尽量准确地估计“合理薪酬”或“基准薪酬”，因此控制项要尽量覆盖那些决定正常薪酬数额的公司特征，包括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（Zone），并进一步控制行业和年份效应，把规模、业绩、资产结构以及地区薪酬基准这些常规差异尽量吸收进基准薪酬模型。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393199"/>
            <wp:effectExtent b="0" l="0" r="0" t="0"/>
            <wp:docPr descr="" title="" id="3" name="Picture"/>
            <a:graphic>
              <a:graphicData uri="http://schemas.openxmlformats.org/drawingml/2006/picture">
                <pic:pic>
                  <pic:nvPicPr>
                    <pic:cNvPr descr="generated_tables/table_01.png" id="3" name="Picture"/>
                    <pic:cNvPicPr>
                      <a:picLocks noChangeArrowheads="1" noChangeAspect="1"/>
                    </pic:cNvPicPr>
                  </pic:nvPicPr>
                  <pic:blipFill>
                    <a:blip r:embed="rId25"/>
                    <a:stretch>
                      <a:fillRect/>
                    </a:stretch>
                  </pic:blipFill>
                  <pic:spPr bwMode="auto">
                    <a:xfrm>
                      <a:off x="0" y="0"/>
                      <a:ext cx="5579999" cy="2393199"/>
                    </a:xfrm>
                    <a:prstGeom prst="rect">
                      <a:avLst/>
                    </a:prstGeom>
                    <a:noFill/>
                    <a:ln w="9525">
                      <a:noFill/>
                      <a:headEnd/>
                      <a:tailEnd/>
                    </a:ln>
                  </pic:spPr>
                </pic:pic>
              </a:graphicData>
            </a:graphic>
          </wp:inline>
        </w:drawing>
      </w:r>
    </w:p>
    <w:bookmarkEnd w:id="26"/>
    <w:bookmarkStart w:id="30" w:name="路径变量管理层权力power"/>
    <w:p>
      <w:pPr>
        <w:pStyle w:val="31"/>
        <w:spacing w:line="312" w:lineRule="auto" w:before="0" w:after="0"/>
        <w:ind w:firstLine="420"/>
        <w:jc w:val="left"/>
      </w:pPr>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 xml:space="preserve">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 xml:space="preserve">诊断信息，统一放在第四章中介效应讨论部分展开。</w:t>
      </w:r>
    </w:p>
    <w:p>
      <w:pPr>
        <w:spacing w:line="312" w:lineRule="auto" w:before="0" w:after="0"/>
        <w:ind w:firstLine="420"/>
        <w:jc w:val="both"/>
      </w:pPr>
      <w:r>
        <w:rPr>
          <w:rFonts w:hint="eastAsia" w:ascii="Times New Roman" w:hAnsi="Times New Roman" w:eastAsia="宋体"/>
          <w:b w:val="0"/>
          <w:sz w:val="21"/>
        </w:rPr>
        <w:t xml:space="preserve">这里不把</w:t>
      </w:r>
      <w:r>
        <w:rPr>
          <w:rFonts w:ascii="Times New Roman" w:hAnsi="Times New Roman" w:eastAsia="宋体"/>
          <w:b w:val="0"/>
          <w:sz w:val="21"/>
        </w:rPr>
        <w:t xml:space="preserve"> Power </w:t>
      </w:r>
      <w:r>
        <w:rPr>
          <w:rFonts w:hint="eastAsia" w:ascii="Times New Roman" w:hAnsi="Times New Roman" w:eastAsia="宋体"/>
          <w:b w:val="0"/>
          <w:sz w:val="21"/>
        </w:rPr>
        <w:t xml:space="preserve">直接纳入基准回归，是为了先保持主模型的变量口径简洁，再在传导路径部分单独检验权力渠道。这样的安排也便于区分“补贴强度本身的条件相关”和“管理层权力可能参与的间接传导”。</w:t>
      </w:r>
    </w:p>
    <w:bookmarkEnd w:id="27"/>
    <w:bookmarkEnd w:id="28"/>
    <w:bookmarkStart w:id="31" w:name="模型设定"/>
    <w:p>
      <w:pPr>
        <w:pStyle w:val="2"/>
        <w:spacing w:line="312" w:lineRule="auto" w:before="0" w:after="0"/>
        <w:ind w:firstLine="0"/>
        <w:jc w:val="left"/>
      </w:pPr>
      <w:bookmarkStart w:id="118" w:name="_TocAuto0014"/>
      <w:r>
        <w:rPr>
          <w:rFonts w:ascii="Times New Roman" w:hAnsi="Times New Roman" w:eastAsia="黑体"/>
          <w:b w:val="0"/>
          <w:sz w:val="28"/>
        </w:rPr>
        <w:t xml:space="preserve">3.4 </w:t>
      </w:r>
      <w:r>
        <w:rPr>
          <w:rFonts w:hint="eastAsia" w:ascii="Times New Roman" w:hAnsi="Times New Roman" w:eastAsia="黑体"/>
          <w:b w:val="0"/>
          <w:sz w:val="28"/>
        </w:rPr>
        <w:t xml:space="preserve">模型设定</w:t>
      </w:r>
      <w:bookmarkEnd w:id="118"/>
    </w:p>
    <w:p>
      <w:pPr>
        <w:spacing w:line="312" w:lineRule="auto" w:before="0" w:after="0"/>
        <w:ind w:firstLine="420"/>
        <w:jc w:val="both"/>
      </w:pPr>
      <w:r>
        <w:rPr>
          <w:rFonts w:hint="eastAsia" w:ascii="Times New Roman" w:hAnsi="Times New Roman" w:eastAsia="宋体"/>
          <w:b w:val="0"/>
          <w:sz w:val="21"/>
        </w:rPr>
        <w:t xml:space="preserve">模型设定分为两个阶段。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bookmarkStart w:id="32" w:name="基准薪酬模型"/>
    <w:p>
      <w:pPr>
        <w:pStyle w:val="31"/>
        <w:spacing w:line="312" w:lineRule="auto" w:before="0" w:after="0"/>
        <w:ind w:firstLine="420"/>
        <w:jc w:val="left"/>
      </w:pPr>
      <w:r>
        <w:rPr>
          <w:rFonts w:ascii="Times New Roman" w:hAnsi="Times New Roman" w:eastAsia="宋体"/>
          <w:b w:val="0"/>
          <w:sz w:val="24"/>
        </w:rPr>
        <w:t xml:space="preserve">3.4.1 </w:t>
      </w:r>
      <w:r>
        <w:rPr>
          <w:rFonts w:hint="eastAsia" w:ascii="Times New Roman" w:hAnsi="Times New Roman" w:eastAsia="宋体"/>
          <w:b w:val="0"/>
          <w:sz w:val="24"/>
        </w:rPr>
        <w:t xml:space="preserve">基准薪酬模型</w:t>
      </w:r>
    </w:p>
    <w:p>
      <w:pPr>
        <w:spacing w:line="312" w:lineRule="auto" w:before="0" w:after="0"/>
        <w:ind w:firstLine="420"/>
        <w:jc w:val="both"/>
      </w:pPr>
      <w:r>
        <w:rPr>
          <w:rFonts w:hint="eastAsia" w:ascii="Times New Roman" w:hAnsi="Times New Roman" w:eastAsia="宋体"/>
          <w:b w:val="0"/>
          <w:sz w:val="21"/>
        </w:rPr>
        <w:t xml:space="preserve">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的基本思路：</w:t>
      </w:r>
    </w:p>
    <w:p>
      <w:pPr>
        <w:tabs>
          <w:tab w:pos="8617" w:val="right"/>
        </w:tabs>
        <w:spacing w:line="312" w:lineRule="auto" w:before="0" w:after="0"/>
        <w:ind w:firstLine="0"/>
        <w:jc w:val="center"/>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，正值表示实际薪酬高于基准状态，负值则相反。</w:t>
      </w:r>
    </w:p>
    <w:p>
      <w:pPr>
        <w:spacing w:line="312" w:lineRule="auto" w:before="0" w:after="0"/>
        <w:ind w:firstLine="420"/>
        <w:jc w:val="both"/>
      </w:pPr>
      <w:r>
        <w:rPr>
          <w:rFonts w:hint="eastAsia" w:ascii="Times New Roman" w:hAnsi="Times New Roman" w:eastAsia="宋体"/>
          <w:b w:val="0"/>
          <w:sz w:val="21"/>
        </w:rPr>
        <w:t xml:space="preserve">该模型的任务仅是生成超额薪酬变量，不直接回答财政补贴命题。因此，式（3）更强调对正常薪酬决定因素的覆盖，后续模型才在这一残差口径上讨论补贴强度差异。</w:t>
      </w:r>
    </w:p>
    <w:bookmarkEnd w:id="29"/>
    <w:bookmarkStart w:id="33" w:name="基准回归模型"/>
    <w:p>
      <w:pPr>
        <w:pStyle w:val="31"/>
        <w:spacing w:line="312" w:lineRule="auto" w:before="0" w:after="0"/>
        <w:ind w:firstLine="420"/>
        <w:jc w:val="left"/>
      </w:pPr>
      <w:r>
        <w:rPr>
          <w:rFonts w:ascii="Times New Roman" w:hAnsi="Times New Roman" w:eastAsia="宋体"/>
          <w:b w:val="0"/>
          <w:sz w:val="24"/>
        </w:rPr>
        <w:t xml:space="preserve">3.4.2 </w:t>
      </w:r>
      <w:r>
        <w:rPr>
          <w:rFonts w:hint="eastAsia" w:ascii="Times New Roman" w:hAnsi="Times New Roman" w:eastAsia="宋体"/>
          <w:b w:val="0"/>
          <w:sz w:val="24"/>
        </w:rPr>
        <w:t xml:space="preserve">基准回归模型</w:t>
      </w:r>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）作为核心解释变量，并加入企业层面控制变量、公司固定效应和年份固定效应：</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表示年份固定效应。应当留意，式（4）并不是在全部公司年度上估计，而是只在“上一年补助金额大于0”的公司年度上估计，所以最关注的是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已获补贴企业内部的补贴强度差异仍与更高的超额薪酬相伴随。核心解释变量使用滞后一期补助，是为了尽量把时间顺序固定为“补贴在前、薪酬在后”，以减轻同期反向因果带来的干扰。与第一阶段相比，这里的控制变量更聚焦于盈利表现、债务约束和外部监督三个会直接牵动薪酬契约合理性与寻租空间的维度。此外，式（3）采用行业与年份固定效应以利用跨企业的横截面差异构造薪酬基准，式（4）则采用公司与年份固定效应以利用同一企业内的时间变化来识别补贴强度与超额薪酬的关联；Overpay</w:t>
      </w:r>
      <w:r>
        <w:rPr>
          <w:rFonts w:ascii="Times New Roman" w:hAnsi="Times New Roman" w:eastAsia="宋体"/>
          <w:b w:val="0"/>
          <w:sz w:val="21"/>
        </w:rPr>
        <w:t xml:space="preserve"> </w:t>
      </w:r>
      <w:r>
        <w:rPr>
          <w:rFonts w:hint="eastAsia" w:ascii="Times New Roman" w:hAnsi="Times New Roman" w:eastAsia="宋体"/>
          <w:b w:val="0"/>
          <w:sz w:val="21"/>
        </w:rPr>
        <w:t xml:space="preserve">残差中仍包含的公司层面稳定异质性会被式（4）中的公司固定效应进一步吸收，两阶段固定效应设定各司其职，不构成口径冲突。</w:t>
      </w:r>
    </w:p>
    <w:bookmarkEnd w:id="30"/>
    <w:bookmarkStart w:id="34" w:name="选择偏差校正与识别边界检验"/>
    <w:p>
      <w:pPr>
        <w:pStyle w:val="31"/>
        <w:spacing w:line="312" w:lineRule="auto" w:before="0" w:after="0"/>
        <w:ind w:firstLine="420"/>
        <w:jc w:val="left"/>
      </w:pPr>
      <w:r>
        <w:rPr>
          <w:rFonts w:ascii="Times New Roman" w:hAnsi="Times New Roman" w:eastAsia="宋体"/>
          <w:b w:val="0"/>
          <w:sz w:val="24"/>
        </w:rPr>
        <w:t xml:space="preserve">3.4.3 </w:t>
      </w:r>
      <w:r>
        <w:rPr>
          <w:rFonts w:hint="eastAsia" w:ascii="Times New Roman" w:hAnsi="Times New Roman" w:eastAsia="宋体"/>
          <w:b w:val="0"/>
          <w:sz w:val="24"/>
        </w:rPr>
        <w:t xml:space="preserve">选择偏差校正与识别边界检验</w:t>
      </w:r>
    </w:p>
    <w:p>
      <w:pPr>
        <w:spacing w:line="312" w:lineRule="auto" w:before="0" w:after="0"/>
        <w:ind w:firstLine="420"/>
        <w:jc w:val="both"/>
      </w:pPr>
      <w:r>
        <w:rPr>
          <w:rFonts w:hint="eastAsia" w:ascii="Times New Roman" w:hAnsi="Times New Roman" w:eastAsia="宋体"/>
          <w:b w:val="0"/>
          <w:sz w:val="21"/>
        </w:rPr>
        <w:t xml:space="preserve">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pPr>
        <w:spacing w:line="312" w:lineRule="auto" w:before="0" w:after="0"/>
        <w:ind w:firstLine="420"/>
        <w:jc w:val="both"/>
      </w:pPr>
      <w:r>
        <w:rPr>
          <w:rFonts w:hint="eastAsia" w:ascii="Times New Roman" w:hAnsi="Times New Roman" w:eastAsia="宋体"/>
          <w:b w:val="0"/>
          <w:sz w:val="21"/>
        </w:rPr>
        <w:t xml:space="preserve">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是否可观测构造选择方程，检验哪些公司年度更容易进入“已获补贴样本”；第二步将逆米尔斯比率纳入公司和年份固定效应回归，以判断基准回归中的正向系数是否主要由样本选择偏差驱动。</w:t>
      </w:r>
    </w:p>
    <w:p>
      <w:pPr>
        <w:spacing w:line="312" w:lineRule="auto" w:before="0" w:after="0"/>
        <w:ind w:firstLine="420"/>
        <w:jc w:val="both"/>
      </w:pPr>
      <w:r>
        <w:rPr>
          <w:rFonts w:hint="eastAsia" w:ascii="Times New Roman" w:hAnsi="Times New Roman" w:eastAsia="宋体"/>
          <w:b w:val="0"/>
          <w:sz w:val="21"/>
        </w:rPr>
        <w:t xml:space="preserve">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 xml:space="preserve">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 xml:space="preserve">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pPr>
        <w:spacing w:line="312" w:lineRule="auto" w:before="0" w:after="0"/>
        <w:ind w:firstLine="420"/>
        <w:jc w:val="both"/>
      </w:pPr>
      <w:r>
        <w:rPr>
          <w:rFonts w:hint="eastAsia" w:ascii="Times New Roman" w:hAnsi="Times New Roman" w:eastAsia="宋体"/>
          <w:b w:val="0"/>
          <w:sz w:val="21"/>
        </w:rPr>
        <w:t xml:space="preserve">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行业×年份固定效应”基准回归设定，用于检验主估计是否只是来自行业年度景气波动。上述检验都用于刻画识别边界和动态伴随关系，不被解释为严格含义上的因果估计。</w:t>
      </w:r>
    </w:p>
    <w:bookmarkEnd w:id="31"/>
    <w:bookmarkStart w:id="35" w:name="基于管理层权力的中介检验"/>
    <w:p>
      <w:pPr>
        <w:pStyle w:val="31"/>
        <w:spacing w:line="312" w:lineRule="auto" w:before="0" w:after="0"/>
        <w:ind w:firstLine="420"/>
        <w:jc w:val="left"/>
      </w:pPr>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基于管理层权力的中介检验</w:t>
      </w:r>
    </w:p>
    <w:p>
      <w:pPr>
        <w:spacing w:line="312" w:lineRule="auto" w:before="0" w:after="0"/>
        <w:ind w:firstLine="420"/>
        <w:jc w:val="both"/>
      </w:pPr>
      <w:r>
        <w:rPr>
          <w:rFonts w:hint="eastAsia" w:ascii="Times New Roman" w:hAnsi="Times New Roman" w:eastAsia="宋体"/>
          <w:b w:val="0"/>
          <w:sz w:val="21"/>
        </w:rPr>
        <w:t xml:space="preserve">在完成基准回归与选择偏差校正之后，再按照Baron和Kenny（1986）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的经典中介梳理思路，检验财政补贴是否会经由管理层权力这一渠道影响超额薪酬。由于新的基准回归总效应已经显著，但中介效应仍需结合路径显著性、Bootstrap</w:t>
      </w:r>
      <w:r>
        <w:rPr>
          <w:rFonts w:ascii="Times New Roman" w:hAnsi="Times New Roman" w:eastAsia="宋体"/>
          <w:b w:val="0"/>
          <w:sz w:val="21"/>
        </w:rPr>
        <w:t xml:space="preserve"> </w:t>
      </w:r>
      <w:r>
        <w:rPr>
          <w:rFonts w:hint="eastAsia" w:ascii="Times New Roman" w:hAnsi="Times New Roman" w:eastAsia="宋体"/>
          <w:b w:val="0"/>
          <w:sz w:val="21"/>
        </w:rPr>
        <w:t xml:space="preserve">区间和测度局限综合判断，后文更强调“路径线索”和审慎解释，而不将其解释为严格的经典中介识别。正文采用</w:t>
      </w:r>
      <w:r>
        <w:rPr>
          <w:rFonts w:ascii="Times New Roman" w:hAnsi="Times New Roman" w:eastAsia="宋体"/>
          <w:b w:val="0"/>
          <w:sz w:val="21"/>
        </w:rPr>
        <w:t xml:space="preserve"> PCA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Power。为与正文呈现顺序保持一致，中介检验模型依次编号为模型3至模型5，对应的三步回归如下：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，对应模型3）：</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，补贴与权力的联系，对应模型4）：</w:t>
      </w:r>
    </w:p>
    <w:p>
      <w:pPr>
        <w:tabs>
          <w:tab w:pos="8617" w:val="right"/>
        </w:tabs>
        <w:spacing w:line="312" w:lineRule="auto" w:before="0" w:after="0"/>
        <w:ind w:firstLine="0"/>
        <w:jc w:val="center"/>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，对应模型5）：</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tabs>
          <w:tab w:pos="8617" w:val="right"/>
        </w:tabs>
        <w:spacing w:line="312" w:lineRule="auto" w:before="0" w:after="0"/>
        <w:ind w:firstLine="0"/>
        <w:jc w:val="center"/>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8</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仅为经验性综合测度，正文判断更看重路径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以及</w:t>
      </w:r>
      <w:r>
        <w:rPr>
          <w:rFonts w:ascii="Times New Roman" w:hAnsi="Times New Roman" w:eastAsia="宋体"/>
          <w:b w:val="0"/>
          <w:sz w:val="21"/>
        </w:rPr>
        <w:t xml:space="preserve"> Bootstrap </w:t>
      </w:r>
      <w:r>
        <w:rPr>
          <w:rFonts w:hint="eastAsia" w:ascii="Times New Roman" w:hAnsi="Times New Roman" w:eastAsia="宋体"/>
          <w:b w:val="0"/>
          <w:sz w:val="21"/>
        </w:rPr>
        <w:t xml:space="preserve">输出的组合证据，而不单凭单一路径系数作结论性判断。</w:t>
      </w:r>
    </w:p>
    <w:bookmarkEnd w:id="32"/>
    <w:bookmarkEnd w:id="33"/>
    <w:bookmarkStart w:id="36" w:name="机器学习方法"/>
    <w:p>
      <w:pPr>
        <w:pStyle w:val="2"/>
        <w:spacing w:line="312" w:lineRule="auto" w:before="0" w:after="0"/>
        <w:ind w:firstLine="0"/>
        <w:jc w:val="left"/>
      </w:pPr>
      <w:bookmarkStart w:id="119" w:name="_TocAuto0015"/>
      <w:r>
        <w:rPr>
          <w:rFonts w:ascii="Times New Roman" w:hAnsi="Times New Roman" w:eastAsia="黑体"/>
          <w:b w:val="0"/>
          <w:sz w:val="28"/>
        </w:rPr>
        <w:t xml:space="preserve">3.5 </w:t>
      </w:r>
      <w:r>
        <w:rPr>
          <w:rFonts w:hint="eastAsia" w:ascii="Times New Roman" w:hAnsi="Times New Roman" w:eastAsia="黑体"/>
          <w:b w:val="0"/>
          <w:sz w:val="28"/>
        </w:rPr>
        <w:t xml:space="preserve">机器学习方法</w:t>
      </w:r>
      <w:bookmarkEnd w:id="119"/>
    </w:p>
    <w:bookmarkStart w:id="37" w:name="样本划分预处理与验证安排"/>
    <w:p>
      <w:pPr>
        <w:pStyle w:val="31"/>
        <w:spacing w:line="312" w:lineRule="auto" w:before="0" w:after="0"/>
        <w:ind w:firstLine="420"/>
        <w:jc w:val="left"/>
      </w:pPr>
      <w:r>
        <w:rPr>
          <w:rFonts w:ascii="Times New Roman" w:hAnsi="Times New Roman" w:eastAsia="宋体"/>
          <w:b w:val="0"/>
          <w:sz w:val="24"/>
        </w:rPr>
        <w:t xml:space="preserve">3.5.1 </w:t>
      </w:r>
      <w:r>
        <w:rPr>
          <w:rFonts w:hint="eastAsia" w:ascii="Times New Roman" w:hAnsi="Times New Roman" w:eastAsia="宋体"/>
          <w:b w:val="0"/>
          <w:sz w:val="24"/>
        </w:rPr>
        <w:t xml:space="preserve">样本划分、预处理与验证安排</w:t>
      </w:r>
    </w:p>
    <w:p>
      <w:pPr>
        <w:spacing w:line="312" w:lineRule="auto" w:before="0" w:after="0"/>
        <w:ind w:firstLine="420"/>
        <w:jc w:val="both"/>
      </w:pPr>
      <w:r>
        <w:rPr>
          <w:rFonts w:hint="eastAsia" w:ascii="Times New Roman" w:hAnsi="Times New Roman" w:eastAsia="宋体"/>
          <w:b w:val="0"/>
          <w:sz w:val="21"/>
        </w:rPr>
        <w:t xml:space="preserve">机器学习部分围绕第四章的基准回归开展补充验证。为保持与第二阶段基准回归模型（模型2，式4）完全一致，本节仅纳入滞后一期正补助对数（lnSubsidy_pos_l1）、业绩（Roa）、财务杠杆（Lever）和第一大股东持股比例（Top1）四个变量，不再纳入管理层权力综合指标，也不额外加入地区变量、企业属性或其他扩展特征。需要说明的是，第一阶段基准薪酬模型（模型1，式3）使用的是</w:t>
      </w:r>
      <w:r>
        <w:rPr>
          <w:rFonts w:ascii="Times New Roman" w:hAnsi="Times New Roman" w:eastAsia="宋体"/>
          <w:b w:val="0"/>
          <w:sz w:val="21"/>
        </w:rPr>
        <w:t xml:space="preserve"> lnSale、Roa、IA、Zone </w:t>
      </w:r>
      <w:r>
        <w:rPr>
          <w:rFonts w:hint="eastAsia" w:ascii="Times New Roman" w:hAnsi="Times New Roman" w:eastAsia="宋体"/>
          <w:b w:val="0"/>
          <w:sz w:val="21"/>
        </w:rPr>
        <w:t xml:space="preserve">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 xml:space="preserve">Overpay，与机器学习部分的验证目标不同；机器学习部分对应的是模型2中用于检验补贴强度效应的解释变量口径，两阶段变量设定的差异源于各自承担的拆解任务不同，并非前后矛盾。这样安排后，机器学习回答的是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基准回归一致。四是在更灵活的树模型中，财政补贴的局部趋势是否仍表现为总体上升。</w:t>
      </w:r>
    </w:p>
    <w:p>
      <w:pPr>
        <w:spacing w:line="312" w:lineRule="auto" w:before="0" w:after="0"/>
        <w:ind w:firstLine="420"/>
        <w:jc w:val="both"/>
      </w:pPr>
      <w:r>
        <w:rPr>
          <w:rFonts w:hint="eastAsia" w:ascii="Times New Roman" w:hAnsi="Times New Roman" w:eastAsia="宋体"/>
          <w:b w:val="0"/>
          <w:sz w:val="21"/>
        </w:rPr>
        <w:t xml:space="preserve">样本直接沿用基准回归的43,417个公司年度观测。样本按公司分组，利用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避免同一公司跨期观测同时进入不同样本而夸大验证结论。输入特征共4个，即滞后一期正补助对数（lnSubsidy_pos_l1）、业绩（Roa）、财务杠杆（Lever）和第一大股东持股比例（Top1）。被解释变量仍为第四章基准回归使用的连续型超额薪酬（Overpay），以保证机器学习考察与基准回归对象保持一致。</w:t>
      </w:r>
    </w:p>
    <w:p>
      <w:pPr>
        <w:spacing w:line="312" w:lineRule="auto" w:before="0" w:after="0"/>
        <w:ind w:firstLine="420"/>
        <w:jc w:val="both"/>
      </w:pPr>
      <w:r>
        <w:rPr>
          <w:rFonts w:hint="eastAsia" w:ascii="Times New Roman" w:hAnsi="Times New Roman" w:eastAsia="宋体"/>
          <w:b w:val="0"/>
          <w:sz w:val="21"/>
        </w:rPr>
        <w:t xml:space="preserve">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GroupKFold，以避免同一公司的不同年份样本同时进入训练折和验证折。这里的交叉验证主要用于控制过拟合和稳定模型设定，并不构成论文的主结论依据；真正用于正文判断的，是随机森林的特征重要性、SHAP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 xml:space="preserve">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 xml:space="preserve">的重要性排序和部分依赖趋势。</w:t>
      </w:r>
    </w:p>
    <w:bookmarkEnd w:id="34"/>
    <w:bookmarkStart w:id="38" w:name="随机森林方法"/>
    <w:p>
      <w:pPr>
        <w:pStyle w:val="31"/>
        <w:spacing w:line="312" w:lineRule="auto" w:before="0" w:after="0"/>
        <w:ind w:firstLine="420"/>
        <w:jc w:val="left"/>
      </w:pPr>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w:t>
      </w:r>
      <w:r>
        <w:rPr>
          <w:rFonts w:hint="eastAsia" w:ascii="Times New Roman" w:hAnsi="Times New Roman" w:eastAsia="宋体"/>
          <w:b w:val="0"/>
          <w:sz w:val="21"/>
        </w:rPr>
        <w:t xml:space="preserve">Bagging（Bootstrap</w:t>
      </w:r>
      <w:r>
        <w:rPr>
          <w:rFonts w:ascii="Times New Roman" w:hAnsi="Times New Roman" w:eastAsia="宋体"/>
          <w:b w:val="0"/>
          <w:sz w:val="21"/>
        </w:rPr>
        <w:t xml:space="preserve"> </w:t>
      </w:r>
      <w:r>
        <w:rPr>
          <w:rFonts w:hint="eastAsia" w:ascii="Times New Roman" w:hAnsi="Times New Roman" w:eastAsia="宋体"/>
          <w:b w:val="0"/>
          <w:sz w:val="21"/>
        </w:rPr>
        <w:t xml:space="preserve">Aggregating）思想的集成学习路径。其基本过程如下：对原始训练集</w:t>
      </w:r>
      <w:r>
        <w:rPr>
          <w:rFonts w:ascii="Times New Roman" w:hAnsi="Times New Roman" w:eastAsia="宋体"/>
          <w:b w:val="0"/>
          <w:sz w:val="21"/>
        </w:rPr>
        <w:t xml:space="preserve"> </w:t>
      </w:r>
      <m:oMath>
        <m:r>
          <m:rPr>
            <m:sty m:val="p"/>
          </m:rPr>
          <m:t>{</m:t>
        </m:r>
        <m:r>
          <m:rPr>
            <m:sty m:val="p"/>
          </m:rPr>
          <m:t>(</m:t>
        </m:r>
        <m:sSub>
          <m:e>
            <m:r>
              <m:rPr>
                <m:sty m:val="bi"/>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进行</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次有放回的自助抽样（Bootstrap），每次生成一个子样本</w:t>
      </w:r>
      <w:r>
        <w:rPr>
          <w:rFonts w:ascii="Times New Roman" w:hAnsi="Times New Roman" w:eastAsia="宋体"/>
          <w:b w:val="0"/>
          <w:sz w:val="21"/>
        </w:rPr>
        <w:t xml:space="preserve"> </w:t>
      </w:r>
      <m:oMath>
        <m:sSub>
          <m:e>
            <m:r>
              <m:t>D</m:t>
            </m:r>
          </m:e>
          <m:sub>
            <m:r>
              <m:t>b</m:t>
            </m:r>
          </m:sub>
        </m:sSub>
      </m:oMath>
      <w:r>
        <w:rPr>
          <w:rFonts w:hint="eastAsia" w:ascii="Times New Roman" w:hAnsi="Times New Roman" w:eastAsia="宋体"/>
          <w:b w:val="0"/>
          <w:sz w:val="21"/>
        </w:rPr>
        <w:t xml:space="preserve">；在每个子样本上训练一棵决策树</w:t>
      </w:r>
      <w:r>
        <w:rPr>
          <w:rFonts w:ascii="Times New Roman" w:hAnsi="Times New Roman" w:eastAsia="宋体"/>
          <w:b w:val="0"/>
          <w:sz w:val="21"/>
        </w:rPr>
        <w:t xml:space="preserve"> </w:t>
      </w:r>
      <m:oMath>
        <m:sSub>
          <m:e>
            <m:r>
              <m:t>h</m:t>
            </m:r>
          </m:e>
          <m:sub>
            <m:r>
              <m:t>b</m:t>
            </m:r>
          </m:sub>
        </m:sSub>
        <m:r>
          <m:rPr>
            <m:sty m:val="p"/>
          </m:rPr>
          <m:t>(</m:t>
        </m:r>
        <m:r>
          <m:rPr>
            <m:sty m:val="bi"/>
          </m:rPr>
          <m:t>x</m:t>
        </m:r>
        <m:r>
          <m:rPr>
            <m:sty m:val="p"/>
          </m:rPr>
          <m:t>)</m:t>
        </m:r>
      </m:oMath>
      <w:r>
        <w:rPr>
          <w:rFonts w:hint="eastAsia" w:ascii="Times New Roman" w:hAnsi="Times New Roman" w:eastAsia="宋体"/>
          <w:b w:val="0"/>
          <w:sz w:val="21"/>
        </w:rPr>
        <w:t xml:space="preserve">，且在每个节点分裂时仅从随机抽取的</w:t>
      </w:r>
      <w:r>
        <w:rPr>
          <w:rFonts w:ascii="Times New Roman" w:hAnsi="Times New Roman" w:eastAsia="宋体"/>
          <w:b w:val="0"/>
          <w:sz w:val="21"/>
        </w:rPr>
        <w:t xml:space="preserve"> </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个候选特征中选取最优分裂变量（</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通常取</w:t>
      </w:r>
      <w:r>
        <w:rPr>
          <w:rFonts w:ascii="Times New Roman" w:hAnsi="Times New Roman" w:eastAsia="宋体"/>
          <w:b w:val="0"/>
          <w:sz w:val="21"/>
        </w:rPr>
        <w:t xml:space="preserve"> </w:t>
      </w:r>
      <m:oMath>
        <m:r>
          <m:rPr>
            <m:sty m:val="p"/>
          </m:rPr>
          <m:t>⌊</m:t>
        </m:r>
        <m:r>
          <m:t>p</m:t>
        </m:r>
        <m:r>
          <m:rPr>
            <m:sty m:val="p"/>
          </m:rPr>
          <m:t>/</m:t>
        </m:r>
        <m:r>
          <m:t>3</m:t>
        </m:r>
        <m:r>
          <m:rPr>
            <m:sty m:val="p"/>
          </m:rPr>
          <m:t>⌋</m:t>
        </m:r>
      </m:oMath>
      <w:r>
        <w:rPr>
          <w:rFonts w:hint="eastAsia" w:ascii="Times New Roman" w:hAnsi="Times New Roman" w:eastAsia="宋体"/>
          <w:b w:val="0"/>
          <w:sz w:val="21"/>
        </w:rPr>
        <w:t xml:space="preserve">，</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为特征总数）。最终预测值为所有树的均值：</w:t>
      </w:r>
    </w:p>
    <w:p>
      <w:pPr>
        <w:tabs>
          <w:tab w:pos="8617" w:val="right"/>
        </w:tabs>
        <w:spacing w:line="312" w:lineRule="auto" w:before="0" w:after="0"/>
        <w:ind w:firstLine="0"/>
        <w:jc w:val="center"/>
      </w:pPr>
      <m:oMathPara>
        <m:oMathParaPr>
          <m:jc m:val="center"/>
        </m:oMathParaPr>
        <m:oMath>
          <m:acc>
            <m:accPr>
              <m:chr m:val="̂"/>
            </m:accPr>
            <m:e>
              <m:r>
                <m:t>f</m:t>
              </m:r>
            </m:e>
          </m:acc>
          <m:r>
            <m:rPr>
              <m:sty m:val="p"/>
            </m:rPr>
            <m:t>(</m:t>
          </m:r>
          <m:r>
            <m:rPr>
              <m:sty m:val="bi"/>
            </m:rP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r>
            <m:rPr>
              <m:sty m:val="p"/>
            </m:rPr>
            <m:t>(</m:t>
          </m:r>
          <m:r>
            <m:rPr>
              <m:sty m:val="bi"/>
            </m:rPr>
            <m:t>x</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9</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 xml:space="preserve">Impurity）作为分裂准则，节点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的基尼不纯度定义为：</w:t>
      </w:r>
    </w:p>
    <w:p>
      <w:pPr>
        <w:tabs>
          <w:tab w:pos="8617" w:val="right"/>
        </w:tabs>
        <w:spacing w:line="312" w:lineRule="auto" w:before="0" w:after="0"/>
        <w:ind w:firstLine="0"/>
        <w:jc w:val="center"/>
      </w:pPr>
      <m:oMathPara>
        <m:oMathParaPr>
          <m:jc m:val="center"/>
        </m:oMathParaPr>
        <m:oMath>
          <m:r>
            <m:t>G</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10</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p</m:t>
            </m:r>
          </m:e>
          <m:sub>
            <m:r>
              <m:t>k</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中第</w:t>
      </w:r>
      <w:r>
        <w:rPr>
          <w:rFonts w:ascii="Times New Roman" w:hAnsi="Times New Roman" w:eastAsia="宋体"/>
          <w:b w:val="0"/>
          <w:sz w:val="21"/>
        </w:rPr>
        <w:t xml:space="preserve"> </w:t>
      </w:r>
      <m:oMath>
        <m:r>
          <m:t>k</m:t>
        </m:r>
      </m:oMath>
      <w:r>
        <w:rPr>
          <w:rFonts w:ascii="Times New Roman" w:hAnsi="Times New Roman" w:eastAsia="宋体"/>
          <w:b w:val="0"/>
          <w:sz w:val="21"/>
        </w:rPr>
        <w:t xml:space="preserve"> </w:t>
      </w:r>
      <w:r>
        <w:rPr>
          <w:rFonts w:hint="eastAsia" w:ascii="Times New Roman" w:hAnsi="Times New Roman" w:eastAsia="宋体"/>
          <w:b w:val="0"/>
          <w:sz w:val="21"/>
        </w:rPr>
        <w:t xml:space="preserve">类样本的比例。特征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的全局重要性定义为该特征在所有树的所有节点上带来的加权不纯度下降之和：</w:t>
      </w:r>
    </w:p>
    <w:p>
      <w:pPr>
        <w:tabs>
          <w:tab w:pos="8617" w:val="right"/>
        </w:tabs>
        <w:spacing w:line="312" w:lineRule="auto" w:before="0" w:after="0"/>
        <w:ind w:firstLine="0"/>
        <w:jc w:val="center"/>
      </w:pPr>
      <m:oMathPara>
        <m:oMathParaPr>
          <m:jc m:val="center"/>
        </m:oMathParaPr>
        <m:oMath>
          <m:r>
            <m:rPr>
              <m:nor/>
              <m:sty m:val="p"/>
            </m:rPr>
            <m:t>Imp</m:t>
          </m:r>
          <m:r>
            <m:rPr>
              <m:sty m:val="p"/>
            </m:rPr>
            <m:t>(</m:t>
          </m:r>
          <m:r>
            <m:t>j</m:t>
          </m:r>
          <m:r>
            <m:rPr>
              <m:sty m:val="p"/>
            </m:rPr>
            <m:t>)</m:t>
          </m:r>
          <m:r>
            <m:rPr>
              <m:sty m:val="p"/>
            </m:rPr>
            <m:t>=</m:t>
          </m:r>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sub>
                <m:sup>
                  <m:r>
                    <m:t>​</m:t>
                  </m:r>
                </m:sup>
                <m:e>
                  <m:r>
                    <m:rPr>
                      <m:scr m:val="double-struck"/>
                      <m:sty m:val="p"/>
                    </m:rPr>
                    <m:t>1</m:t>
                  </m:r>
                </m:e>
              </m:nary>
            </m:e>
          </m:nary>
          <m:r>
            <m:rPr>
              <m:sty m:val="p"/>
            </m:rPr>
            <m:t>[</m:t>
          </m:r>
          <m:r>
            <m:t>v</m:t>
          </m:r>
          <m:r>
            <m:rPr>
              <m:sty m:val="p"/>
            </m:rPr>
            <m:t>(</m:t>
          </m:r>
          <m:r>
            <m:t>t</m:t>
          </m:r>
          <m:r>
            <m:rPr>
              <m:sty m:val="p"/>
            </m:rPr>
            <m:t>)</m:t>
          </m:r>
          <m:r>
            <m:rPr>
              <m:sty m:val="p"/>
            </m:rPr>
            <m:t>=</m:t>
          </m:r>
          <m:r>
            <m:t>j</m:t>
          </m:r>
          <m:r>
            <m:rPr>
              <m:sty m:val="p"/>
            </m:rPr>
            <m:t>]</m:t>
          </m:r>
          <m:r>
            <m:rPr>
              <m:sty m:val="p"/>
            </m:rPr>
            <m:t>⋅</m:t>
          </m:r>
          <m:r>
            <m:rPr>
              <m:sty m:val="p"/>
            </m:rPr>
            <m:t>Δ</m:t>
          </m:r>
          <m:r>
            <m:t>G</m:t>
          </m:r>
          <m:r>
            <m:rPr>
              <m:sty m:val="p"/>
            </m:rPr>
            <m:t>(</m:t>
          </m:r>
          <m:r>
            <m:t>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是第</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棵树的所有内部节点集合，</w:t>
      </w:r>
      <m:oMath>
        <m:r>
          <m:t>v</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的分裂变量，</w:t>
      </w:r>
      <m:oMath>
        <m:r>
          <m:rPr>
            <m:sty m:val="p"/>
          </m:rPr>
          <m:t>Δ</m:t>
        </m:r>
        <m:r>
          <m:t>G</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为该节点分裂前后的不纯度下降值。</w:t>
      </w:r>
    </w:p>
    <w:p>
      <w:pPr>
        <w:spacing w:line="312" w:lineRule="auto" w:before="0" w:after="0"/>
        <w:ind w:firstLine="420"/>
        <w:jc w:val="both"/>
      </w:pPr>
      <w:r>
        <w:rPr>
          <w:rFonts w:hint="eastAsia" w:ascii="Times New Roman" w:hAnsi="Times New Roman" w:eastAsia="宋体"/>
          <w:b w:val="0"/>
          <w:sz w:val="21"/>
        </w:rPr>
        <w:t xml:space="preserve">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 xml:space="preserve">回归中才显得”有用”，从而能够为基准回归中的核心解释变量地位提供补充证据。</w:t>
      </w:r>
    </w:p>
    <w:bookmarkEnd w:id="35"/>
    <w:bookmarkStart w:id="39" w:name="shap值解释方法"/>
    <w:p>
      <w:pPr>
        <w:pStyle w:val="31"/>
        <w:spacing w:line="312" w:lineRule="auto" w:before="0" w:after="0"/>
        <w:ind w:firstLine="420"/>
        <w:jc w:val="left"/>
      </w:pPr>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p>
    <w:p>
      <w:pPr>
        <w:spacing w:line="312" w:lineRule="auto" w:before="0" w:after="0"/>
        <w:ind w:firstLine="420"/>
        <w:jc w:val="both"/>
      </w:pPr>
      <w:r>
        <w:rPr>
          <w:rFonts w:hint="eastAsia" w:ascii="Times New Roman" w:hAnsi="Times New Roman" w:eastAsia="宋体"/>
          <w:b w:val="0"/>
          <w:sz w:val="21"/>
        </w:rPr>
        <w:t xml:space="preserve">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exPlanations）做法，对随机森林模型在保留样本上的预测值做解释。</w:t>
      </w:r>
    </w:p>
    <w:p>
      <w:pPr>
        <w:spacing w:line="312" w:lineRule="auto" w:before="0" w:after="0"/>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 xml:space="preserve">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值。对于包含</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个特征的模型</w:t>
      </w:r>
      <w:r>
        <w:rPr>
          <w:rFonts w:ascii="Times New Roman" w:hAnsi="Times New Roman" w:eastAsia="宋体"/>
          <w:b w:val="0"/>
          <w:sz w:val="21"/>
        </w:rPr>
        <w:t xml:space="preserve"> </w:t>
      </w:r>
      <m:oMath>
        <m:r>
          <m:t>f</m:t>
        </m:r>
      </m:oMath>
      <w:r>
        <w:rPr>
          <w:rFonts w:hint="eastAsia" w:ascii="Times New Roman" w:hAnsi="Times New Roman" w:eastAsia="宋体"/>
          <w:b w:val="0"/>
          <w:sz w:val="21"/>
        </w:rPr>
        <w:t xml:space="preserve">，特征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个样本预测值的</w:t>
      </w:r>
      <w:r>
        <w:rPr>
          <w:rFonts w:ascii="Times New Roman" w:hAnsi="Times New Roman" w:eastAsia="宋体"/>
          <w:b w:val="0"/>
          <w:sz w:val="21"/>
        </w:rPr>
        <w:t xml:space="preserve"> SHAP </w:t>
      </w:r>
      <w:r>
        <w:rPr>
          <w:rFonts w:hint="eastAsia" w:ascii="Times New Roman" w:hAnsi="Times New Roman" w:eastAsia="宋体"/>
          <w:b w:val="0"/>
          <w:sz w:val="21"/>
        </w:rPr>
        <w:t xml:space="preserve">值定义为：</w:t>
      </w:r>
    </w:p>
    <w:p>
      <w:pPr>
        <w:tabs>
          <w:tab w:pos="8617" w:val="right"/>
        </w:tabs>
        <w:spacing w:line="312" w:lineRule="auto" w:before="0" w:after="0"/>
        <w:ind w:firstLine="0"/>
        <w:jc w:val="center"/>
      </w:pPr>
      <m:oMathPara>
        <m:oMathParaPr>
          <m:jc m:val="center"/>
        </m:oMathParaPr>
        <m:oMath>
          <m:sSub>
            <m:e>
              <m:r>
                <m:t>ϕ</m:t>
              </m:r>
            </m:e>
            <m:sub>
              <m:r>
                <m:t>j</m:t>
              </m:r>
            </m:sub>
          </m:sSub>
          <m:r>
            <m:rPr>
              <m:sty m:val="p"/>
            </m:rPr>
            <m:t>(</m:t>
          </m:r>
          <m:sSub>
            <m:e>
              <m:r>
                <m:rPr>
                  <m:sty m:val="bi"/>
                </m:rPr>
                <m:t>x</m:t>
              </m:r>
            </m:e>
            <m:sub>
              <m:r>
                <m:t>i</m:t>
              </m:r>
            </m:sub>
          </m:sSub>
          <m:r>
            <m:rPr>
              <m:sty m:val="p"/>
            </m:rPr>
            <m:t>)</m:t>
          </m:r>
          <m:r>
            <m:rPr>
              <m:sty m:val="p"/>
            </m:rPr>
            <m:t>=</m:t>
          </m:r>
          <m:nary>
            <m:naryPr>
              <m:chr m:val="∑"/>
              <m:limLoc m:val="undOvr"/>
              <m:subHide m:val="off"/>
              <m:supHide m:val="on"/>
            </m:naryPr>
            <m:sub>
              <m:r>
                <m:t>S</m:t>
              </m:r>
              <m:r>
                <m:rPr>
                  <m:sty m:val="p"/>
                </m:rPr>
                <m:t>⊆</m:t>
              </m:r>
              <m:r>
                <m:t>N</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t>p</m:t>
                  </m:r>
                  <m:r>
                    <m:rPr>
                      <m:sty m:val="p"/>
                    </m:rPr>
                    <m:t>−</m:t>
                  </m:r>
                  <m:r>
                    <m:rPr>
                      <m:sty m:val="p"/>
                    </m:rPr>
                    <m:t>|</m:t>
                  </m:r>
                  <m:r>
                    <m:t>S</m:t>
                  </m:r>
                  <m:r>
                    <m:rPr>
                      <m:sty m:val="p"/>
                    </m:rPr>
                    <m:t>|</m:t>
                  </m:r>
                  <m:r>
                    <m:rPr>
                      <m:sty m:val="p"/>
                    </m:rPr>
                    <m:t>−</m:t>
                  </m:r>
                  <m:r>
                    <m:t>1</m:t>
                  </m:r>
                  <m:r>
                    <m:rPr>
                      <m:sty m:val="p"/>
                    </m:rPr>
                    <m:t>)</m:t>
                  </m:r>
                  <m:r>
                    <m:rPr>
                      <m:sty m:val="p"/>
                    </m:rPr>
                    <m:t>!</m:t>
                  </m:r>
                </m:num>
                <m:den>
                  <m:r>
                    <m:t>p</m:t>
                  </m:r>
                  <m:r>
                    <m:rPr>
                      <m:sty m:val="p"/>
                    </m:rPr>
                    <m:t>!</m:t>
                  </m:r>
                </m:den>
              </m:f>
            </m:e>
          </m:nary>
          <m:d>
            <m:dPr>
              <m:begChr m:val="["/>
              <m:sepChr m:val=""/>
              <m:endChr m:val="]"/>
              <m:grow/>
            </m:dPr>
            <m:e>
              <m:sSub>
                <m:e>
                  <m:r>
                    <m:t>f</m:t>
                  </m:r>
                </m:e>
                <m:sub>
                  <m:r>
                    <m:t>S</m:t>
                  </m:r>
                  <m:r>
                    <m:rPr>
                      <m:sty m:val="p"/>
                    </m:rPr>
                    <m:t>∪</m:t>
                  </m:r>
                  <m:r>
                    <m:rPr>
                      <m:sty m:val="p"/>
                    </m:rPr>
                    <m:t>{</m:t>
                  </m:r>
                  <m:r>
                    <m:t>j</m:t>
                  </m:r>
                  <m:r>
                    <m:rPr>
                      <m:sty m:val="p"/>
                    </m:rPr>
                    <m:t>}</m:t>
                  </m:r>
                </m:sub>
              </m:sSub>
              <m:r>
                <m:rPr>
                  <m:sty m:val="p"/>
                </m:rPr>
                <m:t>(</m:t>
              </m:r>
              <m:sSub>
                <m:e>
                  <m:r>
                    <m:rPr>
                      <m:sty m:val="bi"/>
                    </m:rPr>
                    <m:t>x</m:t>
                  </m:r>
                </m:e>
                <m:sub>
                  <m:r>
                    <m:t>i</m:t>
                  </m:r>
                  <m:r>
                    <m:rPr>
                      <m:sty m:val="p"/>
                    </m:rPr>
                    <m:t>,</m:t>
                  </m:r>
                  <m:r>
                    <m:t>S</m:t>
                  </m:r>
                  <m:r>
                    <m:rPr>
                      <m:sty m:val="p"/>
                    </m:rPr>
                    <m:t>∪</m:t>
                  </m:r>
                  <m:r>
                    <m:rPr>
                      <m:sty m:val="p"/>
                    </m:rPr>
                    <m:t>{</m:t>
                  </m:r>
                  <m:r>
                    <m:t>j</m:t>
                  </m:r>
                  <m:r>
                    <m:rPr>
                      <m:sty m:val="p"/>
                    </m:rPr>
                    <m:t>}</m:t>
                  </m:r>
                </m:sub>
              </m:sSub>
              <m:r>
                <m:rPr>
                  <m:sty m:val="p"/>
                </m:rPr>
                <m:t>)</m:t>
              </m:r>
              <m:r>
                <m:rPr>
                  <m:sty m:val="p"/>
                </m:rPr>
                <m:t>−</m:t>
              </m:r>
              <m:sSub>
                <m:e>
                  <m:r>
                    <m:t>f</m:t>
                  </m:r>
                </m:e>
                <m:sub>
                  <m:r>
                    <m:t>S</m:t>
                  </m:r>
                </m:sub>
              </m:sSub>
              <m:r>
                <m:rPr>
                  <m:sty m:val="p"/>
                </m:rPr>
                <m:t>(</m:t>
              </m:r>
              <m:sSub>
                <m:e>
                  <m:r>
                    <m:rPr>
                      <m:sty m:val="bi"/>
                    </m:rPr>
                    <m:t>x</m:t>
                  </m:r>
                </m:e>
                <m:sub>
                  <m:r>
                    <m:t>i</m:t>
                  </m:r>
                  <m:r>
                    <m:rPr>
                      <m:sty m:val="p"/>
                    </m:rPr>
                    <m:t>,</m:t>
                  </m:r>
                  <m:r>
                    <m:t>S</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N</m:t>
        </m:r>
        <m:r>
          <m:rPr>
            <m:sty m:val="p"/>
          </m:rPr>
          <m:t>=</m:t>
        </m:r>
        <m:r>
          <m:rPr>
            <m:sty m:val="p"/>
          </m:rPr>
          <m:t>{</m:t>
        </m:r>
        <m:r>
          <m:t>1</m:t>
        </m:r>
        <m:r>
          <m:rPr>
            <m:sty m:val="p"/>
          </m:rPr>
          <m:t>,</m:t>
        </m:r>
        <m:r>
          <m:t>2</m:t>
        </m:r>
        <m:r>
          <m:rPr>
            <m:sty m:val="p"/>
          </m:rPr>
          <m:t>,</m:t>
        </m:r>
        <m:r>
          <m:rPr>
            <m:sty m:val="p"/>
          </m:rPr>
          <m:t>…</m:t>
        </m:r>
        <m:r>
          <m:rPr>
            <m:sty m:val="p"/>
          </m:rPr>
          <m:t>,</m:t>
        </m:r>
        <m:r>
          <m:t>p</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为全部特征集合，</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为不包含特征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的任一子集，</w:t>
      </w:r>
      <m:oMath>
        <m:sSub>
          <m:e>
            <m:r>
              <m:t>f</m:t>
            </m:r>
          </m:e>
          <m:sub>
            <m:r>
              <m:t>S</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表示仅使用特征子集</w:t>
      </w:r>
      <w:r>
        <w:rPr>
          <w:rFonts w:ascii="Times New Roman" w:hAnsi="Times New Roman" w:eastAsia="宋体"/>
          <w:b w:val="0"/>
          <w:sz w:val="21"/>
        </w:rPr>
        <w:t xml:space="preserve"> </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时的模型期望预测。公式的直觉含义是：遍历特征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加入所有可能子集的顺序，计算其边际贡献的加权平均。SHAP</w:t>
      </w:r>
      <w:r>
        <w:rPr>
          <w:rFonts w:ascii="Times New Roman" w:hAnsi="Times New Roman" w:eastAsia="宋体"/>
          <w:b w:val="0"/>
          <w:sz w:val="21"/>
        </w:rPr>
        <w:t xml:space="preserve"> </w:t>
      </w:r>
      <w:r>
        <w:rPr>
          <w:rFonts w:hint="eastAsia" w:ascii="Times New Roman" w:hAnsi="Times New Roman" w:eastAsia="宋体"/>
          <w:b w:val="0"/>
          <w:sz w:val="21"/>
        </w:rPr>
        <w:t xml:space="preserve">值满足效率性（各特征</w:t>
      </w:r>
      <w:r>
        <w:rPr>
          <w:rFonts w:ascii="Times New Roman" w:hAnsi="Times New Roman" w:eastAsia="宋体"/>
          <w:b w:val="0"/>
          <w:sz w:val="21"/>
        </w:rPr>
        <w:t xml:space="preserve"> SHAP </w:t>
      </w:r>
      <w:r>
        <w:rPr>
          <w:rFonts w:hint="eastAsia" w:ascii="Times New Roman" w:hAnsi="Times New Roman" w:eastAsia="宋体"/>
          <w:b w:val="0"/>
          <w:sz w:val="21"/>
        </w:rPr>
        <w:t xml:space="preserve">值之和等于该样本预测值与基准预测值之差）、对称性和虚拟性等公理性质，是目前唯一满足这些性质的可加性解释做法。</w:t>
      </w:r>
    </w:p>
    <w:p>
      <w:pPr>
        <w:spacing w:line="312" w:lineRule="auto" w:before="0" w:after="0"/>
        <w:ind w:firstLine="420"/>
        <w:jc w:val="both"/>
      </w:pPr>
      <w:r>
        <w:rPr>
          <w:rFonts w:hint="eastAsia" w:ascii="Times New Roman" w:hAnsi="Times New Roman" w:eastAsia="宋体"/>
          <w:b w:val="0"/>
          <w:sz w:val="21"/>
        </w:rPr>
        <w:t xml:space="preserve">在实践中，衡量特征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w:t>
      </w:r>
    </w:p>
    <w:p>
      <w:pPr>
        <w:tabs>
          <w:tab w:pos="8617" w:val="right"/>
        </w:tabs>
        <w:spacing w:line="312" w:lineRule="auto" w:before="0" w:after="0"/>
        <w:ind w:firstLine="0"/>
        <w:jc w:val="center"/>
      </w:pPr>
      <m:oMathPara>
        <m:oMathParaPr>
          <m:jc m:val="center"/>
        </m:oMathParaPr>
        <m:oMath>
          <m:bar>
            <m:barPr>
              <m:pos m:val="top"/>
            </m:barPr>
            <m:e>
              <m:r>
                <m:rPr>
                  <m:sty m:val="p"/>
                </m:rPr>
                <m:t>|</m:t>
              </m:r>
              <m:sSub>
                <m:e>
                  <m:r>
                    <m:t>ϕ</m:t>
                  </m:r>
                </m:e>
                <m:sub>
                  <m:r>
                    <m:t>j</m:t>
                  </m:r>
                </m:sub>
              </m:sSub>
              <m:r>
                <m:rPr>
                  <m:sty m:val="p"/>
                </m:rPr>
                <m:t>|</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ϕ</m:t>
              </m:r>
            </m:e>
            <m:sub>
              <m:r>
                <m:t>j</m:t>
              </m:r>
            </m:sub>
          </m:sSub>
          <m:r>
            <m:rPr>
              <m:sty m:val="p"/>
            </m:rPr>
            <m:t>(</m:t>
          </m:r>
          <m:sSub>
            <m:e>
              <m:r>
                <m:rPr>
                  <m:sty m:val="bi"/>
                </m:rPr>
                <m:t>x</m:t>
              </m:r>
            </m:e>
            <m:sub>
              <m:r>
                <m:t>i</m:t>
              </m:r>
            </m:sub>
          </m:sSub>
          <m:r>
            <m:rPr>
              <m:sty m:val="p"/>
            </m:rPr>
            <m: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该值越大，说明特征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 xml:space="preserve">在本文中主要用于复核：财政补贴变量的边际贡献排序，是否与随机森林基尼重要性的判断保持一致。</w:t>
      </w:r>
    </w:p>
    <w:bookmarkEnd w:id="36"/>
    <w:bookmarkStart w:id="40" w:name="lasso回归方法"/>
    <w:p>
      <w:pPr>
        <w:pStyle w:val="31"/>
        <w:spacing w:line="312" w:lineRule="auto" w:before="0" w:after="0"/>
        <w:ind w:firstLine="420"/>
        <w:jc w:val="left"/>
      </w:pPr>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p>
    <w:p>
      <w:pPr>
        <w:spacing w:line="312" w:lineRule="auto" w:before="0" w:after="0"/>
        <w:ind w:firstLine="420"/>
        <w:jc w:val="both"/>
      </w:pPr>
      <w:r>
        <w:rPr>
          <w:rFonts w:hint="eastAsia" w:ascii="Times New Roman" w:hAnsi="Times New Roman" w:eastAsia="宋体"/>
          <w:b w:val="0"/>
          <w:sz w:val="21"/>
        </w:rPr>
        <w:t xml:space="preserve">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 xml:space="preserve">Operator）回归属于采用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正则化的线性回归模型。其目标函数在最小二乘损失的基础上加入绝对值惩罚项：</w:t>
      </w:r>
    </w:p>
    <w:p>
      <w:pPr>
        <w:tabs>
          <w:tab w:pos="8617" w:val="right"/>
        </w:tabs>
        <w:spacing w:line="312" w:lineRule="auto" w:before="0" w:after="0"/>
        <w:ind w:firstLine="0"/>
        <w:jc w:val="center"/>
      </w:pPr>
      <m:oMathPara>
        <m:oMathParaPr>
          <m:jc m:val="center"/>
        </m:oMathParaPr>
        <m:oMath>
          <m:sSup>
            <m:e>
              <m:acc>
                <m:accPr>
                  <m:chr m:val="̂"/>
                </m:accPr>
                <m:e>
                  <m:r>
                    <m:rPr>
                      <m:sty m:val="bi"/>
                    </m:rPr>
                    <m:t>β</m:t>
                  </m:r>
                </m:e>
              </m:acc>
            </m:e>
            <m:sup>
              <m:r>
                <m:rPr>
                  <m:nor/>
                  <m:sty m:val="p"/>
                </m:rPr>
                <m:t>Lasso</m:t>
              </m:r>
            </m:sup>
          </m:sSup>
          <m:r>
            <m:rPr>
              <m:sty m:val="p"/>
            </m:rPr>
            <m:t>=</m:t>
          </m:r>
          <m:r>
            <m:rPr>
              <m:sty m:val="p"/>
            </m:rPr>
            <m:t>arg</m:t>
          </m:r>
          <m:limLow>
            <m:e>
              <m:r>
                <m:rPr>
                  <m:sty m:val="p"/>
                </m:rPr>
                <m:t>min</m:t>
              </m:r>
            </m:e>
            <m:lim>
              <m:r>
                <m:rPr>
                  <m:sty m:val="bi"/>
                </m:rPr>
                <m:t>β</m:t>
              </m:r>
            </m:lim>
          </m:limLow>
          <m:d>
            <m:dPr>
              <m:begChr m:val="{"/>
              <m:sepChr m:val=""/>
              <m:endChr m:val="}"/>
              <m:grow/>
            </m:dPr>
            <m:e>
              <m:f>
                <m:fPr>
                  <m:type m:val="bar"/>
                </m:fPr>
                <m:num>
                  <m:r>
                    <m:t>1</m:t>
                  </m:r>
                </m:num>
                <m:den>
                  <m:r>
                    <m:t>2</m:t>
                  </m:r>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rPr>
                      <m:sty m:val="bi"/>
                    </m:rPr>
                    <m:t>x</m:t>
                  </m:r>
                </m:e>
                <m:sub>
                  <m:r>
                    <m:t>i</m:t>
                  </m:r>
                </m:sub>
                <m:sup>
                  <m:r>
                    <m:rPr>
                      <m:sty m:val="p"/>
                    </m:rPr>
                    <m:t>′</m:t>
                  </m:r>
                </m:sup>
              </m:sSubSup>
              <m:r>
                <m:rPr>
                  <m:sty m:val="bi"/>
                </m:rPr>
                <m:t>β</m:t>
              </m:r>
              <m:sSup>
                <m:e>
                  <m:r>
                    <m:rPr>
                      <m:sty m:val="p"/>
                    </m:rPr>
                    <m:t>)</m:t>
                  </m:r>
                </m:e>
                <m:sup>
                  <m:r>
                    <m:t>2</m:t>
                  </m:r>
                </m:sup>
              </m:sSup>
              <m:r>
                <m:rPr>
                  <m:sty m:val="p"/>
                </m:rPr>
                <m:t>+</m:t>
              </m:r>
              <m:r>
                <m:t>λ</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为惩罚参数，控制正则化强度。当</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时退化为普通最小二乘（OLS）；随着</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增大，部分系数会被逐步压缩至零，从而实现自动变量筛选。</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 xml:space="preserve">解更容易落在坐标轴上，这是它能够产生稀疏解的根本原因，也是其区别于岭回归（</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惩罚）的关键特征。</w:t>
      </w:r>
    </w:p>
    <w:p>
      <w:pPr>
        <w:spacing w:line="312" w:lineRule="auto" w:before="0" w:after="0"/>
        <w:ind w:firstLine="420"/>
        <w:jc w:val="both"/>
      </w:pPr>
      <w:r>
        <w:rPr>
          <w:rFonts w:hint="eastAsia" w:ascii="Times New Roman" w:hAnsi="Times New Roman" w:eastAsia="宋体"/>
          <w:b w:val="0"/>
          <w:sz w:val="21"/>
        </w:rPr>
        <w:t xml:space="preserve">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的选取通过按公司分组的交叉验证（GroupKFold）确定，选择使验证集均方误差最小的</w:t>
      </w:r>
      <w:r>
        <w:rPr>
          <w:rFonts w:ascii="Times New Roman" w:hAnsi="Times New Roman" w:eastAsia="宋体"/>
          <w:b w:val="0"/>
          <w:sz w:val="21"/>
        </w:rPr>
        <w:t xml:space="preserve"> </w:t>
      </w:r>
      <m:oMath>
        <m:sSup>
          <m:e>
            <m:r>
              <m:t>λ</m:t>
            </m:r>
          </m:e>
          <m:sup>
            <m:r>
              <m:rPr>
                <m:sty m:val="p"/>
              </m:rPr>
              <m:t>*</m:t>
            </m:r>
          </m:sup>
        </m:sSup>
      </m:oMath>
      <w:r>
        <w:rPr>
          <w:rFonts w:hint="eastAsia" w:ascii="Times New Roman" w:hAnsi="Times New Roman" w:eastAsia="宋体"/>
          <w:b w:val="0"/>
          <w:sz w:val="21"/>
        </w:rPr>
        <w:t xml:space="preserve">。在进入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做零均值、单位方差标准化，以消除量纲差异对惩罚项的改变。</w:t>
      </w:r>
    </w:p>
    <w:p>
      <w:pPr>
        <w:spacing w:line="312" w:lineRule="auto" w:before="0" w:after="0"/>
        <w:ind w:firstLine="420"/>
        <w:jc w:val="both"/>
      </w:pPr>
      <w:r>
        <w:rPr>
          <w:rFonts w:hint="eastAsia" w:ascii="Times New Roman" w:hAnsi="Times New Roman" w:eastAsia="宋体"/>
          <w:b w:val="0"/>
          <w:sz w:val="21"/>
        </w:rPr>
        <w:t xml:space="preserve">本文引入</w:t>
      </w:r>
      <w:r>
        <w:rPr>
          <w:rFonts w:ascii="Times New Roman" w:hAnsi="Times New Roman" w:eastAsia="宋体"/>
          <w:b w:val="0"/>
          <w:sz w:val="21"/>
        </w:rPr>
        <w:t xml:space="preserve"> Lasso </w:t>
      </w:r>
      <w:r>
        <w:rPr>
          <w:rFonts w:hint="eastAsia" w:ascii="Times New Roman" w:hAnsi="Times New Roman" w:eastAsia="宋体"/>
          <w:b w:val="0"/>
          <w:sz w:val="21"/>
        </w:rPr>
        <w:t xml:space="preserve">的目的，不在于追求最高拟合表现，而在于检验</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更适合回答”在多个候选特征同时竞争时，财政补贴变量是否仍会被保留”这一疑问，同时也有助于缓解多重共线性带来的不稳定估计。</w:t>
      </w:r>
    </w:p>
    <w:bookmarkEnd w:id="37"/>
    <w:bookmarkStart w:id="41" w:name="xgboost方法"/>
    <w:p>
      <w:pPr>
        <w:pStyle w:val="31"/>
        <w:spacing w:line="312" w:lineRule="auto" w:before="0" w:after="0"/>
        <w:ind w:firstLine="420"/>
        <w:jc w:val="left"/>
      </w:pPr>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 xml:space="preserve">Modeling）：第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轮的模型在前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轮的累积预测基础上拟合残差，逐步改进对目标变量的刻画。设模型经过</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轮更新后的预测值为：</w:t>
      </w:r>
    </w:p>
    <w:p>
      <w:pPr>
        <w:tabs>
          <w:tab w:pos="8617" w:val="right"/>
        </w:tabs>
        <w:spacing w:line="312" w:lineRule="auto" w:before="0" w:after="0"/>
        <w:ind w:firstLine="0"/>
        <w:jc w:val="center"/>
      </w:pPr>
      <m:oMathPara>
        <m:oMathParaPr>
          <m:jc m:val="center"/>
        </m:oMathParaPr>
        <m:oMath>
          <m:sSub>
            <m:e>
              <m:acc>
                <m:accPr>
                  <m:chr m:val="̂"/>
                </m:accPr>
                <m:e>
                  <m:r>
                    <m:t>y</m:t>
                  </m:r>
                </m:e>
              </m:acc>
            </m:e>
            <m:sub>
              <m:r>
                <m:t>i</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r>
            <m:rPr>
              <m:sty m:val="p"/>
            </m:rPr>
            <m:t>(</m:t>
          </m:r>
          <m:sSub>
            <m:e>
              <m:r>
                <m:rPr>
                  <m:sty m:val="bi"/>
                </m:rPr>
                <m:t>x</m:t>
              </m:r>
            </m:e>
            <m:sub>
              <m:r>
                <m:t>i</m:t>
              </m:r>
            </m:sub>
          </m:sSub>
          <m:r>
            <m:rPr>
              <m:sty m:val="p"/>
            </m:rPr>
            <m:t>)</m:t>
          </m:r>
          <m:r>
            <m:rPr>
              <m:sty m:val="p"/>
            </m:rPr>
            <m:t>,</m:t>
          </m:r>
          <m:r>
            <m:t> </m:t>
          </m:r>
          <m:sSub>
            <m:e>
              <m:r>
                <m:t>f</m:t>
              </m:r>
            </m:e>
            <m:sub>
              <m:r>
                <m:t>t</m:t>
              </m:r>
            </m:sub>
          </m:sSub>
          <m:r>
            <m:rPr>
              <m:sty m:val="p"/>
            </m:rPr>
            <m:t>∈</m:t>
          </m:r>
          <m:r>
            <m:rPr>
              <m:scr m:val="script"/>
              <m:sty m:val="p"/>
            </m:rPr>
            <m:t>F</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rPr>
            <m:scr m:val="script"/>
            <m:sty m:val="p"/>
          </m:rPr>
          <m:t>F</m:t>
        </m:r>
      </m:oMath>
      <w:r>
        <w:rPr>
          <w:rFonts w:ascii="Times New Roman" w:hAnsi="Times New Roman" w:eastAsia="宋体"/>
          <w:b w:val="0"/>
          <w:sz w:val="21"/>
        </w:rPr>
        <w:t xml:space="preserve"> </w:t>
      </w:r>
      <w:r>
        <w:rPr>
          <w:rFonts w:hint="eastAsia" w:ascii="Times New Roman" w:hAnsi="Times New Roman" w:eastAsia="宋体"/>
          <w:b w:val="0"/>
          <w:sz w:val="21"/>
        </w:rPr>
        <w:t xml:space="preserve">为所有回归树构成的函数空间。第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轮新增的树</w:t>
      </w:r>
      <w:r>
        <w:rPr>
          <w:rFonts w:ascii="Times New Roman" w:hAnsi="Times New Roman" w:eastAsia="宋体"/>
          <w:b w:val="0"/>
          <w:sz w:val="21"/>
        </w:rPr>
        <w:t xml:space="preserve"> </w:t>
      </w:r>
      <m:oMath>
        <m:sSub>
          <m:e>
            <m:r>
              <m:t>f</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通过最小化以下正则化目标函数来确定：</w:t>
      </w:r>
    </w:p>
    <w:p>
      <w:pPr>
        <w:tabs>
          <w:tab w:pos="8617" w:val="right"/>
        </w:tabs>
        <w:spacing w:line="312" w:lineRule="auto" w:before="0" w:after="0"/>
        <w:ind w:firstLine="0"/>
        <w:jc w:val="center"/>
      </w:pPr>
      <m:oMathPara>
        <m:oMathParaPr>
          <m:jc m:val="center"/>
        </m:oMathParaPr>
        <m:oMath>
          <m:sSup>
            <m:e>
              <m:r>
                <m:rPr>
                  <m:scr m:val="script"/>
                  <m:sty m:val="p"/>
                </m:rPr>
                <m:t>L</m:t>
              </m:r>
            </m:e>
            <m:sup>
              <m:r>
                <m:rPr>
                  <m:sty m:val="p"/>
                </m:rPr>
                <m:t>(</m:t>
              </m:r>
              <m:r>
                <m:t>t</m:t>
              </m:r>
              <m:r>
                <m:rPr>
                  <m:sty m:val="p"/>
                </m:rPr>
                <m:t>)</m:t>
              </m:r>
            </m:sup>
          </m:sSup>
          <m:r>
            <m:rPr>
              <m:sty m:val="p"/>
            </m:rPr>
            <m:t>=</m:t>
          </m:r>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e>
          </m:d>
          <m:r>
            <m:rPr>
              <m:sty m:val="p"/>
            </m:rPr>
            <m:t>+</m:t>
          </m:r>
          <m:r>
            <m:rPr>
              <m:sty m:val="p"/>
            </m:rPr>
            <m:t>Ω</m:t>
          </m:r>
          <m:r>
            <m:rPr>
              <m:sty m:val="p"/>
            </m:rPr>
            <m:t>(</m:t>
          </m:r>
          <m:sSub>
            <m:e>
              <m:r>
                <m:t>f</m:t>
              </m:r>
            </m:e>
            <m:sub>
              <m:r>
                <m:t>t</m:t>
              </m:r>
            </m:sub>
          </m:sSub>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l</m:t>
        </m:r>
        <m:r>
          <m:rPr>
            <m:sty m:val="p"/>
          </m:rPr>
          <m:t>(</m:t>
        </m:r>
        <m:r>
          <m:rPr>
            <m:sty m:val="p"/>
          </m:rPr>
          <m:t>⋅</m:t>
        </m:r>
        <m:r>
          <m:rPr>
            <m:sty m:val="p"/>
          </m:rPr>
          <m:t>,</m:t>
        </m:r>
        <m:r>
          <m:rPr>
            <m:sty m:val="p"/>
          </m:rPr>
          <m: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为损失函数（回归疑问通常取均方误差），</w:t>
      </w:r>
      <m:oMath>
        <m:sSubSup>
          <m:e>
            <m:acc>
              <m:accPr>
                <m:chr m:val="̂"/>
              </m:accPr>
              <m:e>
                <m:r>
                  <m:t>y</m:t>
                </m:r>
              </m:e>
            </m:acc>
          </m:e>
          <m:sub>
            <m:r>
              <m:t>i</m:t>
            </m:r>
          </m:sub>
          <m:sup>
            <m:r>
              <m:rPr>
                <m:sty m:val="p"/>
              </m:rPr>
              <m:t>(</m:t>
            </m:r>
            <m:r>
              <m:t>t</m:t>
            </m:r>
            <m:r>
              <m:rPr>
                <m:sty m:val="p"/>
              </m:rPr>
              <m:t>−</m:t>
            </m:r>
            <m:r>
              <m:t>1</m:t>
            </m:r>
            <m:r>
              <m:rPr>
                <m:sty m:val="p"/>
              </m:rPr>
              <m:t>)</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为前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w:t>
      </w:r>
      <m:oMath>
        <m:r>
          <m:rPr>
            <m:sty m:val="p"/>
          </m:rPr>
          <m:t>Ω</m:t>
        </m:r>
        <m:r>
          <m:rPr>
            <m:sty m:val="p"/>
          </m:rPr>
          <m:t>(</m:t>
        </m:r>
        <m:sSub>
          <m:e>
            <m:r>
              <m:t>f</m:t>
            </m:r>
          </m:e>
          <m:sub>
            <m:r>
              <m:t>t</m:t>
            </m:r>
          </m:sub>
        </m:sSub>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为正则化项，定义为：</w:t>
      </w:r>
    </w:p>
    <w:p>
      <w:pPr>
        <w:tabs>
          <w:tab w:pos="8617" w:val="right"/>
        </w:tabs>
        <w:spacing w:line="312" w:lineRule="auto" w:before="0" w:after="0"/>
        <w:ind w:firstLine="0"/>
        <w:jc w:val="center"/>
      </w:pPr>
      <m:oMathPara>
        <m:oMathParaPr>
          <m:jc m:val="center"/>
        </m:oMathParaPr>
        <m:oMath>
          <m:r>
            <m:rPr>
              <m:sty m:val="p"/>
            </m:rPr>
            <m:t>Ω</m:t>
          </m:r>
          <m:r>
            <m:rPr>
              <m:sty m:val="p"/>
            </m:rPr>
            <m:t>(</m:t>
          </m:r>
          <m:sSub>
            <m:e>
              <m:r>
                <m:t>f</m:t>
              </m:r>
            </m:e>
            <m:sub>
              <m:r>
                <m:t>t</m:t>
              </m:r>
            </m:sub>
          </m:sSub>
          <m:r>
            <m:rPr>
              <m:sty m:val="p"/>
            </m:rPr>
            <m:t>)</m:t>
          </m:r>
          <m:r>
            <m:rPr>
              <m:sty m:val="p"/>
            </m:rPr>
            <m:t>=</m:t>
          </m:r>
          <m:r>
            <m:t>γ</m:t>
          </m:r>
          <m:sSub>
            <m:e>
              <m:r>
                <m:t>T</m:t>
              </m:r>
            </m:e>
            <m:sub>
              <m:r>
                <m:rPr>
                  <m:nor/>
                  <m:sty m:val="p"/>
                </m:rPr>
                <m:t>leaf</m:t>
              </m:r>
            </m:sub>
          </m:sSub>
          <m:r>
            <m:rPr>
              <m:sty m:val="p"/>
            </m:rPr>
            <m:t>+</m:t>
          </m:r>
          <m:f>
            <m:fPr>
              <m:type m:val="bar"/>
            </m:fPr>
            <m:num>
              <m:r>
                <m:t>1</m:t>
              </m:r>
            </m:num>
            <m:den>
              <m:r>
                <m:t>2</m:t>
              </m:r>
            </m:den>
          </m:f>
          <m:r>
            <m:t>λ</m:t>
          </m:r>
          <m:nary>
            <m:naryPr>
              <m:chr m:val="∑"/>
              <m:limLoc m:val="undOvr"/>
              <m:subHide m:val="off"/>
              <m:supHide m:val="off"/>
            </m:naryPr>
            <m:sub>
              <m:r>
                <m:t>j</m:t>
              </m:r>
              <m:r>
                <m:rPr>
                  <m:sty m:val="p"/>
                </m:rPr>
                <m:t>=</m:t>
              </m:r>
              <m:r>
                <m:t>1</m:t>
              </m:r>
            </m:sub>
            <m:sup>
              <m:sSub>
                <m:e>
                  <m:r>
                    <m:t>T</m:t>
                  </m:r>
                </m:e>
                <m:sub>
                  <m:r>
                    <m:rPr>
                      <m:nor/>
                      <m:sty m:val="p"/>
                    </m:rPr>
                    <m:t>leaf</m:t>
                  </m:r>
                </m:sub>
              </m:sSub>
            </m:sup>
            <m:e>
              <m:sSubSup>
                <m:e>
                  <m:r>
                    <m:t>w</m:t>
                  </m:r>
                </m:e>
                <m:sub>
                  <m:r>
                    <m:t>j</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rPr>
                <m:nor/>
                <m:sty m:val="p"/>
              </m:rPr>
              <m:t>leaf</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为树的叶节点数，</w:t>
      </w:r>
      <m:oMath>
        <m:sSub>
          <m:e>
            <m:r>
              <m:t>w</m:t>
            </m:r>
          </m:e>
          <m:sub>
            <m:r>
              <m:t>j</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为第</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个叶节点的预测权重，</w:t>
      </w:r>
      <m:oMath>
        <m:r>
          <m:t>γ</m:t>
        </m:r>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分别控制树的复杂度惩罚和叶节点权重的</w:t>
      </w:r>
      <w:r>
        <w:rPr>
          <w:rFonts w:ascii="Times New Roman" w:hAnsi="Times New Roman" w:eastAsia="宋体"/>
          <w:b w:val="0"/>
          <w:sz w:val="21"/>
        </w:rPr>
        <w:t xml:space="preserve"> </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 xml:space="preserve">能够高效求解每一轮的最优树结构和叶节点权重，同时正则化项有效抑制了过拟合。</w:t>
      </w:r>
    </w:p>
    <w:p>
      <w:pPr>
        <w:spacing w:line="312" w:lineRule="auto" w:before="0" w:after="0"/>
        <w:ind w:firstLine="420"/>
        <w:jc w:val="both"/>
      </w:pPr>
      <w:r>
        <w:rPr>
          <w:rFonts w:hint="eastAsia" w:ascii="Times New Roman" w:hAnsi="Times New Roman" w:eastAsia="宋体"/>
          <w:b w:val="0"/>
          <w:sz w:val="21"/>
        </w:rPr>
        <w:t xml:space="preserve">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的序贯拟合通道往往更适合刻画复杂非线性结构，这里将其作为观察财政补贴局部趋势的主要树模型。对</w:t>
      </w:r>
      <w:r>
        <w:rPr>
          <w:rFonts w:ascii="Times New Roman" w:hAnsi="Times New Roman" w:eastAsia="宋体"/>
          <w:b w:val="0"/>
          <w:sz w:val="21"/>
        </w:rPr>
        <w:t xml:space="preserve"> XGBoost </w:t>
      </w:r>
      <w:r>
        <w:rPr>
          <w:rFonts w:hint="eastAsia" w:ascii="Times New Roman" w:hAnsi="Times New Roman" w:eastAsia="宋体"/>
          <w:b w:val="0"/>
          <w:sz w:val="21"/>
        </w:rPr>
        <w:t xml:space="preserve">的解读不再放在整体拟合优度谁更高，而是落在两个更贴近基准回归的议题上：一是</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在特征重要性中是否仍排在前列；二是财政补贴的部分依赖图（Partial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是否呈现总体上升的局部趋势。部分依赖图通过固定目标特征取值、对其余特征取样本均值来刻画单一变量的边际效应模式。若这两个条件大体成立，就说明在更灵活的模型中，财政补贴变量依旧保留较强信息含量，而且其整体方向判断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w:t>
      </w:r>
    </w:p>
    <w:bookmarkEnd w:id="38"/>
    <w:bookmarkEnd w:id="39"/>
    <w:bookmarkEnd w:id="40"/>
    <w:bookmarkStart w:id="42" w:name="第四章-实证分析"/>
    <w:p>
      <w:pPr>
        <w:pStyle w:val="1"/>
        <w:pageBreakBefore/>
        <w:spacing w:line="312" w:lineRule="auto" w:before="0" w:after="0"/>
        <w:ind w:firstLine="0"/>
        <w:jc w:val="center"/>
      </w:pPr>
      <w:bookmarkStart w:id="120" w:name="_TocAuto0016"/>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20"/>
    </w:p>
    <w:bookmarkStart w:id="43" w:name="描述性统计"/>
    <w:p>
      <w:pPr>
        <w:pStyle w:val="2"/>
        <w:spacing w:line="312" w:lineRule="auto" w:before="0" w:after="0"/>
        <w:ind w:firstLine="0"/>
        <w:jc w:val="left"/>
      </w:pPr>
      <w:bookmarkStart w:id="121" w:name="_TocAuto0017"/>
      <w:r>
        <w:rPr>
          <w:rFonts w:ascii="Times New Roman" w:hAnsi="Times New Roman" w:eastAsia="黑体"/>
          <w:b w:val="0"/>
          <w:sz w:val="28"/>
        </w:rPr>
        <w:t xml:space="preserve">4.1 </w:t>
      </w:r>
      <w:r>
        <w:rPr>
          <w:rFonts w:hint="eastAsia" w:ascii="Times New Roman" w:hAnsi="Times New Roman" w:eastAsia="黑体"/>
          <w:b w:val="0"/>
          <w:sz w:val="28"/>
        </w:rPr>
        <w:t xml:space="preserve">描述性统计</w:t>
      </w:r>
      <w:bookmarkEnd w:id="121"/>
    </w:p>
    <w:p>
      <w:pPr>
        <w:spacing w:line="312" w:lineRule="auto" w:before="0" w:after="0"/>
        <w:ind w:firstLine="420"/>
        <w:jc w:val="both"/>
      </w:pPr>
      <w:r>
        <w:rPr>
          <w:rFonts w:hint="eastAsia" w:ascii="Times New Roman" w:hAnsi="Times New Roman" w:eastAsia="宋体"/>
          <w:b w:val="0"/>
          <w:sz w:val="21"/>
        </w:rPr>
        <w:t xml:space="preserve">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3155799"/>
            <wp:effectExtent b="0" l="0" r="0" t="0"/>
            <wp:docPr descr="" title="" id="4" name="Picture"/>
            <a:graphic>
              <a:graphicData uri="http://schemas.openxmlformats.org/drawingml/2006/picture">
                <pic:pic>
                  <pic:nvPicPr>
                    <pic:cNvPr descr="generated_tables/table_02.png" id="4" name="Picture"/>
                    <pic:cNvPicPr>
                      <a:picLocks noChangeArrowheads="1" noChangeAspect="1"/>
                    </pic:cNvPicPr>
                  </pic:nvPicPr>
                  <pic:blipFill>
                    <a:blip r:embed="rId26"/>
                    <a:stretch>
                      <a:fillRect/>
                    </a:stretch>
                  </pic:blipFill>
                  <pic:spPr bwMode="auto">
                    <a:xfrm>
                      <a:off x="0" y="0"/>
                      <a:ext cx="5579999" cy="3155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2" w:name="_TocAuto0018"/>
      <w:r>
        <w:rPr>
          <w:rFonts w:ascii="Times New Roman" w:hAnsi="Times New Roman" w:eastAsia="黑体"/>
          <w:b w:val="0"/>
          <w:sz w:val="28"/>
        </w:rPr>
        <w:t xml:space="preserve">4.2 </w:t>
      </w:r>
      <w:r>
        <w:rPr>
          <w:rFonts w:hint="eastAsia" w:ascii="Times New Roman" w:hAnsi="Times New Roman" w:eastAsia="黑体"/>
          <w:b w:val="0"/>
          <w:sz w:val="28"/>
        </w:rPr>
        <w:t xml:space="preserve">相关性分析</w:t>
      </w:r>
      <w:bookmarkEnd w:id="122"/>
    </w:p>
    <w:p>
      <w:pPr>
        <w:spacing w:line="312" w:lineRule="auto" w:before="0" w:after="0"/>
        <w:ind w:firstLine="420"/>
        <w:jc w:val="both"/>
      </w:pPr>
      <w:r>
        <w:rPr>
          <w:rFonts w:hint="eastAsia" w:ascii="Times New Roman" w:hAnsi="Times New Roman" w:eastAsia="宋体"/>
          <w:b w:val="0"/>
          <w:sz w:val="21"/>
        </w:rPr>
        <w:t xml:space="preserve">在实施基准回归之前，先对主要解释变量推进皮尔逊相关性讨论和方差膨胀因子（VIF）检验，以排除多重共线性干扰。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5" name="Picture"/>
            <a:graphic>
              <a:graphicData uri="http://schemas.openxmlformats.org/drawingml/2006/picture">
                <pic:pic>
                  <pic:nvPicPr>
                    <pic:cNvPr descr="generated_tables/table_03.png" id="5" name="Picture"/>
                    <pic:cNvPicPr>
                      <a:picLocks noChangeArrowheads="1" noChangeAspect="1"/>
                    </pic:cNvPicPr>
                  </pic:nvPicPr>
                  <pic:blipFill>
                    <a:blip r:embed="rId27"/>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之间的0.4563，其余变量两两相关系数整体不高，未显示出严重共线性命题。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6" name="Picture"/>
            <a:graphic>
              <a:graphicData uri="http://schemas.openxmlformats.org/drawingml/2006/picture">
                <pic:pic>
                  <pic:nvPicPr>
                    <pic:cNvPr descr="generated_tables/table_04.png" id="6" name="Picture"/>
                    <pic:cNvPicPr>
                      <a:picLocks noChangeArrowheads="1" noChangeAspect="1"/>
                    </pic:cNvPicPr>
                  </pic:nvPicPr>
                  <pic:blipFill>
                    <a:blip r:embed="rId28"/>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0.001），这意味着若继续沿用常规标准误，推断容易失真。基于这一点，后文的基准回归、选择偏差校正、中介检验、稳健性检验和异质性梳理统一采用公司层面的聚类稳健标准误。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w:t>
      </w:r>
    </w:p>
    <w:p>
      <w:pPr>
        <w:spacing w:line="312" w:lineRule="auto" w:before="0" w:after="0"/>
        <w:ind w:firstLine="420"/>
        <w:jc w:val="both"/>
      </w:pPr>
      <w:r>
        <w:rPr>
          <w:rFonts w:hint="eastAsia" w:ascii="Times New Roman" w:hAnsi="Times New Roman" w:eastAsia="宋体"/>
          <w:b w:val="0"/>
          <w:sz w:val="21"/>
        </w:rPr>
        <w:t xml:space="preserve">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作为由四项治理特征提取出的经验性综合口径，用来压缩多个底层特征，但其潜变量结构仍偏弱，因此相关证据始终只作审慎解读。</w:t>
      </w:r>
    </w:p>
    <w:p>
      <w:pPr>
        <w:spacing w:line="312" w:lineRule="auto" w:before="0" w:after="0"/>
        <w:ind w:firstLine="420"/>
        <w:jc w:val="both"/>
      </w:pPr>
      <w:r>
        <w:rPr>
          <w:rFonts w:hint="eastAsia" w:ascii="Times New Roman" w:hAnsi="Times New Roman" w:eastAsia="宋体"/>
          <w:b w:val="0"/>
          <w:sz w:val="21"/>
        </w:rPr>
        <w:t xml:space="preserve">综合以上相关性和VIF估计，可以为后续回归的设定选择提供三点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也进一步支持了本文将基准回归限定在正补助样本、以对数形式刻画补贴强度的设计选择。</w:t>
      </w:r>
    </w:p>
    <w:bookmarkEnd w:id="42"/>
    <w:bookmarkStart w:id="45" w:name="基准回归分析"/>
    <w:p>
      <w:pPr>
        <w:pStyle w:val="2"/>
        <w:spacing w:line="312" w:lineRule="auto" w:before="0" w:after="0"/>
        <w:ind w:firstLine="0"/>
        <w:jc w:val="left"/>
      </w:pPr>
      <w:bookmarkStart w:id="123" w:name="_TocAuto0019"/>
      <w:r>
        <w:rPr>
          <w:rFonts w:ascii="Times New Roman" w:hAnsi="Times New Roman" w:eastAsia="黑体"/>
          <w:b w:val="0"/>
          <w:sz w:val="28"/>
        </w:rPr>
        <w:t xml:space="preserve">4.3 </w:t>
      </w:r>
      <w:r>
        <w:rPr>
          <w:rFonts w:hint="eastAsia" w:ascii="Times New Roman" w:hAnsi="Times New Roman" w:eastAsia="黑体"/>
          <w:b w:val="0"/>
          <w:sz w:val="28"/>
        </w:rPr>
        <w:t xml:space="preserve">基准回归分析</w:t>
      </w:r>
      <w:bookmarkEnd w:id="123"/>
    </w:p>
    <w:bookmarkStart w:id="46" w:name="基准薪酬模型估计"/>
    <w:p>
      <w:pPr>
        <w:pStyle w:val="31"/>
        <w:spacing w:line="312" w:lineRule="auto" w:before="0" w:after="0"/>
        <w:ind w:firstLine="420"/>
        <w:jc w:val="left"/>
      </w:pPr>
      <w:r>
        <w:rPr>
          <w:rFonts w:ascii="Times New Roman" w:hAnsi="Times New Roman" w:eastAsia="宋体"/>
          <w:b w:val="0"/>
          <w:sz w:val="24"/>
        </w:rPr>
        <w:t xml:space="preserve">4.3.1 </w:t>
      </w:r>
      <w:r>
        <w:rPr>
          <w:rFonts w:hint="eastAsia" w:ascii="Times New Roman" w:hAnsi="Times New Roman" w:eastAsia="宋体"/>
          <w:b w:val="0"/>
          <w:sz w:val="24"/>
        </w:rPr>
        <w:t xml:space="preserve">基准薪酬模型估计</w:t>
      </w:r>
    </w:p>
    <w:p>
      <w:pPr>
        <w:spacing w:line="312" w:lineRule="auto" w:before="0" w:after="0"/>
        <w:ind w:firstLine="420"/>
        <w:jc w:val="both"/>
      </w:pPr>
      <w:r>
        <w:rPr>
          <w:rFonts w:hint="eastAsia" w:ascii="Times New Roman" w:hAnsi="Times New Roman" w:eastAsia="宋体"/>
          <w:b w:val="0"/>
          <w:sz w:val="21"/>
        </w:rPr>
        <w:t xml:space="preserve">表4-4报告了方程（3）的估计结论，这是构造超额薪酬变量的基础。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基准薪酬模型估计结果（模型1）</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597799"/>
            <wp:effectExtent b="0" l="0" r="0" t="0"/>
            <wp:docPr descr="" title="" id="7" name="Picture"/>
            <a:graphic>
              <a:graphicData uri="http://schemas.openxmlformats.org/drawingml/2006/picture">
                <pic:pic>
                  <pic:nvPicPr>
                    <pic:cNvPr descr="generated_tables/table_05.png" id="7" name="Picture"/>
                    <pic:cNvPicPr>
                      <a:picLocks noChangeArrowheads="1" noChangeAspect="1"/>
                    </pic:cNvPicPr>
                  </pic:nvPicPr>
                  <pic:blipFill>
                    <a:blip r:embed="rId29"/>
                    <a:stretch>
                      <a:fillRect/>
                    </a:stretch>
                  </pic:blipFill>
                  <pic:spPr bwMode="auto">
                    <a:xfrm>
                      <a:off x="0" y="0"/>
                      <a:ext cx="5579999" cy="259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表示在1%的统计层面上显著。该模型用于估计正常薪酬基准，其残差直接定义为超额薪酬</w:t>
      </w:r>
      <w:r>
        <w:rPr>
          <w:rFonts w:ascii="Times New Roman" w:hAnsi="Times New Roman" w:eastAsia="宋体"/>
          <w:b w:val="0"/>
          <w:sz w:val="21"/>
        </w:rPr>
        <w:t xml:space="preserve"> Overpay。</w:t>
      </w:r>
    </w:p>
    <w:p>
      <w:pPr>
        <w:spacing w:line="312" w:lineRule="auto" w:before="0" w:after="0"/>
        <w:ind w:firstLine="420"/>
        <w:jc w:val="both"/>
      </w:pPr>
      <w:r>
        <w:rPr>
          <w:rFonts w:hint="eastAsia" w:ascii="Times New Roman" w:hAnsi="Times New Roman" w:eastAsia="宋体"/>
          <w:b w:val="0"/>
          <w:sz w:val="21"/>
        </w:rPr>
        <w:t xml:space="preserve">估计显示，企业规模（</w:t>
      </w:r>
      <m:oMath>
        <m:r>
          <m:rPr>
            <m:sty m:val="p"/>
          </m:rPr>
          <m:t>ln</m:t>
        </m:r>
        <m:r>
          <m:rPr>
            <m:nor/>
            <m:sty m:val="p"/>
          </m:rPr>
          <m:t>Sale</m:t>
        </m:r>
      </m:oMath>
      <w:r>
        <w:rPr>
          <w:rFonts w:hint="eastAsia" w:ascii="Times New Roman" w:hAnsi="Times New Roman" w:eastAsia="宋体"/>
          <w:b w:val="0"/>
          <w:sz w:val="21"/>
        </w:rPr>
        <w:t xml:space="preserve">）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pPr>
        <w:spacing w:line="312" w:lineRule="auto" w:before="0" w:after="0"/>
        <w:ind w:firstLine="420"/>
        <w:jc w:val="both"/>
      </w:pPr>
      <w:r>
        <w:rPr>
          <w:rFonts w:hint="eastAsia" w:ascii="Times New Roman" w:hAnsi="Times New Roman" w:eastAsia="宋体"/>
          <w:b w:val="0"/>
          <w:sz w:val="21"/>
        </w:rPr>
        <w:t xml:space="preserve">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为0.5113，F统计量为1316.28，并在1%的统计层面上显著；其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处于同类实证检验的常见区间，可作为后续提取超额薪酬残差的经验基准。</w:t>
      </w:r>
    </w:p>
    <w:bookmarkEnd w:id="43"/>
    <w:bookmarkStart w:id="47" w:name="基准回归结果"/>
    <w:p>
      <w:pPr>
        <w:pStyle w:val="31"/>
        <w:spacing w:line="312" w:lineRule="auto" w:before="0" w:after="0"/>
        <w:ind w:firstLine="420"/>
        <w:jc w:val="left"/>
      </w:pPr>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p>
    <w:p>
      <w:pPr>
        <w:spacing w:line="312" w:lineRule="auto" w:before="0" w:after="0"/>
        <w:ind w:firstLine="420"/>
        <w:jc w:val="both"/>
      </w:pPr>
      <w:r>
        <w:rPr>
          <w:rFonts w:hint="eastAsia" w:ascii="Times New Roman" w:hAnsi="Times New Roman" w:eastAsia="宋体"/>
          <w:b w:val="0"/>
          <w:sz w:val="21"/>
        </w:rPr>
        <w:t xml:space="preserve">在获得超额薪酬（Overpay）变量后，基于式（4）实施</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不同，新的基准回归只保留“上一年已获得财政补贴”的公司年度，并以滞后一期正补助对数刻画补贴强度。回归证据如表4-5所示。所有估计均控制公司固定效应与年份固定效应，同时采用公司层面聚类稳健标准误，以缓解异方差与序列相关疑问。由于基准回归并不要求管理层权力指标完整，因此其样本量高于后续中介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8" name="Picture"/>
            <a:graphic>
              <a:graphicData uri="http://schemas.openxmlformats.org/drawingml/2006/picture">
                <pic:pic>
                  <pic:nvPicPr>
                    <pic:cNvPr descr="generated_tables/table_06.png" id="8" name="Picture"/>
                    <pic:cNvPicPr>
                      <a:picLocks noChangeArrowheads="1" noChangeAspect="1"/>
                    </pic:cNvPicPr>
                  </pic:nvPicPr>
                  <pic:blipFill>
                    <a:blip r:embed="rId30"/>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统计量为62.3646（p</w:t>
      </w:r>
      <w:r>
        <w:rPr>
          <w:rFonts w:ascii="Times New Roman" w:hAnsi="Times New Roman" w:eastAsia="宋体"/>
          <w:b w:val="0"/>
          <w:sz w:val="21"/>
        </w:rPr>
        <w:t xml:space="preserve"> &lt; </w:t>
      </w:r>
      <w:r>
        <w:rPr>
          <w:rFonts w:hint="eastAsia" w:ascii="Times New Roman" w:hAnsi="Times New Roman" w:eastAsia="宋体"/>
          <w:b w:val="0"/>
          <w:sz w:val="21"/>
        </w:rPr>
        <w:t xml:space="preserve">0.001）。</w:t>
      </w:r>
    </w:p>
    <w:p>
      <w:pPr>
        <w:spacing w:line="312" w:lineRule="auto" w:before="0" w:after="0"/>
        <w:ind w:firstLine="420"/>
        <w:jc w:val="both"/>
      </w:pPr>
      <w:r>
        <w:rPr>
          <w:rFonts w:hint="eastAsia" w:ascii="Times New Roman" w:hAnsi="Times New Roman" w:eastAsia="宋体"/>
          <w:b w:val="0"/>
          <w:sz w:val="21"/>
        </w:rPr>
        <w:t xml:space="preserve">表4-5显示，滞后一期财政补贴强度（lnSubsidy_pos_l1）的回归系数为0.0094，标准误为0.0033，T值为2.8007，P值为0.0051，在1%的统计层面上显著为正。这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pPr>
        <w:spacing w:line="312" w:lineRule="auto" w:before="0" w:after="0"/>
        <w:ind w:firstLine="420"/>
        <w:jc w:val="both"/>
      </w:pPr>
      <w:r>
        <w:rPr>
          <w:rFonts w:hint="eastAsia" w:ascii="Times New Roman" w:hAnsi="Times New Roman" w:eastAsia="宋体"/>
          <w:b w:val="0"/>
          <w:sz w:val="21"/>
        </w:rPr>
        <w:t xml:space="preserve">控制变量方面，三个变量的系数方向均为负且统计显著，各自对应不同的治理约束安排。业绩（Roa）系数为−1.0014，在1%层面上显著为负。这里需要注意的是，Overpay本身已经通过第一阶段模型剥离了Roa对正常薪酬的正向贡献，因此模型2中Roa的负系数反映的是：在公司固定效应结构下，盈利表现的改善与超额薪酬残差的下降相伴随。一种可能的解释是，真实盈利改善提高了薪酬契约的信息质量，使得薪酬安排更贴近绩效基准，从而压缩了异常偏离。财务杠杆（Lever）系数为−0.1051，在1%层面上显著。负号意味着负债约束更强的企业，其高管超额薪酬倾向于更低，这与代理理论中债务对管理层自利行为的约束效应一致：更高的财务杠杆增加了债权人监督和财务压力，从而限制了管理层的薪酬攫取空间。第一大股东持股比例（Top1）系数为−0.0022，在1%层面上显著。负向联系提示，股权集中度越高，大股东对高管薪酬安排的监督越有效，这与我国上市公司治理结构中大股东发挥积极治理功能的经验观察一致。</w:t>
      </w:r>
    </w:p>
    <w:p>
      <w:pPr>
        <w:spacing w:line="312" w:lineRule="auto" w:before="0" w:after="0"/>
        <w:ind w:firstLine="420"/>
        <w:jc w:val="both"/>
      </w:pPr>
      <w:r>
        <w:rPr>
          <w:rFonts w:hint="eastAsia" w:ascii="Times New Roman" w:hAnsi="Times New Roman" w:eastAsia="宋体"/>
          <w:b w:val="0"/>
          <w:sz w:val="21"/>
        </w:rPr>
        <w:t xml:space="preserve">由于模型2要求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Overpay、滞后一期正补助和控制变量完整，样本量为43,417条，高于后续中介检验的统一样本。从经济规模看，Overpay</w:t>
      </w:r>
      <w:r>
        <w:rPr>
          <w:rFonts w:ascii="Times New Roman" w:hAnsi="Times New Roman" w:eastAsia="宋体"/>
          <w:b w:val="0"/>
          <w:sz w:val="21"/>
        </w:rPr>
        <w:t xml:space="preserve"> </w:t>
      </w:r>
      <w:r>
        <w:rPr>
          <w:rFonts w:hint="eastAsia" w:ascii="Times New Roman" w:hAnsi="Times New Roman" w:eastAsia="宋体"/>
          <w:b w:val="0"/>
          <w:sz w:val="21"/>
        </w:rPr>
        <w:t xml:space="preserve">的标准差为0.5840，基准系数0.0094意味着</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增加1个单位，对应约0.0160个标准差的残差变化，经济幅度并不夸张，但方向保持为正且达到常用显著性标准。这一幅度与财政补贴作为条件性政策冲击的属性相符：补贴并非企业主营收入来源，其对薪酬的边际推动通常弱于盈利表现和规模等核心驱动变量，但在制度约束不足的情境下仍可构成持续性的正向关联。</w:t>
      </w:r>
    </w:p>
    <w:p>
      <w:pPr>
        <w:spacing w:line="312" w:lineRule="auto" w:before="0" w:after="0"/>
        <w:ind w:firstLine="420"/>
        <w:jc w:val="both"/>
      </w:pPr>
      <w:r>
        <w:rPr>
          <w:rFonts w:hint="eastAsia" w:ascii="Times New Roman" w:hAnsi="Times New Roman" w:eastAsia="宋体"/>
          <w:b w:val="0"/>
          <w:sz w:val="21"/>
        </w:rPr>
        <w:t xml:space="preserve">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统计量为62.36，并在1%的统计层面上显著，说明控制变量与固定效应的联合设定是有效的。将固定效应收紧为“公司固定效应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0.013）。这里回答的是“已获补贴企业内部，补贴强度差异是否伴随超额薪酬差异”，不是“全部上市公司平均解释上的补贴效应”。相比旧的全样本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口径，这一定义把补贴的获得边际和强度边际拆开，更贴近本文的边界设定。据此，H1在新的基准回归口径下得到支持。模型2的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 xml:space="preserve">为0.0205，也属于残差型因变量配合双向固定效应时的常见程度。公司固定效应和年份固定效应已经吸收了大部分个体与年度差异，回归主要解释的是组内残差波动，因此</w:t>
      </w:r>
      <w:r>
        <w:rPr>
          <w:rFonts w:ascii="Times New Roman" w:hAnsi="Times New Roman" w:eastAsia="宋体"/>
          <w:b w:val="0"/>
          <w:sz w:val="21"/>
        </w:rPr>
        <w:t xml:space="preserve"> R² </w:t>
      </w:r>
      <w:r>
        <w:rPr>
          <w:rFonts w:hint="eastAsia" w:ascii="Times New Roman" w:hAnsi="Times New Roman" w:eastAsia="宋体"/>
          <w:b w:val="0"/>
          <w:sz w:val="21"/>
        </w:rPr>
        <w:t xml:space="preserve">偏低本身不构成议题。</w:t>
      </w:r>
    </w:p>
    <w:bookmarkEnd w:id="44"/>
    <w:bookmarkEnd w:id="45"/>
    <w:bookmarkStart w:id="48" w:name="内生性处理"/>
    <w:p>
      <w:pPr>
        <w:pStyle w:val="2"/>
        <w:spacing w:line="312" w:lineRule="auto" w:before="0" w:after="0"/>
        <w:ind w:firstLine="0"/>
        <w:jc w:val="left"/>
      </w:pPr>
      <w:bookmarkStart w:id="124" w:name="_TocAuto0020"/>
      <w:r>
        <w:rPr>
          <w:rFonts w:ascii="Times New Roman" w:hAnsi="Times New Roman" w:eastAsia="黑体"/>
          <w:b w:val="0"/>
          <w:sz w:val="28"/>
        </w:rPr>
        <w:t xml:space="preserve">4.4 </w:t>
      </w:r>
      <w:r>
        <w:rPr>
          <w:rFonts w:hint="eastAsia" w:ascii="Times New Roman" w:hAnsi="Times New Roman" w:eastAsia="黑体"/>
          <w:b w:val="0"/>
          <w:sz w:val="28"/>
        </w:rPr>
        <w:t xml:space="preserve">内生性处理</w:t>
      </w:r>
      <w:bookmarkEnd w:id="124"/>
    </w:p>
    <w:bookmarkStart w:id="49" w:name="内生性来源与识别局限"/>
    <w:p>
      <w:pPr>
        <w:pStyle w:val="31"/>
        <w:spacing w:line="312" w:lineRule="auto" w:before="0" w:after="0"/>
        <w:ind w:firstLine="420"/>
        <w:jc w:val="left"/>
      </w:pPr>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p>
    <w:p>
      <w:pPr>
        <w:spacing w:line="312" w:lineRule="auto" w:before="0" w:after="0"/>
        <w:ind w:firstLine="420"/>
        <w:jc w:val="both"/>
      </w:pPr>
      <w:r>
        <w:rPr>
          <w:rFonts w:hint="eastAsia" w:ascii="Times New Roman" w:hAnsi="Times New Roman" w:eastAsia="宋体"/>
          <w:b w:val="0"/>
          <w:sz w:val="21"/>
        </w:rPr>
        <w:t xml:space="preserve">在新的基准回归设计下，内生性来源主要集中在三个方面。第一类威胁是样本选择：基准回归只保留上一年已经拿到补贴的公司年度，因此“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pPr>
        <w:spacing w:line="312" w:lineRule="auto" w:before="0" w:after="0"/>
        <w:ind w:firstLine="420"/>
        <w:jc w:val="both"/>
      </w:pPr>
      <w:r>
        <w:rPr>
          <w:rFonts w:hint="eastAsia" w:ascii="Times New Roman" w:hAnsi="Times New Roman" w:eastAsia="宋体"/>
          <w:b w:val="0"/>
          <w:sz w:val="21"/>
        </w:rPr>
        <w:t xml:space="preserve">公司固定效应可以处理企业稳定不变的不可观测因素，年份固定效应可以吸收共同宏观冲击，而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两步法与事件动态检验两个角度观察这一基准回归的识别边界；传统留一法工具变量只作为补充诊断统一重跑，不再作为正文主表证据。</w:t>
      </w:r>
    </w:p>
    <w:p>
      <w:pPr>
        <w:spacing w:line="312" w:lineRule="auto" w:before="0" w:after="0"/>
        <w:ind w:firstLine="420"/>
        <w:jc w:val="both"/>
      </w:pPr>
      <w:r>
        <w:rPr>
          <w:rFonts w:hint="eastAsia" w:ascii="Times New Roman" w:hAnsi="Times New Roman" w:eastAsia="宋体"/>
          <w:b w:val="0"/>
          <w:sz w:val="21"/>
        </w:rPr>
        <w:t xml:space="preserve">据此，相关估计始终被理解为在多重识别设定下获得的条件相关证据，不将其上升为严格启示上的因果效应估计。</w:t>
      </w:r>
    </w:p>
    <w:bookmarkEnd w:id="46"/>
    <w:bookmarkStart w:id="50" w:name="选择偏差校正heckman-两步法"/>
    <w:p>
      <w:pPr>
        <w:pStyle w:val="31"/>
        <w:spacing w:line="312" w:lineRule="auto" w:before="0" w:after="0"/>
        <w:ind w:firstLine="420"/>
        <w:jc w:val="left"/>
      </w:pPr>
      <w:r>
        <w:rPr>
          <w:rFonts w:ascii="Times New Roman" w:hAnsi="Times New Roman" w:eastAsia="宋体"/>
          <w:b w:val="0"/>
          <w:sz w:val="24"/>
        </w:rPr>
        <w:t xml:space="preserve">4.4.2 </w:t>
      </w:r>
      <w:r>
        <w:rPr>
          <w:rFonts w:hint="eastAsia" w:ascii="Times New Roman" w:hAnsi="Times New Roman" w:eastAsia="宋体"/>
          <w:b w:val="0"/>
          <w:sz w:val="24"/>
        </w:rPr>
        <w:t xml:space="preserve">选择偏差校正（Heckman</w:t>
      </w:r>
      <w:r>
        <w:rPr>
          <w:rFonts w:ascii="Times New Roman" w:hAnsi="Times New Roman" w:eastAsia="宋体"/>
          <w:b w:val="0"/>
          <w:sz w:val="24"/>
        </w:rPr>
        <w:t xml:space="preserve"> </w:t>
      </w:r>
      <w:r>
        <w:rPr>
          <w:rFonts w:hint="eastAsia" w:ascii="Times New Roman" w:hAnsi="Times New Roman" w:eastAsia="宋体"/>
          <w:b w:val="0"/>
          <w:sz w:val="24"/>
        </w:rPr>
        <w:t xml:space="preserve">两步法）</w:t>
      </w:r>
    </w:p>
    <w:p>
      <w:pPr>
        <w:spacing w:line="312" w:lineRule="auto" w:before="0" w:after="0"/>
        <w:ind w:firstLine="420"/>
        <w:jc w:val="both"/>
      </w:pPr>
      <w:r>
        <w:rPr>
          <w:rFonts w:hint="eastAsia" w:ascii="Times New Roman" w:hAnsi="Times New Roman" w:eastAsia="宋体"/>
          <w:b w:val="0"/>
          <w:sz w:val="21"/>
        </w:rPr>
        <w:t xml:space="preserve">由于基准回归只在已获补贴样本内估计，更直接的内生性疑问首先来自样本选择。与传统留一法工具变量相比，Heckman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Heckman </w:t>
      </w:r>
      <w:r>
        <w:rPr>
          <w:rFonts w:hint="eastAsia" w:ascii="Times New Roman" w:hAnsi="Times New Roman" w:eastAsia="宋体"/>
          <w:b/>
          <w:sz w:val="18"/>
        </w:rPr>
        <w:t xml:space="preserve">两步法结果（基准回归口径）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756399"/>
            <wp:effectExtent b="0" l="0" r="0" t="0"/>
            <wp:docPr descr="" title="" id="9" name="Picture"/>
            <a:graphic>
              <a:graphicData uri="http://schemas.openxmlformats.org/drawingml/2006/picture">
                <pic:pic>
                  <pic:nvPicPr>
                    <pic:cNvPr descr="generated_tables/table_07.png" id="9" name="Picture"/>
                    <pic:cNvPicPr>
                      <a:picLocks noChangeArrowheads="1" noChangeAspect="1"/>
                    </pic:cNvPicPr>
                  </pic:nvPicPr>
                  <pic:blipFill>
                    <a:blip r:embed="rId31"/>
                    <a:stretch>
                      <a:fillRect/>
                    </a:stretch>
                  </pic:blipFill>
                  <pic:spPr bwMode="auto">
                    <a:xfrm>
                      <a:off x="0" y="0"/>
                      <a:ext cx="5579999" cy="756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 xml:space="preserve">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 xml:space="preserve">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 xml:space="preserve">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综合来看，新的基准回归更适合作为经过选择偏差校正后的稳定条件相关证据来解读，不把它写成已经被稳健识别的强因果效应。</w:t>
      </w:r>
    </w:p>
    <w:bookmarkEnd w:id="47"/>
    <w:bookmarkStart w:id="51" w:name="事件研究式动态检验"/>
    <w:p>
      <w:pPr>
        <w:pStyle w:val="31"/>
        <w:spacing w:line="312" w:lineRule="auto" w:before="0" w:after="0"/>
        <w:ind w:firstLine="420"/>
        <w:jc w:val="left"/>
      </w:pPr>
      <w:r>
        <w:rPr>
          <w:rFonts w:ascii="Times New Roman" w:hAnsi="Times New Roman" w:eastAsia="宋体"/>
          <w:b w:val="0"/>
          <w:sz w:val="24"/>
        </w:rPr>
        <w:t xml:space="preserve">4.4.3 </w:t>
      </w:r>
      <w:r>
        <w:rPr>
          <w:rFonts w:hint="eastAsia" w:ascii="Times New Roman" w:hAnsi="Times New Roman" w:eastAsia="宋体"/>
          <w:b w:val="0"/>
          <w:sz w:val="24"/>
        </w:rPr>
        <w:t xml:space="preserve">事件研究式动态检验</w:t>
      </w:r>
    </w:p>
    <w:p>
      <w:pPr>
        <w:spacing w:line="312" w:lineRule="auto" w:before="0" w:after="0"/>
        <w:ind w:firstLine="420"/>
        <w:jc w:val="both"/>
      </w:pPr>
      <w:r>
        <w:rPr>
          <w:rFonts w:hint="eastAsia" w:ascii="Times New Roman" w:hAnsi="Times New Roman" w:eastAsia="宋体"/>
          <w:b w:val="0"/>
          <w:sz w:val="21"/>
        </w:rPr>
        <w:t xml:space="preserve">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并考察事件发生前后超额薪酬的动态变化。当前阈值对应正补助样本的上四分位数，约为3,497.88万元；识别到的处理企业为2,237家，纳入动态检验的样本量为43,417条。</w:t>
      </w:r>
    </w:p>
    <w:p>
      <w:pPr>
        <w:spacing w:line="312" w:lineRule="auto" w:before="0" w:after="0"/>
        <w:ind w:firstLine="420"/>
        <w:jc w:val="both"/>
      </w:pPr>
      <w:r>
        <w:rPr>
          <w:rFonts w:hint="eastAsia" w:ascii="Times New Roman" w:hAnsi="Times New Roman" w:eastAsia="宋体"/>
          <w:b w:val="0"/>
          <w:sz w:val="21"/>
        </w:rPr>
        <w:t xml:space="preserve">动态检验的各期系数和显著性汇总于表4-7。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事件研究式动态检验结果</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10" name="Picture"/>
            <a:graphic>
              <a:graphicData uri="http://schemas.openxmlformats.org/drawingml/2006/picture">
                <pic:pic>
                  <pic:nvPicPr>
                    <pic:cNvPr descr="generated_tables/table_08.png" id="10" name="Picture"/>
                    <pic:cNvPicPr>
                      <a:picLocks noChangeArrowheads="1" noChangeAspect="1"/>
                    </pic:cNvPicPr>
                  </pic:nvPicPr>
                  <pic:blipFill>
                    <a:blip r:embed="rId32"/>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以及公司和年份固定效应，标准误为公司层面聚类稳健标准误。事件前各期系数未达到常用显著性标准，此处以”—“标示系数值，仅报告其整体不显著的判断。</w:t>
      </w:r>
    </w:p>
    <w:p>
      <w:pPr>
        <w:spacing w:line="312" w:lineRule="auto" w:before="0" w:after="0"/>
        <w:ind w:firstLine="420"/>
        <w:jc w:val="both"/>
      </w:pPr>
      <w:r>
        <w:rPr>
          <w:rFonts w:hint="eastAsia" w:ascii="Times New Roman" w:hAnsi="Times New Roman" w:eastAsia="宋体"/>
          <w:b w:val="0"/>
          <w:sz w:val="21"/>
        </w:rPr>
        <w:t xml:space="preserve">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和表4-8中的更严格固定效应估计，可以认为当前基准回归并非完全由样本选择或显著预趋势所驱动。这组证据主要用于收紧识别边界，不直接解释为无条件的强因果估计。上四分位数阈值用于识别“补贴强度明显跃升”的时点；后续可考察替代阈值（如中位数或上十分位数）下动态检验结论的敏感性。</w:t>
      </w:r>
    </w:p>
    <w:bookmarkEnd w:id="48"/>
    <w:bookmarkStart w:id="52" w:name="内生性处理小结"/>
    <w:p>
      <w:pPr>
        <w:pStyle w:val="31"/>
        <w:spacing w:line="312" w:lineRule="auto" w:before="0" w:after="0"/>
        <w:ind w:firstLine="420"/>
        <w:jc w:val="left"/>
      </w:pPr>
      <w:r>
        <w:rPr>
          <w:rFonts w:ascii="Times New Roman" w:hAnsi="Times New Roman" w:eastAsia="宋体"/>
          <w:b w:val="0"/>
          <w:sz w:val="24"/>
        </w:rPr>
        <w:t xml:space="preserve">4.4.4 </w:t>
      </w:r>
      <w:r>
        <w:rPr>
          <w:rFonts w:hint="eastAsia" w:ascii="Times New Roman" w:hAnsi="Times New Roman" w:eastAsia="宋体"/>
          <w:b w:val="0"/>
          <w:sz w:val="24"/>
        </w:rPr>
        <w:t xml:space="preserve">内生性处理小结</w:t>
      </w:r>
    </w:p>
    <w:p>
      <w:pPr>
        <w:spacing w:line="312" w:lineRule="auto" w:before="0" w:after="0"/>
        <w:ind w:firstLine="420"/>
        <w:jc w:val="both"/>
      </w:pPr>
      <w:r>
        <w:rPr>
          <w:rFonts w:hint="eastAsia" w:ascii="Times New Roman" w:hAnsi="Times New Roman" w:eastAsia="宋体"/>
          <w:b w:val="0"/>
          <w:sz w:val="21"/>
        </w:rPr>
        <w:t xml:space="preserve">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而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pPr>
        <w:spacing w:line="312" w:lineRule="auto" w:before="0" w:after="0"/>
        <w:ind w:firstLine="420"/>
        <w:jc w:val="both"/>
      </w:pPr>
      <w:r>
        <w:rPr>
          <w:rFonts w:hint="eastAsia" w:ascii="Times New Roman" w:hAnsi="Times New Roman" w:eastAsia="宋体"/>
          <w:b w:val="0"/>
          <w:sz w:val="21"/>
        </w:rPr>
        <w:t xml:space="preserve">三类检验从选择偏差、时间先后和遗漏变量三个方向收紧了识别边界，共同支持基准回归结论的稳健性。但由于缺乏完全外生的政策冲击，正文仍将这些证据整体定位为较稳健的条件相关，而非严格含义上的因果效应。</w:t>
      </w:r>
    </w:p>
    <w:bookmarkEnd w:id="49"/>
    <w:bookmarkEnd w:id="50"/>
    <w:bookmarkStart w:id="53" w:name="稳健性检验"/>
    <w:p>
      <w:pPr>
        <w:pStyle w:val="2"/>
        <w:spacing w:line="312" w:lineRule="auto" w:before="0" w:after="0"/>
        <w:ind w:firstLine="0"/>
        <w:jc w:val="left"/>
      </w:pPr>
      <w:bookmarkStart w:id="125" w:name="_TocAuto0021"/>
      <w:r>
        <w:rPr>
          <w:rFonts w:ascii="Times New Roman" w:hAnsi="Times New Roman" w:eastAsia="黑体"/>
          <w:b w:val="0"/>
          <w:sz w:val="28"/>
        </w:rPr>
        <w:t xml:space="preserve">4.5 </w:t>
      </w:r>
      <w:r>
        <w:rPr>
          <w:rFonts w:hint="eastAsia" w:ascii="Times New Roman" w:hAnsi="Times New Roman" w:eastAsia="黑体"/>
          <w:b w:val="0"/>
          <w:sz w:val="28"/>
        </w:rPr>
        <w:t xml:space="preserve">稳健性检验</w:t>
      </w:r>
      <w:bookmarkEnd w:id="125"/>
    </w:p>
    <w:p>
      <w:pPr>
        <w:spacing w:line="312" w:lineRule="auto" w:before="0" w:after="0"/>
        <w:ind w:firstLine="420"/>
        <w:jc w:val="both"/>
      </w:pPr>
      <w:r>
        <w:rPr>
          <w:rFonts w:hint="eastAsia" w:ascii="Times New Roman" w:hAnsi="Times New Roman" w:eastAsia="宋体"/>
          <w:b w:val="0"/>
          <w:sz w:val="21"/>
        </w:rPr>
        <w:t xml:space="preserve">在确认基准回归通过了内生性处理的初步检验后，接下来从四个维度展开扰动检验，逐步放松或收紧基准回归的各项设定条件，以验证结论的稳健性。四项检验的逻辑递进关系如下：首先替换被解释变量，检验结论是否依赖于Overpay残差的特定构造方式；其次缩小样本期，排除早期数据质量差异的潜在干扰；再次仅保留制造业，检验结论在单一行业内部是否仍然成立；最后引入更严格的行业×年份固定效应，检验行业景气共振是否构成遗漏变量。相关检验汇总于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667799"/>
            <wp:effectExtent b="0" l="0" r="0" t="0"/>
            <wp:docPr descr="" title="" id="11" name="Picture"/>
            <a:graphic>
              <a:graphicData uri="http://schemas.openxmlformats.org/drawingml/2006/picture">
                <pic:pic>
                  <pic:nvPicPr>
                    <pic:cNvPr descr="generated_tables/table_09.png" id="11" name="Picture"/>
                    <pic:cNvPicPr>
                      <a:picLocks noChangeArrowheads="1" noChangeAspect="1"/>
                    </pic:cNvPicPr>
                  </pic:nvPicPr>
                  <pic:blipFill>
                    <a:blip r:embed="rId33"/>
                    <a:stretch>
                      <a:fillRect/>
                    </a:stretch>
                  </pic:blipFill>
                  <pic:spPr bwMode="auto">
                    <a:xfrm>
                      <a:off x="0" y="0"/>
                      <a:ext cx="5579999" cy="166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bookmarkStart w:id="54" w:name="替换被解释变量"/>
    <w:p>
      <w:pPr>
        <w:pStyle w:val="31"/>
        <w:spacing w:line="312" w:lineRule="auto" w:before="0" w:after="0"/>
        <w:ind w:firstLine="420"/>
        <w:jc w:val="left"/>
      </w:pPr>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将被解释变量由超额薪酬（Overpay）替换为高管前三名薪酬总额对数后，补贴系数为0.0331，并在1%的统计层面上显著为正。这意味着在已获补贴企业内部，补贴强度与薪酬总额口径之间也存在显著正向关系。</w:t>
      </w:r>
    </w:p>
    <w:p>
      <w:pPr>
        <w:spacing w:line="312" w:lineRule="auto" w:before="0" w:after="0"/>
        <w:ind w:firstLine="420"/>
        <w:jc w:val="both"/>
      </w:pPr>
      <w:r>
        <w:rPr>
          <w:rFonts w:hint="eastAsia" w:ascii="Times New Roman" w:hAnsi="Times New Roman" w:eastAsia="宋体"/>
          <w:b w:val="0"/>
          <w:sz w:val="21"/>
        </w:rPr>
        <w:t xml:space="preserve">将因变量进一步处理为剔除正常部分后的超额薪酬残差后，系数幅度下降，但方向和显著性仍然保留。因此，主结论并不完全依赖某一种薪酬度量方式。</w:t>
      </w:r>
    </w:p>
    <w:bookmarkEnd w:id="51"/>
    <w:bookmarkStart w:id="55" w:name="缩小样本期"/>
    <w:p>
      <w:pPr>
        <w:pStyle w:val="31"/>
        <w:spacing w:line="312" w:lineRule="auto" w:before="0" w:after="0"/>
        <w:ind w:firstLine="420"/>
        <w:jc w:val="left"/>
      </w:pPr>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将样本期限缩至2010—2020年后，补贴系数为0.0120，并在1%的统计层面上显著为正。这说明基准估计并非完全依赖样本早期年份，缩短时间窗口后，补贴强度与超额薪酬之间的正向关联仍然存在。</w:t>
      </w:r>
    </w:p>
    <w:p>
      <w:pPr>
        <w:spacing w:line="312" w:lineRule="auto" w:before="0" w:after="0"/>
        <w:ind w:firstLine="420"/>
        <w:jc w:val="both"/>
      </w:pPr>
      <w:r>
        <w:rPr>
          <w:rFonts w:hint="eastAsia" w:ascii="Times New Roman" w:hAnsi="Times New Roman" w:eastAsia="宋体"/>
          <w:b w:val="0"/>
          <w:sz w:val="21"/>
        </w:rPr>
        <w:t xml:space="preserve">这一处理也减少了早期信息披露口径差异可能带来的扰动，使检验更集中于数据质量相对稳定的阶段。</w:t>
      </w:r>
    </w:p>
    <w:bookmarkEnd w:id="52"/>
    <w:bookmarkStart w:id="56" w:name="仅保留制造业样本"/>
    <w:p>
      <w:pPr>
        <w:pStyle w:val="31"/>
        <w:spacing w:line="312" w:lineRule="auto" w:before="0" w:after="0"/>
        <w:ind w:firstLine="420"/>
        <w:jc w:val="left"/>
      </w:pPr>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p>
    <w:p>
      <w:pPr>
        <w:spacing w:line="312" w:lineRule="auto" w:before="0" w:after="0"/>
        <w:ind w:firstLine="420"/>
        <w:jc w:val="both"/>
      </w:pPr>
      <w:r>
        <w:rPr>
          <w:rFonts w:hint="eastAsia" w:ascii="Times New Roman" w:hAnsi="Times New Roman" w:eastAsia="宋体"/>
          <w:b w:val="0"/>
          <w:sz w:val="21"/>
        </w:rPr>
        <w:t xml:space="preserve">仅保留制造业（样本量29,143）后，补贴系数为0.0099，并在5%的统计层面上显著为正。可见在制造业单一行业内部，已获补贴企业之间的补贴强度差异同样能够对应更高的超额薪酬。</w:t>
      </w:r>
    </w:p>
    <w:p>
      <w:pPr>
        <w:spacing w:line="312" w:lineRule="auto" w:before="0" w:after="0"/>
        <w:ind w:firstLine="420"/>
        <w:jc w:val="both"/>
      </w:pPr>
      <w:r>
        <w:rPr>
          <w:rFonts w:hint="eastAsia" w:ascii="Times New Roman" w:hAnsi="Times New Roman" w:eastAsia="宋体"/>
          <w:b w:val="0"/>
          <w:sz w:val="21"/>
        </w:rPr>
        <w:t xml:space="preserve">制造业样本占比较高且补贴政策覆盖面广，将其单独保留有助于排除跨行业结构差异对主结论的干扰。</w:t>
      </w:r>
    </w:p>
    <w:bookmarkEnd w:id="53"/>
    <w:bookmarkStart w:id="57" w:name="更严格固定效应设定"/>
    <w:p>
      <w:pPr>
        <w:pStyle w:val="31"/>
        <w:spacing w:line="312" w:lineRule="auto" w:before="0" w:after="0"/>
        <w:ind w:firstLine="420"/>
        <w:jc w:val="left"/>
      </w:pPr>
      <w:r>
        <w:rPr>
          <w:rFonts w:ascii="Times New Roman" w:hAnsi="Times New Roman" w:eastAsia="宋体"/>
          <w:b w:val="0"/>
          <w:sz w:val="24"/>
        </w:rPr>
        <w:t xml:space="preserve">4.5.4 </w:t>
      </w:r>
      <w:r>
        <w:rPr>
          <w:rFonts w:hint="eastAsia" w:ascii="Times New Roman" w:hAnsi="Times New Roman" w:eastAsia="宋体"/>
          <w:b w:val="0"/>
          <w:sz w:val="24"/>
        </w:rPr>
        <w:t xml:space="preserve">更严格固定效应设定</w:t>
      </w:r>
    </w:p>
    <w:p>
      <w:pPr>
        <w:spacing w:line="312" w:lineRule="auto" w:before="0" w:after="0"/>
        <w:ind w:firstLine="420"/>
        <w:jc w:val="both"/>
      </w:pPr>
      <w:r>
        <w:rPr>
          <w:rFonts w:hint="eastAsia" w:ascii="Times New Roman" w:hAnsi="Times New Roman" w:eastAsia="宋体"/>
          <w:b w:val="0"/>
          <w:sz w:val="21"/>
        </w:rPr>
        <w:t xml:space="preserve">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行业×年份固定效应”后，补贴系数仍为0.0082，并在5%的统计层面上显著为正。这说明基准回归中的正向关系并非单纯由行业年度景气波动带出。</w:t>
      </w:r>
    </w:p>
    <w:p>
      <w:pPr>
        <w:spacing w:line="312" w:lineRule="auto" w:before="0" w:after="0"/>
        <w:ind w:firstLine="420"/>
        <w:jc w:val="both"/>
      </w:pPr>
      <w:r>
        <w:rPr>
          <w:rFonts w:hint="eastAsia" w:ascii="Times New Roman" w:hAnsi="Times New Roman" w:eastAsia="宋体"/>
          <w:b w:val="0"/>
          <w:sz w:val="21"/>
        </w:rPr>
        <w:t xml:space="preserve">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校正与事件动态检验，这种一致性更适合理解为识别边界收紧后的稳健条件相关，而不是强因果层面的稳健。</w:t>
      </w:r>
    </w:p>
    <w:bookmarkEnd w:id="54"/>
    <w:bookmarkEnd w:id="55"/>
    <w:bookmarkStart w:id="58" w:name="基于机器学习方法的补充验证"/>
    <w:p>
      <w:pPr>
        <w:pStyle w:val="2"/>
        <w:spacing w:line="312" w:lineRule="auto" w:before="0" w:after="0"/>
        <w:ind w:firstLine="0"/>
        <w:jc w:val="left"/>
      </w:pPr>
      <w:bookmarkStart w:id="126" w:name="_TocAuto0022"/>
      <w:r>
        <w:rPr>
          <w:rFonts w:ascii="Times New Roman" w:hAnsi="Times New Roman" w:eastAsia="黑体"/>
          <w:b w:val="0"/>
          <w:sz w:val="28"/>
        </w:rPr>
        <w:t xml:space="preserve">4.6 </w:t>
      </w:r>
      <w:r>
        <w:rPr>
          <w:rFonts w:hint="eastAsia" w:ascii="Times New Roman" w:hAnsi="Times New Roman" w:eastAsia="黑体"/>
          <w:b w:val="0"/>
          <w:sz w:val="28"/>
        </w:rPr>
        <w:t xml:space="preserve">基于机器学习方法的补充验证</w:t>
      </w:r>
      <w:bookmarkEnd w:id="126"/>
    </w:p>
    <w:p>
      <w:pPr>
        <w:spacing w:line="312" w:lineRule="auto" w:before="0" w:after="0"/>
        <w:ind w:firstLine="420"/>
        <w:jc w:val="both"/>
      </w:pPr>
      <w:r>
        <w:rPr>
          <w:rFonts w:hint="eastAsia" w:ascii="Times New Roman" w:hAnsi="Times New Roman" w:eastAsia="宋体"/>
          <w:b w:val="0"/>
          <w:sz w:val="21"/>
        </w:rPr>
        <w:t xml:space="preserve">本节围绕表4-5的</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基准回归结论展开补充验证。与前文中介检验不同，这里不再纳入管理层权力变量，而是直接沿用基准回归的43,417个公司—年度观测，仅保留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的边际贡献排序是否支持同样判断、财政补贴变量在正则化筛选下是否会被压缩为0，以及在更灵活的非线性模型中财政补贴的局部趋势是否仍表现为总体上升。</w:t>
      </w:r>
    </w:p>
    <w:bookmarkStart w:id="59" w:name="随机森林特征重要性验证"/>
    <w:p>
      <w:pPr>
        <w:pStyle w:val="31"/>
        <w:spacing w:line="312" w:lineRule="auto" w:before="0" w:after="0"/>
        <w:ind w:firstLine="420"/>
        <w:jc w:val="left"/>
      </w:pPr>
      <w:r>
        <w:rPr>
          <w:rFonts w:ascii="Times New Roman" w:hAnsi="Times New Roman" w:eastAsia="宋体"/>
          <w:b w:val="0"/>
          <w:sz w:val="24"/>
        </w:rPr>
        <w:t xml:space="preserve">4.6.1 </w:t>
      </w:r>
      <w:r>
        <w:rPr>
          <w:rFonts w:hint="eastAsia" w:ascii="Times New Roman" w:hAnsi="Times New Roman" w:eastAsia="宋体"/>
          <w:b w:val="0"/>
          <w:sz w:val="24"/>
        </w:rPr>
        <w:t xml:space="preserve">随机森林特征重要性验证</w:t>
      </w:r>
    </w:p>
    <w:p>
      <w:pPr>
        <w:spacing w:line="312" w:lineRule="auto" w:before="0" w:after="0"/>
        <w:ind w:firstLine="420"/>
        <w:jc w:val="both"/>
      </w:pPr>
      <w:r>
        <w:rPr>
          <w:rFonts w:hint="eastAsia" w:ascii="Times New Roman" w:hAnsi="Times New Roman" w:eastAsia="宋体"/>
          <w:b w:val="0"/>
          <w:sz w:val="21"/>
        </w:rPr>
        <w:t xml:space="preserve">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 xml:space="preserve">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 xml:space="preserve">预测误差下降的平均贡献。某一变量的重要性数值越大，说明它在样本整体预测中提供的信息越多、对模型划分的贡献越高。但应注意，这种“重要性”衡量的是全局预测贡献，而不是</w:t>
      </w:r>
      <w:r>
        <w:rPr>
          <w:rFonts w:ascii="Times New Roman" w:hAnsi="Times New Roman" w:eastAsia="宋体"/>
          <w:b w:val="0"/>
          <w:sz w:val="21"/>
        </w:rPr>
        <w:t xml:space="preserve"> OLS </w:t>
      </w:r>
      <w:r>
        <w:rPr>
          <w:rFonts w:hint="eastAsia" w:ascii="Times New Roman" w:hAnsi="Times New Roman" w:eastAsia="宋体"/>
          <w:b w:val="0"/>
          <w:sz w:val="21"/>
        </w:rPr>
        <w:t xml:space="preserve">思路下的边际经济效应或因果带动。</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2" name="Picture"/>
            <a:graphic>
              <a:graphicData uri="http://schemas.openxmlformats.org/drawingml/2006/picture">
                <pic:pic>
                  <pic:nvPicPr>
                    <pic:cNvPr descr="generated_tables/table_10.png" id="12" name="Picture"/>
                    <pic:cNvPicPr>
                      <a:picLocks noChangeArrowheads="1" noChangeAspect="1"/>
                    </pic:cNvPicPr>
                  </pic:nvPicPr>
                  <pic:blipFill>
                    <a:blip r:embed="rId34"/>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420"/>
        <w:jc w:val="both"/>
      </w:pPr>
      <w:r>
        <w:rPr>
          <w:rFonts w:hint="eastAsia" w:ascii="Times New Roman" w:hAnsi="Times New Roman" w:eastAsia="宋体"/>
          <w:b w:val="0"/>
          <w:sz w:val="21"/>
        </w:rPr>
        <w:t xml:space="preserve">排序估计显示，Roa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基准回归中体现出的独立经济含义。随机森林的重要性排名和计量回归中的显著系数，本来就在回答两类不同命题。</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3" name="Picture"/>
            <a:graphic>
              <a:graphicData uri="http://schemas.openxmlformats.org/drawingml/2006/picture">
                <pic:pic>
                  <pic:nvPicPr>
                    <pic:cNvPr descr="./images/fig2_rf_importance_notitle.png" id="13" name="Picture"/>
                    <pic:cNvPicPr>
                      <a:picLocks noChangeArrowheads="1" noChangeAspect="1"/>
                    </pic:cNvPicPr>
                  </pic:nvPicPr>
                  <pic:blipFill>
                    <a:blip r:embed="rId35"/>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图4-1</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随机森林特征重要性图</w:t>
      </w:r>
    </w:p>
    <w:p>
      <w:pPr>
        <w:spacing w:line="312" w:lineRule="auto" w:before="0" w:after="0"/>
        <w:ind w:firstLine="420"/>
        <w:jc w:val="both"/>
      </w:pPr>
      <w:r>
        <w:rPr>
          <w:rFonts w:hint="eastAsia" w:ascii="Times New Roman" w:hAnsi="Times New Roman" w:eastAsia="宋体"/>
          <w:b w:val="0"/>
          <w:sz w:val="21"/>
        </w:rPr>
        <w:t xml:space="preserve">图4-1进一步直观展示了随机森林的重要性排序。结合表4-9可以看到，财政补贴强度并未被边缘化，而是排在四个特征中的前列。可以据此判断：在控制企业盈利表现、杠杆与股权监督等关键特征之后，财政补贴变量仍保有一定预测信息，这与第四章基准回归中其系数显著为正的结论并不矛盾。</w:t>
      </w:r>
    </w:p>
    <w:bookmarkEnd w:id="56"/>
    <w:bookmarkStart w:id="60" w:name="shap值解释分析"/>
    <w:p>
      <w:pPr>
        <w:pStyle w:val="31"/>
        <w:spacing w:line="312" w:lineRule="auto" w:before="0" w:after="0"/>
        <w:ind w:firstLine="420"/>
        <w:jc w:val="left"/>
      </w:pPr>
      <w:r>
        <w:rPr>
          <w:rFonts w:ascii="Times New Roman" w:hAnsi="Times New Roman" w:eastAsia="宋体"/>
          <w:b w:val="0"/>
          <w:sz w:val="24"/>
        </w:rPr>
        <w:t xml:space="preserve">4.6.2 </w:t>
      </w:r>
      <w:r>
        <w:rPr>
          <w:rFonts w:hint="eastAsia" w:ascii="Times New Roman" w:hAnsi="Times New Roman" w:eastAsia="宋体"/>
          <w:b w:val="0"/>
          <w:sz w:val="24"/>
        </w:rPr>
        <w:t xml:space="preserve">SHAP值解释分析</w:t>
      </w:r>
    </w:p>
    <w:p>
      <w:pPr>
        <w:spacing w:line="312" w:lineRule="auto" w:before="0" w:after="0"/>
        <w:ind w:firstLine="420"/>
        <w:jc w:val="both"/>
      </w:pPr>
      <w:r>
        <w:rPr>
          <w:rFonts w:hint="eastAsia" w:ascii="Times New Roman" w:hAnsi="Times New Roman" w:eastAsia="宋体"/>
          <w:b w:val="0"/>
          <w:sz w:val="21"/>
        </w:rPr>
        <w:t xml:space="preserve">随机森林基于基尼不纯度得到的重要性，只能反映变量对模型整体预测的贡献大小，难以直接刻画变量对预测值波动的边际影响强弱。为补足这一点，本文进一步引入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exPlanations）工具，对随机森林模型的预测值做解释。具体做法是在保留样本中随机抽取2,000条观测，计算各变量的</w:t>
      </w:r>
      <w:r>
        <w:rPr>
          <w:rFonts w:ascii="Times New Roman" w:hAnsi="Times New Roman" w:eastAsia="宋体"/>
          <w:b w:val="0"/>
          <w:sz w:val="21"/>
        </w:rPr>
        <w:t xml:space="preserve"> SHAP </w:t>
      </w:r>
      <w:r>
        <w:rPr>
          <w:rFonts w:hint="eastAsia" w:ascii="Times New Roman" w:hAnsi="Times New Roman" w:eastAsia="宋体"/>
          <w:b w:val="0"/>
          <w:sz w:val="21"/>
        </w:rPr>
        <w:t xml:space="preserve">值，并以平均绝对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值衡量其对模型预测波动的平均边际贡献；平均绝对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值越大，说明该变量对预测值的边际牵动越强。</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SHAP值重要性排名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4" name="Picture"/>
            <a:graphic>
              <a:graphicData uri="http://schemas.openxmlformats.org/drawingml/2006/picture">
                <pic:pic>
                  <pic:nvPicPr>
                    <pic:cNvPr descr="generated_tables/table_11.png" id="14" name="Picture"/>
                    <pic:cNvPicPr>
                      <a:picLocks noChangeArrowheads="1" noChangeAspect="1"/>
                    </pic:cNvPicPr>
                  </pic:nvPicPr>
                  <pic:blipFill>
                    <a:blip r:embed="rId36"/>
                    <a:stretch>
                      <a:fillRect/>
                    </a:stretch>
                  </pic:blipFill>
                  <pic:spPr bwMode="auto">
                    <a:xfrm>
                      <a:off x="0" y="0"/>
                      <a:ext cx="5579999" cy="1221399"/>
                    </a:xfrm>
                    <a:prstGeom prst="rect">
                      <a:avLst/>
                    </a:prstGeom>
                    <a:noFill/>
                    <a:ln w="9525">
                      <a:noFill/>
                      <a:headEnd/>
                      <a:tailEnd/>
                    </a:ln>
                  </pic:spPr>
                </pic:pic>
              </a:graphicData>
            </a:graphic>
          </wp:inline>
        </w:drawing>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5" name="Picture"/>
            <a:graphic>
              <a:graphicData uri="http://schemas.openxmlformats.org/drawingml/2006/picture">
                <pic:pic>
                  <pic:nvPicPr>
                    <pic:cNvPr descr="./images/fig3_shap_summary_notitle.png" id="15" name="Picture"/>
                    <pic:cNvPicPr>
                      <a:picLocks noChangeArrowheads="1" noChangeAspect="1"/>
                    </pic:cNvPicPr>
                  </pic:nvPicPr>
                  <pic:blipFill>
                    <a:blip r:embed="rId37"/>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图4-2</w:t>
      </w:r>
      <w:r>
        <w:rPr>
          <w:rFonts w:ascii="Times New Roman" w:hAnsi="Times New Roman" w:eastAsia="宋体"/>
          <w:b/>
          <w:sz w:val="18"/>
        </w:rPr>
        <w:t xml:space="preserve"> </w:t>
      </w:r>
      <w:r>
        <w:rPr>
          <w:rFonts w:hint="eastAsia" w:ascii="Times New Roman" w:hAnsi="Times New Roman" w:eastAsia="宋体"/>
          <w:b/>
          <w:sz w:val="18"/>
        </w:rPr>
        <w:t xml:space="preserve">SHAP值重要性图</w:t>
      </w:r>
    </w:p>
    <w:p>
      <w:pPr>
        <w:spacing w:line="312" w:lineRule="auto" w:before="0" w:after="0"/>
        <w:ind w:firstLine="420"/>
        <w:jc w:val="both"/>
      </w:pPr>
      <w:r>
        <w:rPr>
          <w:rFonts w:hint="eastAsia" w:ascii="Times New Roman" w:hAnsi="Times New Roman" w:eastAsia="宋体"/>
          <w:b w:val="0"/>
          <w:sz w:val="21"/>
        </w:rPr>
        <w:t xml:space="preserve">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 xml:space="preserve">位列第4。换一个解释口径，排序仍未变化，说明财政补贴变量的重要性并非某一种指标偶然给出的统计数值。可以把这一排序理解为：财政补贴强度虽然不是树模型中最强的全局预测变量，但它对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 xml:space="preserve">的边际贡献仍处于前列，这与其作为基准回归核心解释变量的设定是一致的。</w:t>
      </w:r>
    </w:p>
    <w:bookmarkEnd w:id="57"/>
    <w:bookmarkStart w:id="61" w:name="lasso-系数保留与方向验证"/>
    <w:p>
      <w:pPr>
        <w:pStyle w:val="31"/>
        <w:spacing w:line="312" w:lineRule="auto" w:before="0" w:after="0"/>
        <w:ind w:firstLine="420"/>
        <w:jc w:val="left"/>
      </w:pPr>
      <w:r>
        <w:rPr>
          <w:rFonts w:ascii="Times New Roman" w:hAnsi="Times New Roman" w:eastAsia="宋体"/>
          <w:b w:val="0"/>
          <w:sz w:val="24"/>
        </w:rPr>
        <w:t xml:space="preserve">4.6.3 Lasso </w:t>
      </w:r>
      <w:r>
        <w:rPr>
          <w:rFonts w:hint="eastAsia" w:ascii="Times New Roman" w:hAnsi="Times New Roman" w:eastAsia="宋体"/>
          <w:b w:val="0"/>
          <w:sz w:val="24"/>
        </w:rPr>
        <w:t xml:space="preserve">系数保留与方向验证</w:t>
      </w:r>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正则化手段的线性回归模型，其核心原理是在回归目标函数中加入惩罚项，把对模型贡献较低的变量系数压缩为零，以此实现特征筛选与模型简化。相较于普通最小二乘回归，Lasso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 xml:space="preserve">还能够部分缓解多重共线性带来的估计不稳定议题，因此适合用于检验财政补贴变量在更严格筛选条件下是否仍会被模型保留下来。</w:t>
      </w:r>
    </w:p>
    <w:p>
      <w:pPr>
        <w:spacing w:line="312" w:lineRule="auto" w:before="0" w:after="0"/>
        <w:ind w:firstLine="420"/>
        <w:jc w:val="both"/>
      </w:pPr>
      <w:r>
        <w:rPr>
          <w:rFonts w:hint="eastAsia" w:ascii="Times New Roman" w:hAnsi="Times New Roman" w:eastAsia="宋体"/>
          <w:b w:val="0"/>
          <w:sz w:val="21"/>
        </w:rPr>
        <w:t xml:space="preserve">在当前4变量设定下，最优惩罚参数约为</w:t>
      </w:r>
      <w:r>
        <w:rPr>
          <w:rFonts w:ascii="Times New Roman" w:hAnsi="Times New Roman" w:eastAsia="宋体"/>
          <w:b w:val="0"/>
          <w:sz w:val="21"/>
        </w:rPr>
        <w:t xml:space="preserve"> </w:t>
      </w:r>
      <m:oMath>
        <m:sSup>
          <m:e>
            <m:r>
              <m:t>λ</m:t>
            </m:r>
          </m:e>
          <m:sup>
            <m:r>
              <m:rPr>
                <m:sty m:val="p"/>
              </m:rPr>
              <m:t>*</m:t>
            </m:r>
          </m:sup>
        </m:sSup>
        <m:r>
          <m:rPr>
            <m:sty m:val="p"/>
          </m:rPr>
          <m:t>=</m:t>
        </m:r>
        <m:r>
          <m:t>0.000265</m:t>
        </m:r>
      </m:oMath>
      <w:r>
        <w:rPr>
          <w:rFonts w:hint="eastAsia" w:ascii="Times New Roman" w:hAnsi="Times New Roman" w:eastAsia="宋体"/>
          <w:b w:val="0"/>
          <w:sz w:val="21"/>
        </w:rPr>
        <w:t xml:space="preserve">。估计显示，4个候选特征均未被压缩为0，其中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Top1 </w:t>
      </w:r>
      <w:r>
        <w:rPr>
          <w:rFonts w:hint="eastAsia" w:ascii="Times New Roman" w:hAnsi="Times New Roman" w:eastAsia="宋体"/>
          <w:b w:val="0"/>
          <w:sz w:val="21"/>
        </w:rPr>
        <w:t xml:space="preserve">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 xml:space="preserve">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基准回归中的正向系数保持一致。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6" name="Picture"/>
            <a:graphic>
              <a:graphicData uri="http://schemas.openxmlformats.org/drawingml/2006/picture">
                <pic:pic>
                  <pic:nvPicPr>
                    <pic:cNvPr descr="./images/fig1_lasso_path_notitle.png" id="16" name="Picture"/>
                    <pic:cNvPicPr>
                      <a:picLocks noChangeArrowheads="1" noChangeAspect="1"/>
                    </pic:cNvPicPr>
                  </pic:nvPicPr>
                  <pic:blipFill>
                    <a:blip r:embed="rId38"/>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图4-3</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图4-3展示了随着惩罚参数增大，各特征系数逐步向零收缩的路径。可以看到，lnSubsidy_pos_l1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在最优参数附近仍保持正向系数，并未被压缩掉。也就是说，财政补贴变量没有在更严格的筛选下消失，仍保有稳定信息含量。</w:t>
      </w:r>
    </w:p>
    <w:bookmarkEnd w:id="58"/>
    <w:bookmarkStart w:id="62" w:name="xgboost-特征重要性与部分依赖验证"/>
    <w:p>
      <w:pPr>
        <w:pStyle w:val="31"/>
        <w:spacing w:line="312" w:lineRule="auto" w:before="0" w:after="0"/>
        <w:ind w:firstLine="420"/>
        <w:jc w:val="left"/>
      </w:pPr>
      <w:r>
        <w:rPr>
          <w:rFonts w:ascii="Times New Roman" w:hAnsi="Times New Roman" w:eastAsia="宋体"/>
          <w:b w:val="0"/>
          <w:sz w:val="24"/>
        </w:rPr>
        <w:t xml:space="preserve">4.6.4 XGBoost </w:t>
      </w:r>
      <w:r>
        <w:rPr>
          <w:rFonts w:hint="eastAsia" w:ascii="Times New Roman" w:hAnsi="Times New Roman" w:eastAsia="宋体"/>
          <w:b w:val="0"/>
          <w:sz w:val="24"/>
        </w:rPr>
        <w:t xml:space="preserve">特征重要性与部分依赖验证</w:t>
      </w:r>
    </w:p>
    <w:p>
      <w:pPr>
        <w:spacing w:line="312" w:lineRule="auto" w:before="0" w:after="0"/>
        <w:ind w:firstLine="420"/>
        <w:jc w:val="both"/>
      </w:pPr>
      <w:r>
        <w:rPr>
          <w:rFonts w:hint="eastAsia" w:ascii="Times New Roman" w:hAnsi="Times New Roman" w:eastAsia="宋体"/>
          <w:b w:val="0"/>
          <w:sz w:val="21"/>
        </w:rPr>
        <w:t xml:space="preserve">为进一步验证核心变量在非线性模型中的表现，本文采用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模型实施两项补充检验：其一，考察财政补贴与控制变量在更灵活树模型中的特征重要性排序；其二，通过部分依赖图（Partial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PDP）刻画财政补贴对超额薪酬的局部关联趋势。</w:t>
      </w:r>
    </w:p>
    <w:p>
      <w:pPr>
        <w:spacing w:line="312" w:lineRule="auto" w:before="0" w:after="0"/>
        <w:ind w:firstLine="420"/>
        <w:jc w:val="both"/>
      </w:pPr>
      <w:r>
        <w:rPr>
          <w:rFonts w:hint="eastAsia" w:ascii="Times New Roman" w:hAnsi="Times New Roman" w:eastAsia="宋体"/>
          <w:b w:val="0"/>
          <w:sz w:val="21"/>
        </w:rPr>
        <w:t xml:space="preserve">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模型中，Roa</w:t>
      </w:r>
      <w:r>
        <w:rPr>
          <w:rFonts w:ascii="Times New Roman" w:hAnsi="Times New Roman" w:eastAsia="宋体"/>
          <w:b w:val="0"/>
          <w:sz w:val="21"/>
        </w:rPr>
        <w:t xml:space="preserve"> </w:t>
      </w:r>
      <w:r>
        <w:rPr>
          <w:rFonts w:hint="eastAsia" w:ascii="Times New Roman" w:hAnsi="Times New Roman" w:eastAsia="宋体"/>
          <w:b w:val="0"/>
          <w:sz w:val="21"/>
        </w:rPr>
        <w:t xml:space="preserve">位列第1，lnSubsidy_pos_l1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排名第2，Top1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 xml:space="preserve">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基准回归的核心变量设定保持一致。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1785254"/>
            <wp:effectExtent b="0" l="0" r="0" t="0"/>
            <wp:docPr descr="" title="" id="17" name="Picture"/>
            <a:graphic>
              <a:graphicData uri="http://schemas.openxmlformats.org/drawingml/2006/picture">
                <pic:pic>
                  <pic:nvPicPr>
                    <pic:cNvPr descr="./images/fig4_shap_subsidy_notitle.png" id="17" name="Picture"/>
                    <pic:cNvPicPr>
                      <a:picLocks noChangeArrowheads="1" noChangeAspect="1"/>
                    </pic:cNvPicPr>
                  </pic:nvPicPr>
                  <pic:blipFill>
                    <a:blip r:embed="rId39"/>
                    <a:stretch>
                      <a:fillRect/>
                    </a:stretch>
                  </pic:blipFill>
                  <pic:spPr bwMode="auto">
                    <a:xfrm>
                      <a:off x="0" y="0"/>
                      <a:ext cx="5753100" cy="178525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图4-4</w:t>
      </w:r>
      <w:r>
        <w:rPr>
          <w:rFonts w:ascii="Times New Roman" w:hAnsi="Times New Roman" w:eastAsia="宋体"/>
          <w:b/>
          <w:sz w:val="18"/>
        </w:rPr>
        <w:t xml:space="preserve"> </w:t>
      </w:r>
      <w:r>
        <w:rPr>
          <w:rFonts w:hint="eastAsia" w:ascii="Times New Roman" w:hAnsi="Times New Roman" w:eastAsia="宋体"/>
          <w:b/>
          <w:sz w:val="18"/>
        </w:rPr>
        <w:t xml:space="preserve">XGBoost特征重要性与财政补贴部分依赖图</w:t>
      </w:r>
    </w:p>
    <w:p>
      <w:pPr>
        <w:spacing w:line="312" w:lineRule="auto" w:before="0" w:after="0"/>
        <w:ind w:firstLine="420"/>
        <w:jc w:val="both"/>
      </w:pPr>
      <w:r>
        <w:rPr>
          <w:rFonts w:hint="eastAsia" w:ascii="Times New Roman" w:hAnsi="Times New Roman" w:eastAsia="宋体"/>
          <w:b w:val="0"/>
          <w:sz w:val="21"/>
        </w:rPr>
        <w:t xml:space="preserve">图4-4右侧的部分依赖图显示的是：在其他变量处于平均取值时，财政补贴变化如何影响模型预测的</w:t>
      </w:r>
      <w:r>
        <w:rPr>
          <w:rFonts w:ascii="Times New Roman" w:hAnsi="Times New Roman" w:eastAsia="宋体"/>
          <w:b w:val="0"/>
          <w:sz w:val="21"/>
        </w:rPr>
        <w:t xml:space="preserve"> </w:t>
      </w:r>
      <w:r>
        <w:rPr>
          <w:rFonts w:hint="eastAsia" w:ascii="Times New Roman" w:hAnsi="Times New Roman" w:eastAsia="宋体"/>
          <w:b w:val="0"/>
          <w:sz w:val="21"/>
        </w:rPr>
        <w:t xml:space="preserve">Overpay。它反映的是</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下的条件关联模式，不是计量经济学层面上的边际因果效应。从图形走势看，财政补贴的部分依赖关系呈现明显的非线性和非单调特征：低补贴区间内，曲线长期停留在负值附近并伴随小幅波动；进入较高补贴区间后，曲线由负转正并明显抬升，整体上是先平缓、后上升。这显示财政补贴对超额薪酬的关联并非线性均匀展开，在较高补贴区间会出现更明显的正向预测关联。</w:t>
      </w:r>
    </w:p>
    <w:p>
      <w:pPr>
        <w:spacing w:line="312" w:lineRule="auto" w:before="0" w:after="0"/>
        <w:ind w:firstLine="420"/>
        <w:jc w:val="both"/>
      </w:pPr>
      <w:r>
        <w:rPr>
          <w:rFonts w:hint="eastAsia" w:ascii="Times New Roman" w:hAnsi="Times New Roman" w:eastAsia="宋体"/>
          <w:b w:val="0"/>
          <w:sz w:val="21"/>
        </w:rPr>
        <w:t xml:space="preserve">综合随机森林、SHAP、Lasso</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四项检验，可以对机器学习补充验证做出如下整体判断。财政补贴强度在四种不同路径中均未被边缘化：在随机森林和SHAP中排名第3，在XGBoost中排名第2，在Lasso中未被压缩为零且方向为正，说明补贴变量在预测层面保留了相对稳定的信息含量。四种处理方式给出的方向与OLS基准回归相互呼应；Lasso</w:t>
      </w:r>
      <w:r>
        <w:rPr>
          <w:rFonts w:ascii="Times New Roman" w:hAnsi="Times New Roman" w:eastAsia="宋体"/>
          <w:b w:val="0"/>
          <w:sz w:val="21"/>
        </w:rPr>
        <w:t xml:space="preserve"> </w:t>
      </w:r>
      <w:r>
        <w:rPr>
          <w:rFonts w:hint="eastAsia" w:ascii="Times New Roman" w:hAnsi="Times New Roman" w:eastAsia="宋体"/>
          <w:b w:val="0"/>
          <w:sz w:val="21"/>
        </w:rPr>
        <w:t xml:space="preserve">保留正系数，XGBoost</w:t>
      </w:r>
      <w:r>
        <w:rPr>
          <w:rFonts w:ascii="Times New Roman" w:hAnsi="Times New Roman" w:eastAsia="宋体"/>
          <w:b w:val="0"/>
          <w:sz w:val="21"/>
        </w:rPr>
        <w:t xml:space="preserve"> </w:t>
      </w:r>
      <w:r>
        <w:rPr>
          <w:rFonts w:hint="eastAsia" w:ascii="Times New Roman" w:hAnsi="Times New Roman" w:eastAsia="宋体"/>
          <w:b w:val="0"/>
          <w:sz w:val="21"/>
        </w:rPr>
        <w:t xml:space="preserve">部分依赖图也呈总体上升形态，说明在更灵活的模型中，补贴强度与超额薪酬的正向联系仍能被观察到。XGBoost部分依赖图揭示的”低补贴区间平缓、高补贴区间明显抬升”的非线性特征，提供了OLS线性系数无法直接捕捉的补充信息：补贴效应并非沿全区间均匀展开，而是在较高强度下才显著加速，这与财政补贴超过一定阈值后更容易突破治理约束的理论推断相吻合。</w:t>
      </w:r>
    </w:p>
    <w:p>
      <w:pPr>
        <w:spacing w:line="312" w:lineRule="auto" w:before="0" w:after="0"/>
        <w:ind w:firstLine="420"/>
        <w:jc w:val="both"/>
      </w:pPr>
      <w:r>
        <w:rPr>
          <w:rFonts w:hint="eastAsia" w:ascii="Times New Roman" w:hAnsi="Times New Roman" w:eastAsia="宋体"/>
          <w:b w:val="0"/>
          <w:sz w:val="21"/>
        </w:rPr>
        <w:t xml:space="preserve">机器学习部分没有改变第四章已经写明的边界——中介效应经济幅度有限、因果解释仍需谨慎；它提供的是从预测角度对基准回归核心变量地位的独立确认。</w:t>
      </w:r>
    </w:p>
    <w:bookmarkEnd w:id="59"/>
    <w:bookmarkEnd w:id="60"/>
    <w:bookmarkStart w:id="63" w:name="中介效应分析"/>
    <w:p>
      <w:pPr>
        <w:pStyle w:val="2"/>
        <w:spacing w:line="312" w:lineRule="auto" w:before="0" w:after="0"/>
        <w:ind w:firstLine="0"/>
        <w:jc w:val="left"/>
      </w:pPr>
      <w:bookmarkStart w:id="127" w:name="_TocAuto0023"/>
      <w:r>
        <w:rPr>
          <w:rFonts w:ascii="Times New Roman" w:hAnsi="Times New Roman" w:eastAsia="黑体"/>
          <w:b w:val="0"/>
          <w:sz w:val="28"/>
        </w:rPr>
        <w:t xml:space="preserve">4.7 </w:t>
      </w:r>
      <w:r>
        <w:rPr>
          <w:rFonts w:hint="eastAsia" w:ascii="Times New Roman" w:hAnsi="Times New Roman" w:eastAsia="黑体"/>
          <w:b w:val="0"/>
          <w:sz w:val="28"/>
        </w:rPr>
        <w:t xml:space="preserve">中介效应分析</w:t>
      </w:r>
      <w:bookmarkEnd w:id="127"/>
    </w:p>
    <w:p>
      <w:pPr>
        <w:spacing w:line="312" w:lineRule="auto" w:before="0" w:after="0"/>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 xml:space="preserve">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Chen（2010）</w:t>
      </w:r>
      <w:r>
        <w:rPr>
          <w:rFonts w:ascii="Times New Roman" w:hAnsi="Times New Roman" w:eastAsia="宋体"/>
          <w:b w:val="0"/>
          <w:sz w:val="21"/>
          <w:vertAlign w:val="superscript"/>
        </w:rPr>
        <w:t>[15]</w:t>
      </w:r>
      <w:r>
        <w:rPr>
          <w:rFonts w:hint="eastAsia" w:ascii="Times New Roman" w:hAnsi="Times New Roman" w:eastAsia="宋体"/>
          <w:b w:val="0"/>
          <w:sz w:val="21"/>
        </w:rPr>
        <w:t xml:space="preserve">的讨论），再讨论中介路径。尽管新的总效应已经显著，本节仍将相关证据定位为探索性路径检验，而非严格层面上的因果中介证据，因为管理层权力指标本身仍属于经验性综合测度。</w:t>
      </w:r>
    </w:p>
    <w:bookmarkStart w:id="64" w:name="中介变量构成与测度说明"/>
    <w:p>
      <w:pPr>
        <w:pStyle w:val="31"/>
        <w:spacing w:line="312" w:lineRule="auto" w:before="0" w:after="0"/>
        <w:ind w:firstLine="420"/>
        <w:jc w:val="left"/>
      </w:pPr>
      <w:r>
        <w:rPr>
          <w:rFonts w:ascii="Times New Roman" w:hAnsi="Times New Roman" w:eastAsia="宋体"/>
          <w:b w:val="0"/>
          <w:sz w:val="24"/>
        </w:rPr>
        <w:t xml:space="preserve">4.7.1 </w:t>
      </w:r>
      <w:r>
        <w:rPr>
          <w:rFonts w:hint="eastAsia" w:ascii="Times New Roman" w:hAnsi="Times New Roman" w:eastAsia="宋体"/>
          <w:b w:val="0"/>
          <w:sz w:val="24"/>
        </w:rPr>
        <w:t xml:space="preserve">中介变量构成与测度说明</w:t>
      </w:r>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为检验财政补贴是否会经由管理层权力带动高管超额薪酬，将管理层权力指标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结构。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层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在测度做法上，正文采用主成分拆解法（PCA）提取前两个主成分，并按方差贡献率加权形成综合权力指数</w:t>
      </w:r>
      <w:r>
        <w:rPr>
          <w:rFonts w:ascii="Times New Roman" w:hAnsi="Times New Roman" w:eastAsia="宋体"/>
          <w:b w:val="0"/>
          <w:sz w:val="21"/>
        </w:rPr>
        <w:t xml:space="preserve"> Power。PCA </w:t>
      </w:r>
      <w:r>
        <w:rPr>
          <w:rFonts w:hint="eastAsia" w:ascii="Times New Roman" w:hAnsi="Times New Roman" w:eastAsia="宋体"/>
          <w:b w:val="0"/>
          <w:sz w:val="21"/>
        </w:rPr>
        <w:t xml:space="preserve">直接以四项治理指标的共同变异信息为基础提取综合得分，在不额外设定潜在结构的前提下压缩多维治理特征；按方差贡献率加权，则是为了让解释力更高的主成分在综合指数中占据更大权重，避免简单平均造成的信息损失。</w:t>
      </w:r>
    </w:p>
    <w:p>
      <w:pPr>
        <w:spacing w:line="312" w:lineRule="auto" w:before="0" w:after="0"/>
        <w:ind w:firstLine="420"/>
        <w:jc w:val="both"/>
      </w:pPr>
      <w:r>
        <w:rPr>
          <w:rFonts w:hint="eastAsia" w:ascii="Times New Roman" w:hAnsi="Times New Roman" w:eastAsia="宋体"/>
          <w:b w:val="0"/>
          <w:sz w:val="21"/>
        </w:rPr>
        <w:t xml:space="preserve">统计诊断上，PCA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约为0.565，前两个主成分累计方差解释率约为69.08%。PC1（43.0%）主要载荷于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Boardsize（0.615）与</w:t>
      </w:r>
      <w:r>
        <w:rPr>
          <w:rFonts w:ascii="Times New Roman" w:hAnsi="Times New Roman" w:eastAsia="宋体"/>
          <w:b w:val="0"/>
          <w:sz w:val="21"/>
        </w:rPr>
        <w:t xml:space="preserve"> </w:t>
      </w:r>
      <w:r>
        <w:rPr>
          <w:rFonts w:hint="eastAsia" w:ascii="Times New Roman" w:hAnsi="Times New Roman" w:eastAsia="宋体"/>
          <w:b w:val="0"/>
          <w:sz w:val="21"/>
        </w:rPr>
        <w:t xml:space="preserve">Insider（0.544），反映董事会结构权力维度；PC2（26.1%）主要载荷于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Mgshder（0.584）、Dual（0.554）和</w:t>
      </w:r>
      <w:r>
        <w:rPr>
          <w:rFonts w:ascii="Times New Roman" w:hAnsi="Times New Roman" w:eastAsia="宋体"/>
          <w:b w:val="0"/>
          <w:sz w:val="21"/>
        </w:rPr>
        <w:t xml:space="preserve"> </w:t>
      </w:r>
      <w:r>
        <w:rPr>
          <w:rFonts w:hint="eastAsia" w:ascii="Times New Roman" w:hAnsi="Times New Roman" w:eastAsia="宋体"/>
          <w:b w:val="0"/>
          <w:sz w:val="21"/>
        </w:rPr>
        <w:t xml:space="preserve">Insider（0.517），反映所有权与职位权力维度。四项指标在样本中呈现出可识别的结构分化。KMO</w:t>
      </w:r>
      <w:r>
        <w:rPr>
          <w:rFonts w:ascii="Times New Roman" w:hAnsi="Times New Roman" w:eastAsia="宋体"/>
          <w:b w:val="0"/>
          <w:sz w:val="21"/>
        </w:rPr>
        <w:t xml:space="preserve"> </w:t>
      </w:r>
      <w:r>
        <w:rPr>
          <w:rFonts w:hint="eastAsia" w:ascii="Times New Roman" w:hAnsi="Times New Roman" w:eastAsia="宋体"/>
          <w:b w:val="0"/>
          <w:sz w:val="21"/>
        </w:rPr>
        <w:t xml:space="preserve">偏低，说明四项指标的共同变异不算强，潜在结构也不算紧密；不过，PCA</w:t>
      </w:r>
      <w:r>
        <w:rPr>
          <w:rFonts w:ascii="Times New Roman" w:hAnsi="Times New Roman" w:eastAsia="宋体"/>
          <w:b w:val="0"/>
          <w:sz w:val="21"/>
        </w:rPr>
        <w:t xml:space="preserve"> </w:t>
      </w:r>
      <w:r>
        <w:rPr>
          <w:rFonts w:hint="eastAsia" w:ascii="Times New Roman" w:hAnsi="Times New Roman" w:eastAsia="宋体"/>
          <w:b w:val="0"/>
          <w:sz w:val="21"/>
        </w:rPr>
        <w:t xml:space="preserve">的重点在于降维和信息压缩，只要前几个主成分能够覆盖样本中的主要方差信息，这一综合口径仍可作为经验测度使用。就本文而言，69.08%的累计方差解释率已经覆盖了多数信息，因此仍将其作为管理层权力的经验性综合指标，并在结论解释中保持审慎。</w:t>
      </w:r>
    </w:p>
    <w:bookmarkEnd w:id="61"/>
    <w:bookmarkStart w:id="65" w:name="中介效应检验结果"/>
    <w:p>
      <w:pPr>
        <w:pStyle w:val="31"/>
        <w:spacing w:line="312" w:lineRule="auto" w:before="0" w:after="0"/>
        <w:ind w:firstLine="420"/>
        <w:jc w:val="left"/>
      </w:pPr>
      <w:r>
        <w:rPr>
          <w:rFonts w:ascii="Times New Roman" w:hAnsi="Times New Roman" w:eastAsia="宋体"/>
          <w:b w:val="0"/>
          <w:sz w:val="24"/>
        </w:rPr>
        <w:t xml:space="preserve">4.7.2 </w:t>
      </w:r>
      <w:r>
        <w:rPr>
          <w:rFonts w:hint="eastAsia" w:ascii="Times New Roman" w:hAnsi="Times New Roman" w:eastAsia="宋体"/>
          <w:b w:val="0"/>
          <w:sz w:val="24"/>
        </w:rPr>
        <w:t xml:space="preserve">中介效应检验结果</w:t>
      </w:r>
    </w:p>
    <w:p>
      <w:pPr>
        <w:spacing w:line="312" w:lineRule="auto" w:before="0" w:after="0"/>
        <w:ind w:firstLine="420"/>
        <w:jc w:val="both"/>
      </w:pPr>
      <w:r>
        <w:rPr>
          <w:rFonts w:hint="eastAsia" w:ascii="Times New Roman" w:hAnsi="Times New Roman" w:eastAsia="宋体"/>
          <w:b w:val="0"/>
          <w:sz w:val="21"/>
        </w:rPr>
        <w:t xml:space="preserve">在完成选择偏差校正后，将基于</w:t>
      </w:r>
      <w:r>
        <w:rPr>
          <w:rFonts w:ascii="Times New Roman" w:hAnsi="Times New Roman" w:eastAsia="宋体"/>
          <w:b w:val="0"/>
          <w:sz w:val="21"/>
        </w:rPr>
        <w:t xml:space="preserve"> PCA </w:t>
      </w:r>
      <w:r>
        <w:rPr>
          <w:rFonts w:hint="eastAsia" w:ascii="Times New Roman" w:hAnsi="Times New Roman" w:eastAsia="宋体"/>
          <w:b w:val="0"/>
          <w:sz w:val="21"/>
        </w:rPr>
        <w:t xml:space="preserve">构造的管理层权力指标纳入中介效应分析结构。为保证模型3至模型5之间具有可比性，这一部分统一使用同时具备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信息的41,186个样本，见表4-11。需注意，由于统一样本（41,186条）少于基准回归样本（43,417条），模型3中的总效应系数与表4-5的基准回归系数略有差异，这一变化主要来自样本组成调整，而非模型设定改变。</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管理层权力的中介效应检验结果（模型3至模型5，PCA口径）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16599"/>
            <wp:effectExtent b="0" l="0" r="0" t="0"/>
            <wp:docPr descr="" title="" id="18" name="Picture"/>
            <a:graphic>
              <a:graphicData uri="http://schemas.openxmlformats.org/drawingml/2006/picture">
                <pic:pic>
                  <pic:nvPicPr>
                    <pic:cNvPr descr="generated_tables/table_12.png" id="18" name="Picture"/>
                    <pic:cNvPicPr>
                      <a:picLocks noChangeArrowheads="1" noChangeAspect="1"/>
                    </pic:cNvPicPr>
                  </pic:nvPicPr>
                  <pic:blipFill>
                    <a:blip r:embed="rId40"/>
                    <a:stretch>
                      <a:fillRect/>
                    </a:stretch>
                  </pic:blipFill>
                  <pic:spPr bwMode="auto">
                    <a:xfrm>
                      <a:off x="0" y="0"/>
                      <a:ext cx="5579999" cy="18165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表4-11显示，PCA</w:t>
      </w:r>
      <w:r>
        <w:rPr>
          <w:rFonts w:ascii="Times New Roman" w:hAnsi="Times New Roman" w:eastAsia="宋体"/>
          <w:b w:val="0"/>
          <w:sz w:val="21"/>
        </w:rPr>
        <w:t xml:space="preserve"> </w:t>
      </w:r>
      <w:r>
        <w:rPr>
          <w:rFonts w:hint="eastAsia" w:ascii="Times New Roman" w:hAnsi="Times New Roman" w:eastAsia="宋体"/>
          <w:b w:val="0"/>
          <w:sz w:val="21"/>
        </w:rPr>
        <w:t xml:space="preserve">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0.011），提示在控制补贴强度后，管理层权力仍与超额薪酬存在正向关联；补贴的直接效应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 xml:space="preserve">检验（300次重复抽样）的间接效应95%置信区间为[0.000034,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0.000609]，不包含零，对应</w:t>
      </w:r>
      <w:r>
        <w:rPr>
          <w:rFonts w:ascii="Times New Roman" w:hAnsi="Times New Roman" w:eastAsia="宋体"/>
          <w:b w:val="0"/>
          <w:sz w:val="21"/>
        </w:rPr>
        <w:t xml:space="preserve"> p = </w:t>
      </w:r>
      <w:r>
        <w:rPr>
          <w:rFonts w:hint="eastAsia" w:ascii="Times New Roman" w:hAnsi="Times New Roman" w:eastAsia="宋体"/>
          <w:b w:val="0"/>
          <w:sz w:val="21"/>
        </w:rPr>
        <w:t xml:space="preserve">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 xml:space="preserve">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 xml:space="preserve">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 xml:space="preserve">结论作为主要参考。</w:t>
      </w:r>
    </w:p>
    <w:p>
      <w:pPr>
        <w:spacing w:line="312" w:lineRule="auto" w:before="0" w:after="0"/>
        <w:ind w:firstLine="420"/>
        <w:jc w:val="both"/>
      </w:pPr>
      <w:r>
        <w:rPr>
          <w:rFonts w:hint="eastAsia" w:ascii="Times New Roman" w:hAnsi="Times New Roman" w:eastAsia="宋体"/>
          <w:b w:val="0"/>
          <w:sz w:val="21"/>
        </w:rPr>
        <w:t xml:space="preserve">综合来看，PCA</w:t>
      </w:r>
      <w:r>
        <w:rPr>
          <w:rFonts w:ascii="Times New Roman" w:hAnsi="Times New Roman" w:eastAsia="宋体"/>
          <w:b w:val="0"/>
          <w:sz w:val="21"/>
        </w:rPr>
        <w:t xml:space="preserve"> </w:t>
      </w:r>
      <w:r>
        <w:rPr>
          <w:rFonts w:hint="eastAsia" w:ascii="Times New Roman" w:hAnsi="Times New Roman" w:eastAsia="宋体"/>
          <w:b w:val="0"/>
          <w:sz w:val="21"/>
        </w:rPr>
        <w:t xml:space="preserve">口径下管理层权力在补贴强度与超额薪酬之间发挥了部分中介角色，H2</w:t>
      </w:r>
      <w:r>
        <w:rPr>
          <w:rFonts w:ascii="Times New Roman" w:hAnsi="Times New Roman" w:eastAsia="宋体"/>
          <w:b w:val="0"/>
          <w:sz w:val="21"/>
        </w:rPr>
        <w:t xml:space="preserve"> </w:t>
      </w:r>
      <w:r>
        <w:rPr>
          <w:rFonts w:hint="eastAsia" w:ascii="Times New Roman" w:hAnsi="Times New Roman" w:eastAsia="宋体"/>
          <w:b w:val="0"/>
          <w:sz w:val="21"/>
        </w:rPr>
        <w:t xml:space="preserve">获得支持。从经济含义来看，间接效应（</w:t>
      </w:r>
      <m:oMath>
        <m:r>
          <m:t>a</m:t>
        </m:r>
        <m:r>
          <m:rPr>
            <m:sty m:val="p"/>
          </m:rPr>
          <m:t>×</m:t>
        </m:r>
        <m:r>
          <m:t>b</m:t>
        </m:r>
        <m:r>
          <m:rPr>
            <m:sty m:val="p"/>
          </m:rPr>
          <m:t>=</m:t>
        </m:r>
        <m:r>
          <m:t>0.0146</m:t>
        </m:r>
        <m:r>
          <m:rPr>
            <m:sty m:val="p"/>
          </m:rPr>
          <m:t>×</m:t>
        </m:r>
        <m:r>
          <m:t>0.0173</m:t>
        </m:r>
        <m:r>
          <m:rPr>
            <m:sty m:val="p"/>
          </m:rPr>
          <m:t>≈</m:t>
        </m:r>
        <m:r>
          <m:t>0.00025</m:t>
        </m:r>
      </m:oMath>
      <w:r>
        <w:rPr>
          <w:rFonts w:hint="eastAsia" w:ascii="Times New Roman" w:hAnsi="Times New Roman" w:eastAsia="宋体"/>
          <w:b w:val="0"/>
          <w:sz w:val="21"/>
        </w:rPr>
        <w:t xml:space="preserve">）仅占总效应（0.0092）的约3%，说明补贴强度对超额薪酬的牵动绝大部分通过直接路径传导，经由管理层权力中介的部分非常有限。这一证据的可能解释是：补贴资源对超额薪酬的直接推动（如改善账面业绩后被纳入绩效薪酬基数、放松董事会的支付约束等）远强于通过改变权力结构形成的间接传导。管理层权力作为中介变量的传导虽在统计上成立，但在经济规模上受到两个因素的制约：从测度上看，Power本身是基于可观测治理特征构造的经验性综合测度，难以完整捕捉真实的权力变动；从估计结构看，公司固定效应思路下的</w:t>
      </w:r>
      <w:r>
        <w:rPr>
          <w:rFonts w:ascii="Times New Roman" w:hAnsi="Times New Roman" w:eastAsia="宋体"/>
          <w:b w:val="0"/>
          <w:sz w:val="21"/>
        </w:rPr>
        <w:t xml:space="preserve"> Power </w:t>
      </w:r>
      <w:r>
        <w:rPr>
          <w:rFonts w:hint="eastAsia" w:ascii="Times New Roman" w:hAnsi="Times New Roman" w:eastAsia="宋体"/>
          <w:b w:val="0"/>
          <w:sz w:val="21"/>
        </w:rPr>
        <w:t xml:space="preserve">组内变异主要来自治理结构的缓慢调整，这部分变异本身就较小。因此，相关证据更适合理解为“传导力度有限，但权力渠道存在”。</w:t>
      </w:r>
    </w:p>
    <w:bookmarkEnd w:id="62"/>
    <w:bookmarkEnd w:id="63"/>
    <w:bookmarkStart w:id="66" w:name="异质性分析"/>
    <w:p>
      <w:pPr>
        <w:pStyle w:val="2"/>
        <w:spacing w:line="312" w:lineRule="auto" w:before="0" w:after="0"/>
        <w:ind w:firstLine="0"/>
        <w:jc w:val="left"/>
      </w:pPr>
      <w:bookmarkStart w:id="128" w:name="_TocAuto0024"/>
      <w:r>
        <w:rPr>
          <w:rFonts w:ascii="Times New Roman" w:hAnsi="Times New Roman" w:eastAsia="黑体"/>
          <w:b w:val="0"/>
          <w:sz w:val="28"/>
        </w:rPr>
        <w:t xml:space="preserve">4.8 </w:t>
      </w:r>
      <w:r>
        <w:rPr>
          <w:rFonts w:hint="eastAsia" w:ascii="Times New Roman" w:hAnsi="Times New Roman" w:eastAsia="黑体"/>
          <w:b w:val="0"/>
          <w:sz w:val="28"/>
        </w:rPr>
        <w:t xml:space="preserve">异质性分析</w:t>
      </w:r>
      <w:bookmarkEnd w:id="128"/>
    </w:p>
    <w:bookmarkStart w:id="67" w:name="产权性质差异"/>
    <w:p>
      <w:pPr>
        <w:pStyle w:val="31"/>
        <w:spacing w:line="312" w:lineRule="auto" w:before="0" w:after="0"/>
        <w:ind w:firstLine="420"/>
        <w:jc w:val="left"/>
      </w:pPr>
      <w:r>
        <w:rPr>
          <w:rFonts w:ascii="Times New Roman" w:hAnsi="Times New Roman" w:eastAsia="宋体"/>
          <w:b w:val="0"/>
          <w:sz w:val="24"/>
        </w:rPr>
        <w:t xml:space="preserve">4.8.1 </w:t>
      </w:r>
      <w:r>
        <w:rPr>
          <w:rFonts w:hint="eastAsia" w:ascii="Times New Roman" w:hAnsi="Times New Roman" w:eastAsia="宋体"/>
          <w:b w:val="0"/>
          <w:sz w:val="24"/>
        </w:rPr>
        <w:t xml:space="preserve">产权性质差异</w:t>
      </w:r>
    </w:p>
    <w:p>
      <w:pPr>
        <w:spacing w:line="312" w:lineRule="auto" w:before="0" w:after="0"/>
        <w:ind w:firstLine="420"/>
        <w:jc w:val="both"/>
      </w:pPr>
      <w:r>
        <w:rPr>
          <w:rFonts w:hint="eastAsia" w:ascii="Times New Roman" w:hAnsi="Times New Roman" w:eastAsia="宋体"/>
          <w:b w:val="0"/>
          <w:sz w:val="21"/>
        </w:rPr>
        <w:t xml:space="preserve">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pPr>
        <w:spacing w:line="312" w:lineRule="auto" w:before="0" w:after="0"/>
        <w:ind w:firstLine="0"/>
        <w:jc w:val="center"/>
      </w:pPr>
      <w:r>
        <w:rPr>
          <w:rFonts w:hint="eastAsia" w:ascii="Times New Roman" w:hAnsi="Times New Roman" w:eastAsia="宋体"/>
          <w:b/>
          <w:sz w:val="18"/>
        </w:rPr>
        <w:t xml:space="preserve">表4-12</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19" name="Picture"/>
            <a:graphic>
              <a:graphicData uri="http://schemas.openxmlformats.org/drawingml/2006/picture">
                <pic:pic>
                  <pic:nvPicPr>
                    <pic:cNvPr descr="generated_tables/table_13.png" id="19" name="Picture"/>
                    <pic:cNvPicPr>
                      <a:picLocks noChangeArrowheads="1" noChangeAspect="1"/>
                    </pic:cNvPicPr>
                  </pic:nvPicPr>
                  <pic:blipFill>
                    <a:blip r:embed="rId41"/>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1.04）；私营企业组的系数为0.0135，并在1%的统计层面上显著为正。这说明在新的基准回归口径下，补贴强度与超额薪酬之间的正向关联主要集中在私营企业，而在国有企业中并未形成稳健证据。</w:t>
      </w:r>
    </w:p>
    <w:p>
      <w:pPr>
        <w:spacing w:line="312" w:lineRule="auto" w:before="0" w:after="0"/>
        <w:ind w:firstLine="420"/>
        <w:jc w:val="both"/>
      </w:pPr>
      <w:r>
        <w:rPr>
          <w:rFonts w:hint="eastAsia" w:ascii="Times New Roman" w:hAnsi="Times New Roman" w:eastAsia="宋体"/>
          <w:b w:val="0"/>
          <w:sz w:val="21"/>
        </w:rPr>
        <w:t xml:space="preserve">这一差异可以从以下几个层面加以理解。制度约束的刚性不同，是首要解释。2015年国务院出台的《中央管理企业负责人薪酬制度改革方案》对国有企业高管薪酬设定了明确上限，并要求薪酬与企业经营业绩和职工收入挂钩。在此类行政限薪路线下，即便国有企业获得了较高额度的财政补贴，高管薪酬的上调空间也受到制度天花板的严格约束，补贴资源难以直接转化为高管的额外报酬。相比之下，私营企业的薪酬安排更多依赖市场通道和董事会内部谈判，行政限薪的外部硬约束相对缺位，补贴带来的资源扩张更容易转化为高管在薪酬谈判中的议价筹码。</w:t>
      </w:r>
    </w:p>
    <w:p>
      <w:pPr>
        <w:spacing w:line="312" w:lineRule="auto" w:before="0" w:after="0"/>
        <w:ind w:firstLine="420"/>
        <w:jc w:val="both"/>
      </w:pPr>
      <w:r>
        <w:rPr>
          <w:rFonts w:hint="eastAsia" w:ascii="Times New Roman" w:hAnsi="Times New Roman" w:eastAsia="宋体"/>
          <w:b w:val="0"/>
          <w:sz w:val="21"/>
        </w:rPr>
        <w:t xml:space="preserve">另一处差异来自委托代理链条。国有企业通常面临多层委托代理结构：国资委、党委会、董事会和经理层之间形成多重监督关系。党委会在”三重一大”决策逻辑中对高管薪酬具有实质性审议权，国资委的年度经营考核也会对薪酬总额形成约束。这些多层嵌套的监督约束客观上压缩了管理层利用补贴资源抬高薪酬的空间。私营企业的委托代理链条相对简单，虽然大股东在理论上可以发挥监督功能，但当实际控制人与高管身份重叠或关系密切时，内部制衡的有效性会显著下降。</w:t>
      </w:r>
    </w:p>
    <w:p>
      <w:pPr>
        <w:spacing w:line="312" w:lineRule="auto" w:before="0" w:after="0"/>
        <w:ind w:firstLine="420"/>
        <w:jc w:val="both"/>
      </w:pPr>
      <w:r>
        <w:rPr>
          <w:rFonts w:hint="eastAsia" w:ascii="Times New Roman" w:hAnsi="Times New Roman" w:eastAsia="宋体"/>
          <w:b w:val="0"/>
          <w:sz w:val="21"/>
        </w:rPr>
        <w:t xml:space="preserve">从模型拟合角度看，国有企业组的R²（0.0041）远低于私营企业组（0.0365），说明在国有企业内部，当前模型所纳入的市场化治理变量（Roa、Lever、Top1）对超额薪酬变动的解释力明显不足。这也从侧面反映出，国有企业高管薪酬的形成安排更多受行政体制和组织安排驱动，而非单纯由市场化的财务变量所决定。</w:t>
      </w:r>
    </w:p>
    <w:p>
      <w:pPr>
        <w:spacing w:line="312" w:lineRule="auto" w:before="0" w:after="0"/>
        <w:ind w:firstLine="420"/>
        <w:jc w:val="both"/>
      </w:pPr>
      <w:r>
        <w:rPr>
          <w:rFonts w:hint="eastAsia" w:ascii="Times New Roman" w:hAnsi="Times New Roman" w:eastAsia="宋体"/>
          <w:b w:val="0"/>
          <w:sz w:val="21"/>
        </w:rPr>
        <w:t xml:space="preserve">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64"/>
    <w:bookmarkStart w:id="68" w:name="行业管制强度差异"/>
    <w:p>
      <w:pPr>
        <w:pStyle w:val="31"/>
        <w:spacing w:line="312" w:lineRule="auto" w:before="0" w:after="0"/>
        <w:ind w:firstLine="420"/>
        <w:jc w:val="left"/>
      </w:pPr>
      <w:r>
        <w:rPr>
          <w:rFonts w:ascii="Times New Roman" w:hAnsi="Times New Roman" w:eastAsia="宋体"/>
          <w:b w:val="0"/>
          <w:sz w:val="24"/>
        </w:rPr>
        <w:t xml:space="preserve">4.8.2 </w:t>
      </w:r>
      <w:r>
        <w:rPr>
          <w:rFonts w:hint="eastAsia" w:ascii="Times New Roman" w:hAnsi="Times New Roman" w:eastAsia="宋体"/>
          <w:b w:val="0"/>
          <w:sz w:val="24"/>
        </w:rPr>
        <w:t xml:space="preserve">行业管制强度差异</w:t>
      </w:r>
    </w:p>
    <w:p>
      <w:pPr>
        <w:spacing w:line="312" w:lineRule="auto" w:before="0" w:after="0"/>
        <w:ind w:firstLine="420"/>
        <w:jc w:val="both"/>
      </w:pPr>
      <w:r>
        <w:rPr>
          <w:rFonts w:hint="eastAsia" w:ascii="Times New Roman" w:hAnsi="Times New Roman" w:eastAsia="宋体"/>
          <w:b w:val="0"/>
          <w:sz w:val="21"/>
        </w:rPr>
        <w:t xml:space="preserve">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pPr>
        <w:spacing w:line="312" w:lineRule="auto" w:before="0" w:after="0"/>
        <w:ind w:firstLine="0"/>
        <w:jc w:val="center"/>
      </w:pPr>
      <w:r>
        <w:rPr>
          <w:rFonts w:hint="eastAsia" w:ascii="Times New Roman" w:hAnsi="Times New Roman" w:eastAsia="宋体"/>
          <w:b/>
          <w:sz w:val="18"/>
        </w:rPr>
        <w:t xml:space="preserve">表4-13</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20" name="Picture"/>
            <a:graphic>
              <a:graphicData uri="http://schemas.openxmlformats.org/drawingml/2006/picture">
                <pic:pic>
                  <pic:nvPicPr>
                    <pic:cNvPr descr="generated_tables/table_14.png" id="20" name="Picture"/>
                    <pic:cNvPicPr>
                      <a:picLocks noChangeArrowheads="1" noChangeAspect="1"/>
                    </pic:cNvPicPr>
                  </pic:nvPicPr>
                  <pic:blipFill>
                    <a:blip r:embed="rId42"/>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−0.36）。这说明补贴强度与超额薪酬的正向关联主要出现在非管制行业，在管制行业中这一传导路径基本不成立。</w:t>
      </w:r>
    </w:p>
    <w:p>
      <w:pPr>
        <w:spacing w:line="312" w:lineRule="auto" w:before="0" w:after="0"/>
        <w:ind w:firstLine="420"/>
        <w:jc w:val="both"/>
      </w:pPr>
      <w:r>
        <w:rPr>
          <w:rFonts w:hint="eastAsia" w:ascii="Times New Roman" w:hAnsi="Times New Roman" w:eastAsia="宋体"/>
          <w:b w:val="0"/>
          <w:sz w:val="21"/>
        </w:rPr>
        <w:t xml:space="preserve">两组统计信息的差异可以从以下几个维度深入理解。管制行业面对更严格的补贴用途约束。采掘业、电力热力燃气及水的生产和供应业、交通运输等行业通常带有公共事业属性，其获得的财政补贴往往附带明确的专项用途要求（如基础设施建设、价格稳定补贴等），补贴资金的挪用空间较小。相比之下，非管制行业的补贴更多以研发补助、产业扶持等形式发放，资金使用的自由裁量权更大，管理层在补贴分配中的话语权也更强，补贴资源更容易在内部转化为薪酬议价的筹码。</w:t>
      </w:r>
    </w:p>
    <w:p>
      <w:pPr>
        <w:spacing w:line="312" w:lineRule="auto" w:before="0" w:after="0"/>
        <w:ind w:firstLine="420"/>
        <w:jc w:val="both"/>
      </w:pPr>
      <w:r>
        <w:rPr>
          <w:rFonts w:hint="eastAsia" w:ascii="Times New Roman" w:hAnsi="Times New Roman" w:eastAsia="宋体"/>
          <w:b w:val="0"/>
          <w:sz w:val="21"/>
        </w:rPr>
        <w:t xml:space="preserve">外部监管频率和深度也不同。价格管制通道、行业准入审批、定期的监管核查和信息披露要求，使得管制行业企业的经营和财务状况长期处于较高的外部关注之下。这种持续性的监管压力对高管薪酬安排形成了有效的外部制衡，削弱了补贴资源向超额薪酬传导的可能性。而非管制行业的企业在薪酬制定上享有更大的市场化空间，外部监管的介入相对有限，补贴与薪酬之间的联动因而更容易形成。</w:t>
      </w:r>
    </w:p>
    <w:p>
      <w:pPr>
        <w:spacing w:line="312" w:lineRule="auto" w:before="0" w:after="0"/>
        <w:ind w:firstLine="420"/>
        <w:jc w:val="both"/>
      </w:pPr>
      <w:r>
        <w:rPr>
          <w:rFonts w:hint="eastAsia" w:ascii="Times New Roman" w:hAnsi="Times New Roman" w:eastAsia="宋体"/>
          <w:b w:val="0"/>
          <w:sz w:val="21"/>
        </w:rPr>
        <w:t xml:space="preserve">管制行业组的Top1系数（−0.0052，1%显著）明显大于非管制行业组（−0.0019，5%显著），说明在管制行业中大股东监督对超额薪酬的抑制效应更强。管制行业中国有资本占比通常较高，大股东（往往是国资机构）对薪酬安排的约束力度更大。这也解释了为什么管制行业的R²（0.0644）反而高于非管制行业（0.0184）：在管制行业中，财务杠杆和股权监督等控制变量对超额薪酬的解释力更强，说明这些行业的薪酬安排受制度约束和外部监督牵动更为明显，模型的解释力相应提升。</w:t>
      </w:r>
    </w:p>
    <w:p>
      <w:pPr>
        <w:spacing w:line="312" w:lineRule="auto" w:before="0" w:after="0"/>
        <w:ind w:firstLine="420"/>
        <w:jc w:val="both"/>
      </w:pPr>
      <w:r>
        <w:rPr>
          <w:rFonts w:hint="eastAsia" w:ascii="Times New Roman" w:hAnsi="Times New Roman" w:eastAsia="宋体"/>
          <w:b w:val="0"/>
          <w:sz w:val="21"/>
        </w:rPr>
        <w:t xml:space="preserve">综合产权性质和行业管制两个维度的异质性估计，可以得到一个较为清晰的格局：补贴强度与超额薪酬的正向关联，主要出现在制度约束较弱、市场化程度较高的企业群体中（私营企业、非管制行业），而在制度约束较强的企业（国有企业、管制行业）中并不显著。这一格局与第二章理论考察中“治理约束强度调节补贴—薪酬传导”的推断高度一致，也为差异化监管政策的制定提供了经验参考。</w:t>
      </w:r>
    </w:p>
    <w:bookmarkEnd w:id="65"/>
    <w:bookmarkEnd w:id="66"/>
    <w:bookmarkEnd w:id="67"/>
    <w:bookmarkStart w:id="69" w:name="第五章-结论"/>
    <w:p>
      <w:pPr>
        <w:pStyle w:val="1"/>
        <w:pageBreakBefore/>
        <w:spacing w:line="312" w:lineRule="auto" w:before="0" w:after="0"/>
        <w:ind w:firstLine="0"/>
        <w:jc w:val="center"/>
      </w:pPr>
      <w:bookmarkStart w:id="129" w:name="_TocAuto0025"/>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29"/>
    </w:p>
    <w:bookmarkStart w:id="70" w:name="研究结论"/>
    <w:p>
      <w:pPr>
        <w:pStyle w:val="2"/>
        <w:spacing w:line="312" w:lineRule="auto" w:before="0" w:after="0"/>
        <w:ind w:firstLine="0"/>
        <w:jc w:val="left"/>
      </w:pPr>
      <w:bookmarkStart w:id="130" w:name="_TocAuto0026"/>
      <w:r>
        <w:rPr>
          <w:rFonts w:ascii="Times New Roman" w:hAnsi="Times New Roman" w:eastAsia="黑体"/>
          <w:b w:val="0"/>
          <w:sz w:val="28"/>
        </w:rPr>
        <w:t xml:space="preserve">5.1 </w:t>
      </w:r>
      <w:r>
        <w:rPr>
          <w:rFonts w:hint="eastAsia" w:ascii="Times New Roman" w:hAnsi="Times New Roman" w:eastAsia="黑体"/>
          <w:b w:val="0"/>
          <w:sz w:val="28"/>
        </w:rPr>
        <w:t xml:space="preserve">研究结论</w:t>
      </w:r>
      <w:bookmarkEnd w:id="130"/>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现有证据仍不足以支持无条件的强因果结论。</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在“上一年已获得补贴”的公司年度中，滞后一期补贴强度与高管超额薪酬之间存在显著正向关联。</w:t>
      </w:r>
      <w:r>
        <w:rPr>
          <w:rFonts w:ascii="Times New Roman" w:hAnsi="Times New Roman" w:eastAsia="宋体"/>
          <w:b w:val="0"/>
          <w:sz w:val="21"/>
        </w:rPr>
        <w:t xml:space="preserve"> </w:t>
      </w:r>
      <w:r>
        <w:rPr>
          <w:rFonts w:hint="eastAsia" w:ascii="Times New Roman" w:hAnsi="Times New Roman" w:eastAsia="宋体"/>
          <w:b w:val="0"/>
          <w:sz w:val="21"/>
        </w:rPr>
        <w:t xml:space="preserve">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的系数为0.0094（p</w:t>
      </w:r>
      <w:r>
        <w:rPr>
          <w:rFonts w:ascii="Times New Roman" w:hAnsi="Times New Roman" w:eastAsia="宋体"/>
          <w:b w:val="0"/>
          <w:sz w:val="21"/>
        </w:rPr>
        <w:t xml:space="preserve"> = </w:t>
      </w:r>
      <w:r>
        <w:rPr>
          <w:rFonts w:hint="eastAsia" w:ascii="Times New Roman" w:hAnsi="Times New Roman" w:eastAsia="宋体"/>
          <w:b w:val="0"/>
          <w:sz w:val="21"/>
        </w:rPr>
        <w:t xml:space="preserve">0.005）。也就是说，在已获补贴企业内部，补贴拿得更多，后续超额薪酬也更高。与旧的全样本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相比，这一基准回归把“是否获得补贴”和“获得补贴后的强弱差异”拆开处理，更贴近本文真正要回答的命题。从经济幅度看，该系数对应约0.016个标准差的残差变化，统计上稳健，经济规模有限。这与财政补贴作为条件性政策冲击的性质是一致的：补贴并非企业的主要收入来源，其对高管薪酬的边际效应通常小于企业盈利和规模等核心驱动力。</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基准回归在多种稳健性设定下保持正向显著，异质性格局也较为清晰。</w:t>
      </w:r>
      <w:r>
        <w:rPr>
          <w:rFonts w:ascii="Times New Roman" w:hAnsi="Times New Roman" w:eastAsia="宋体"/>
          <w:b w:val="0"/>
          <w:sz w:val="21"/>
        </w:rPr>
        <w:t xml:space="preserve"> </w:t>
      </w:r>
      <w:r>
        <w:rPr>
          <w:rFonts w:hint="eastAsia" w:ascii="Times New Roman" w:hAnsi="Times New Roman" w:eastAsia="宋体"/>
          <w:b w:val="0"/>
          <w:sz w:val="21"/>
        </w:rPr>
        <w:t xml:space="preserve">将因变量替换为高管前三名薪酬对数后，补贴强度系数为0.0331（p</w:t>
      </w:r>
      <w:r>
        <w:rPr>
          <w:rFonts w:ascii="Times New Roman" w:hAnsi="Times New Roman" w:eastAsia="宋体"/>
          <w:b w:val="0"/>
          <w:sz w:val="21"/>
        </w:rPr>
        <w:t xml:space="preserve"> &lt; </w:t>
      </w:r>
      <w:r>
        <w:rPr>
          <w:rFonts w:hint="eastAsia" w:ascii="Times New Roman" w:hAnsi="Times New Roman" w:eastAsia="宋体"/>
          <w:b w:val="0"/>
          <w:sz w:val="21"/>
        </w:rPr>
        <w:t xml:space="preserve">0.001）；样本期缩短至2010—2020年后，系数为0.0120（p</w:t>
      </w:r>
      <w:r>
        <w:rPr>
          <w:rFonts w:ascii="Times New Roman" w:hAnsi="Times New Roman" w:eastAsia="宋体"/>
          <w:b w:val="0"/>
          <w:sz w:val="21"/>
        </w:rPr>
        <w:t xml:space="preserve"> = </w:t>
      </w:r>
      <w:r>
        <w:rPr>
          <w:rFonts w:hint="eastAsia" w:ascii="Times New Roman" w:hAnsi="Times New Roman" w:eastAsia="宋体"/>
          <w:b w:val="0"/>
          <w:sz w:val="21"/>
        </w:rPr>
        <w:t xml:space="preserve">0.003）；仅保留制造业样本后，系数为0.0099（p</w:t>
      </w:r>
      <w:r>
        <w:rPr>
          <w:rFonts w:ascii="Times New Roman" w:hAnsi="Times New Roman" w:eastAsia="宋体"/>
          <w:b w:val="0"/>
          <w:sz w:val="21"/>
        </w:rPr>
        <w:t xml:space="preserve"> = </w:t>
      </w:r>
      <w:r>
        <w:rPr>
          <w:rFonts w:hint="eastAsia" w:ascii="Times New Roman" w:hAnsi="Times New Roman" w:eastAsia="宋体"/>
          <w:b w:val="0"/>
          <w:sz w:val="21"/>
        </w:rPr>
        <w:t xml:space="preserve">0.023）；引入行业×年份固定效应后，系数仍为0.0082（p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0.013）。产权与行业分组说明，正向关联主要集中在私营企业（0.0135，p</w:t>
      </w:r>
      <w:r>
        <w:rPr>
          <w:rFonts w:ascii="Times New Roman" w:hAnsi="Times New Roman" w:eastAsia="宋体"/>
          <w:b w:val="0"/>
          <w:sz w:val="21"/>
        </w:rPr>
        <w:t xml:space="preserve"> = </w:t>
      </w:r>
      <w:r>
        <w:rPr>
          <w:rFonts w:hint="eastAsia" w:ascii="Times New Roman" w:hAnsi="Times New Roman" w:eastAsia="宋体"/>
          <w:b w:val="0"/>
          <w:sz w:val="21"/>
        </w:rPr>
        <w:t xml:space="preserve">0.004）和非管制行业（0.0110，p</w:t>
      </w:r>
      <w:r>
        <w:rPr>
          <w:rFonts w:ascii="Times New Roman" w:hAnsi="Times New Roman" w:eastAsia="宋体"/>
          <w:b w:val="0"/>
          <w:sz w:val="21"/>
        </w:rPr>
        <w:t xml:space="preserve"> = </w:t>
      </w:r>
      <w:r>
        <w:rPr>
          <w:rFonts w:hint="eastAsia" w:ascii="Times New Roman" w:hAnsi="Times New Roman" w:eastAsia="宋体"/>
          <w:b w:val="0"/>
          <w:sz w:val="21"/>
        </w:rPr>
        <w:t xml:space="preserve">0.004），国有企业、管制行业以及央地国企内部都未形成稳健显著估计。这一格局与制度背景大体一致：国有企业受行政限薪和组织考核约束更强，管制行业也面临更多外部约束；私营企业和非管制行业的薪酬形成更依赖市场逻辑和内部谈判，补贴带来的资源扩张更容易转化为高管议价空间。</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选择偏差校正和事件动态检验均未改变基准回归方向，因果解释仍需保持谨慎。</w:t>
      </w:r>
      <w:r>
        <w:rPr>
          <w:rFonts w:ascii="Times New Roman" w:hAnsi="Times New Roman" w:eastAsia="宋体"/>
          <w:b w:val="0"/>
          <w:sz w:val="21"/>
        </w:rPr>
        <w:t xml:space="preserve"> </w:t>
      </w:r>
      <w:r>
        <w:rPr>
          <w:rFonts w:hint="eastAsia" w:ascii="Times New Roman" w:hAnsi="Times New Roman" w:eastAsia="宋体"/>
          <w:b w:val="0"/>
          <w:sz w:val="21"/>
        </w:rPr>
        <w:t xml:space="preserve">基准回归口径下，Heckman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两步法中的逆米尔斯比率显著（p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0.0056），校正后的补贴系数仍为0.0093（p</w:t>
      </w:r>
      <w:r>
        <w:rPr>
          <w:rFonts w:ascii="Times New Roman" w:hAnsi="Times New Roman" w:eastAsia="宋体"/>
          <w:b w:val="0"/>
          <w:sz w:val="21"/>
        </w:rPr>
        <w:t xml:space="preserve"> = </w:t>
      </w:r>
      <w:r>
        <w:rPr>
          <w:rFonts w:hint="eastAsia" w:ascii="Times New Roman" w:hAnsi="Times New Roman" w:eastAsia="宋体"/>
          <w:b w:val="0"/>
          <w:sz w:val="21"/>
        </w:rPr>
        <w:t xml:space="preserve">0.008），说明主估计不宜简单归因于样本选择。进一步看，事件研究中的前趋势联合检验</w:t>
      </w:r>
      <w:r>
        <w:rPr>
          <w:rFonts w:ascii="Times New Roman" w:hAnsi="Times New Roman" w:eastAsia="宋体"/>
          <w:b w:val="0"/>
          <w:sz w:val="21"/>
        </w:rPr>
        <w:t xml:space="preserve"> p </w:t>
      </w:r>
      <w:r>
        <w:rPr>
          <w:rFonts w:hint="eastAsia" w:ascii="Times New Roman" w:hAnsi="Times New Roman" w:eastAsia="宋体"/>
          <w:b w:val="0"/>
          <w:sz w:val="21"/>
        </w:rPr>
        <w:t xml:space="preserve">值为0.669，事件当期及随后1至3期的系数分别为0.0235（p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0.007），指向高补贴事件发生前未观察到显著预趋势，事件之后超额薪酬则出现持续上行。表4-5的正向结论在识别边界收紧后仍然存在，正文仍把它解释为较稳健的条件相关，而非无条件强因果效应。</w:t>
      </w:r>
    </w:p>
    <w:p>
      <w:pPr>
        <w:spacing w:line="312" w:lineRule="auto" w:before="0" w:after="0"/>
        <w:ind w:firstLine="420"/>
        <w:jc w:val="both"/>
      </w:pPr>
      <w:r>
        <w:rPr>
          <w:rFonts w:hint="eastAsia" w:ascii="Times New Roman" w:hAnsi="Times New Roman" w:eastAsia="宋体"/>
          <w:b w:val="0"/>
          <w:sz w:val="21"/>
        </w:rPr>
        <w:t xml:space="preserve">（4）</w:t>
      </w:r>
      <w:r>
        <w:rPr>
          <w:rFonts w:ascii="Times New Roman" w:hAnsi="Times New Roman" w:eastAsia="宋体"/>
          <w:b w:val="0"/>
          <w:bCs/>
          <w:sz w:val="21"/>
        </w:rPr>
        <w:t xml:space="preserve">PCA </w:t>
      </w:r>
      <w:r>
        <w:rPr>
          <w:rFonts w:hint="eastAsia" w:ascii="Times New Roman" w:hAnsi="Times New Roman" w:eastAsia="宋体"/>
          <w:b w:val="0"/>
          <w:bCs/>
          <w:sz w:val="21"/>
        </w:rPr>
        <w:t xml:space="preserve">口径下，管理层权力在补贴强度与超额薪酬之间发挥了部分中介角色，H2</w:t>
      </w:r>
      <w:r>
        <w:rPr>
          <w:rFonts w:ascii="Times New Roman" w:hAnsi="Times New Roman" w:eastAsia="宋体"/>
          <w:b w:val="0"/>
          <w:bCs/>
          <w:sz w:val="21"/>
        </w:rPr>
        <w:t xml:space="preserve"> </w:t>
      </w:r>
      <w:r>
        <w:rPr>
          <w:rFonts w:hint="eastAsia" w:ascii="Times New Roman" w:hAnsi="Times New Roman" w:eastAsia="宋体"/>
          <w:b w:val="0"/>
          <w:bCs/>
          <w:sz w:val="21"/>
        </w:rPr>
        <w:t xml:space="preserve">获得支持，经济幅度较小。</w:t>
      </w:r>
      <w:r>
        <w:rPr>
          <w:rFonts w:ascii="Times New Roman" w:hAnsi="Times New Roman" w:eastAsia="宋体"/>
          <w:b w:val="0"/>
          <w:sz w:val="21"/>
        </w:rPr>
        <w:t xml:space="preserve"> </w:t>
      </w:r>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管理层权力）为正且显著（0.0146，p</w:t>
      </w:r>
      <w:r>
        <w:rPr>
          <w:rFonts w:ascii="Times New Roman" w:hAnsi="Times New Roman" w:eastAsia="宋体"/>
          <w:b w:val="0"/>
          <w:sz w:val="21"/>
        </w:rPr>
        <w:t xml:space="preserve"> = </w:t>
      </w:r>
      <w:r>
        <w:rPr>
          <w:rFonts w:hint="eastAsia" w:ascii="Times New Roman" w:hAnsi="Times New Roman" w:eastAsia="宋体"/>
          <w:b w:val="0"/>
          <w:sz w:val="21"/>
        </w:rPr>
        <w:t xml:space="preserve">0.005），路径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超额薪酬）同样显著为正（0.0173，p</w:t>
      </w:r>
      <w:r>
        <w:rPr>
          <w:rFonts w:ascii="Times New Roman" w:hAnsi="Times New Roman" w:eastAsia="宋体"/>
          <w:b w:val="0"/>
          <w:sz w:val="21"/>
        </w:rPr>
        <w:t xml:space="preserve"> = </w:t>
      </w:r>
      <w:r>
        <w:rPr>
          <w:rFonts w:hint="eastAsia" w:ascii="Times New Roman" w:hAnsi="Times New Roman" w:eastAsia="宋体"/>
          <w:b w:val="0"/>
          <w:sz w:val="21"/>
        </w:rPr>
        <w:t xml:space="preserve">0.011），直接效应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仍在1%层面显著（0.0089，p</w:t>
      </w:r>
      <w:r>
        <w:rPr>
          <w:rFonts w:ascii="Times New Roman" w:hAnsi="Times New Roman" w:eastAsia="宋体"/>
          <w:b w:val="0"/>
          <w:sz w:val="21"/>
        </w:rPr>
        <w:t xml:space="preserve"> = </w:t>
      </w:r>
      <w:r>
        <w:rPr>
          <w:rFonts w:hint="eastAsia" w:ascii="Times New Roman" w:hAnsi="Times New Roman" w:eastAsia="宋体"/>
          <w:b w:val="0"/>
          <w:sz w:val="21"/>
        </w:rPr>
        <w:t xml:space="preserve">0.009）。Bootstrap</w:t>
      </w:r>
      <w:r>
        <w:rPr>
          <w:rFonts w:ascii="Times New Roman" w:hAnsi="Times New Roman" w:eastAsia="宋体"/>
          <w:b w:val="0"/>
          <w:sz w:val="21"/>
        </w:rPr>
        <w:t xml:space="preserve"> </w:t>
      </w:r>
      <w:r>
        <w:rPr>
          <w:rFonts w:hint="eastAsia" w:ascii="Times New Roman" w:hAnsi="Times New Roman" w:eastAsia="宋体"/>
          <w:b w:val="0"/>
          <w:sz w:val="21"/>
        </w:rPr>
        <w:t xml:space="preserve">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0.000609]，不包含零（p</w:t>
      </w:r>
      <w:r>
        <w:rPr>
          <w:rFonts w:ascii="Times New Roman" w:hAnsi="Times New Roman" w:eastAsia="宋体"/>
          <w:b w:val="0"/>
          <w:sz w:val="21"/>
        </w:rPr>
        <w:t xml:space="preserve"> = </w:t>
      </w:r>
      <w:r>
        <w:rPr>
          <w:rFonts w:hint="eastAsia" w:ascii="Times New Roman" w:hAnsi="Times New Roman" w:eastAsia="宋体"/>
          <w:b w:val="0"/>
          <w:sz w:val="21"/>
        </w:rPr>
        <w:t xml:space="preserve">0.007），说明经由管理层权力的间接传导路径在统计上成立。间接效应仅占总效应的约3%，因此相关证据更适合理解为“传导力度有限，但权力渠道存在”。</w:t>
      </w:r>
    </w:p>
    <w:p>
      <w:pPr>
        <w:spacing w:line="312" w:lineRule="auto" w:before="0" w:after="0"/>
        <w:ind w:firstLine="420"/>
        <w:jc w:val="both"/>
      </w:pPr>
      <w:r>
        <w:rPr>
          <w:rFonts w:hint="eastAsia" w:ascii="Times New Roman" w:hAnsi="Times New Roman" w:eastAsia="宋体"/>
          <w:b w:val="0"/>
          <w:sz w:val="21"/>
        </w:rPr>
        <w:t xml:space="preserve">（5）</w:t>
      </w:r>
      <w:r>
        <w:rPr>
          <w:rFonts w:hint="eastAsia" w:ascii="Times New Roman" w:hAnsi="Times New Roman" w:eastAsia="宋体"/>
          <w:b w:val="0"/>
          <w:bCs/>
          <w:sz w:val="21"/>
        </w:rPr>
        <w:t xml:space="preserve">机器学习补充验证在与基准回归一致的43,417条样本上，为基准回归提供了辅助线索。</w:t>
      </w:r>
      <w:r>
        <w:rPr>
          <w:rFonts w:ascii="Times New Roman" w:hAnsi="Times New Roman" w:eastAsia="宋体"/>
          <w:b w:val="0"/>
          <w:sz w:val="21"/>
        </w:rPr>
        <w:t xml:space="preserve"> </w:t>
      </w:r>
      <w:r>
        <w:rPr>
          <w:rFonts w:hint="eastAsia" w:ascii="Times New Roman" w:hAnsi="Times New Roman" w:eastAsia="宋体"/>
          <w:b w:val="0"/>
          <w:sz w:val="21"/>
        </w:rPr>
        <w:t xml:space="preserve">随机森林中，lnSubsidy_pos_l1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在4个输入特征中排名第3；基于随机森林计算的平均绝对SHAP值中，lnSubsidy_pos_l1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同样排名第3；Lasso</w:t>
      </w:r>
      <w:r>
        <w:rPr>
          <w:rFonts w:ascii="Times New Roman" w:hAnsi="Times New Roman" w:eastAsia="宋体"/>
          <w:b w:val="0"/>
          <w:sz w:val="21"/>
        </w:rPr>
        <w:t xml:space="preserve"> </w:t>
      </w:r>
      <w:r>
        <w:rPr>
          <w:rFonts w:hint="eastAsia" w:ascii="Times New Roman" w:hAnsi="Times New Roman" w:eastAsia="宋体"/>
          <w:b w:val="0"/>
          <w:sz w:val="21"/>
        </w:rPr>
        <w:t xml:space="preserve">估计显示</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未被压缩为0，且系数为正；XGBoost</w:t>
      </w:r>
      <w:r>
        <w:rPr>
          <w:rFonts w:ascii="Times New Roman" w:hAnsi="Times New Roman" w:eastAsia="宋体"/>
          <w:b w:val="0"/>
          <w:sz w:val="21"/>
        </w:rPr>
        <w:t xml:space="preserve"> </w:t>
      </w:r>
      <w:r>
        <w:rPr>
          <w:rFonts w:hint="eastAsia" w:ascii="Times New Roman" w:hAnsi="Times New Roman" w:eastAsia="宋体"/>
          <w:b w:val="0"/>
          <w:sz w:val="21"/>
        </w:rPr>
        <w:t xml:space="preserve">的特征重要性中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排名第2，财政补贴的部分依赖曲线整体呈上升趋势。这显示在严格匹配基准回归变量口径的前提下，财政补贴强度在预测层面的正向信息并未消失。机器学习检验本质上仍属于辅助验证，而非正式识别，不能替代计量回归中的显著性与因果识别结论。</w:t>
      </w:r>
    </w:p>
    <w:bookmarkEnd w:id="68"/>
    <w:bookmarkStart w:id="71" w:name="政策建议"/>
    <w:p>
      <w:pPr>
        <w:pStyle w:val="2"/>
        <w:spacing w:line="312" w:lineRule="auto" w:before="0" w:after="0"/>
        <w:ind w:firstLine="0"/>
        <w:jc w:val="left"/>
      </w:pPr>
      <w:bookmarkStart w:id="131" w:name="_TocAuto0027"/>
      <w:r>
        <w:rPr>
          <w:rFonts w:ascii="Times New Roman" w:hAnsi="Times New Roman" w:eastAsia="黑体"/>
          <w:b w:val="0"/>
          <w:sz w:val="28"/>
        </w:rPr>
        <w:t xml:space="preserve">5.2 </w:t>
      </w:r>
      <w:r>
        <w:rPr>
          <w:rFonts w:hint="eastAsia" w:ascii="Times New Roman" w:hAnsi="Times New Roman" w:eastAsia="黑体"/>
          <w:b w:val="0"/>
          <w:sz w:val="28"/>
        </w:rPr>
        <w:t xml:space="preserve">政策建议</w:t>
      </w:r>
      <w:bookmarkEnd w:id="131"/>
    </w:p>
    <w:p>
      <w:pPr>
        <w:spacing w:line="312" w:lineRule="auto" w:before="0" w:after="0"/>
        <w:ind w:firstLine="420"/>
        <w:jc w:val="both"/>
      </w:pPr>
      <w:r>
        <w:rPr>
          <w:rFonts w:hint="eastAsia" w:ascii="Times New Roman" w:hAnsi="Times New Roman" w:eastAsia="宋体"/>
          <w:b w:val="0"/>
          <w:sz w:val="21"/>
        </w:rPr>
        <w:t xml:space="preserve">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完善财政补贴项目的事后跟踪与信息对表约束。</w:t>
      </w:r>
      <w:r>
        <w:rPr>
          <w:rFonts w:ascii="Times New Roman" w:hAnsi="Times New Roman" w:eastAsia="宋体"/>
          <w:b w:val="0"/>
          <w:sz w:val="21"/>
        </w:rPr>
        <w:t xml:space="preserve"> </w:t>
      </w:r>
      <w:r>
        <w:rPr>
          <w:rFonts w:hint="eastAsia" w:ascii="Times New Roman" w:hAnsi="Times New Roman" w:eastAsia="宋体"/>
          <w:b w:val="0"/>
          <w:sz w:val="21"/>
        </w:rPr>
        <w:t xml:space="preserve">本文识别到的主要不是“全样本平均补贴效应”，而是已获补贴企业内部的强度效应。据此，监管重点不宜预设“补贴必然推高高管薪酬”，而更应关注补贴金额上升后，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 xml:space="preserve">监管机构可进一步要求上市公司清晰披露高管薪酬决定安排、绩效达标标准、薪酬委员会独立性评估证据，以及补贴是否纳入绩效考核基数。对补贴规模较大、财政补贴变量在机器学习补充验证中持续表现出较高重要性的企业，可把数据检验信息作为内部核查线索的补充参考，但不宜把机器学习图形或排序证据直接当作处罚和政策调整依据。监管重点应放在提高透明度、降低识别异常薪酬的成本，而不是把探索性模型输出误用为可靠证据。</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 xml:space="preserve">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69"/>
    <w:bookmarkStart w:id="72" w:name="研究局限与展望"/>
    <w:p>
      <w:pPr>
        <w:pStyle w:val="2"/>
        <w:spacing w:line="312" w:lineRule="auto" w:before="0" w:after="0"/>
        <w:ind w:firstLine="0"/>
        <w:jc w:val="left"/>
      </w:pPr>
      <w:bookmarkStart w:id="132" w:name="_TocAuto0028"/>
      <w:r>
        <w:rPr>
          <w:rFonts w:ascii="Times New Roman" w:hAnsi="Times New Roman" w:eastAsia="黑体"/>
          <w:b w:val="0"/>
          <w:sz w:val="28"/>
        </w:rPr>
        <w:t xml:space="preserve">5.3 </w:t>
      </w:r>
      <w:r>
        <w:rPr>
          <w:rFonts w:hint="eastAsia" w:ascii="Times New Roman" w:hAnsi="Times New Roman" w:eastAsia="黑体"/>
          <w:b w:val="0"/>
          <w:sz w:val="28"/>
        </w:rPr>
        <w:t xml:space="preserve">研究局限与展望</w:t>
      </w:r>
      <w:bookmarkEnd w:id="132"/>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本文已就财政补贴与高管超额薪酬之间的关系做了较为系统的检验，但受数据条件和识别做法限制，以下三个方向仍有待深化。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本文借助公司固定效应、行业×年份固定效应、事件动态检验以及针对正补助样本的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来源实施了较为系统的处理。尽管如此，这些工具更多是在当前样本边界内收紧识别，而非提供完全外生的政策冲击；而围绕当前基准样本统一重跑的传统留一法工具变量也未能提供稳定的一阶段支撑。未来考察仍有必要结合更具外生性的政策冲击，采用双重差分（DID）、断点回归（RDD）或其他准自然实验设计，以进一步提升因果识别的严谨性。此外，事件文献中高补贴事件的阈值目前固定为上四分位数，未来可检验替代阈值下动态检验结论的敏感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讨论重点放在已获补贴企业内部的补贴强度差异上，并主要依据可观测的治理特征刻画管理层权力，这有助于建立统一的实证结构，但对补贴类型差异、补贴进入样本之前的选择逻辑以及隐性权力来源的反映仍不够充分。未来检验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机器学习部分虽然已经采用建模样本与保留样本划分，并结合按公司分组的交叉验证，但总体上仍局限于当前样本设定，年报、社会责任报告和媒体报道等文本信息的利用也相对有限，相关证据更多体现为对传统回归结论的补充验证。由于机器学习部分严格限制在与基准回归一致的样本和四变量设定之内，第四章中的这组检验更适合被理解为对“已获补贴企业内部的补贴强度效应”这一主线判断的辅助证据，而不宜机械外推至全部基础样本或更宽的特征空间。未来课题可借助滚动窗口、跨市场样本和多源文本信息融合等方式，检验模型在不同阶段和不同情境下的稳健性，以便更全面地揭示财政补贴与高管薪酬之间关系的边界条件。</w:t>
      </w:r>
    </w:p>
    <w:bookmarkEnd w:id="70"/>
    <w:bookmarkEnd w:id="71"/>
    <w:bookmarkStart w:id="73" w:name="参考文献"/>
    <w:p>
      <w:pPr>
        <w:sectPr w:rsidR="004A72EC" w:rsidSect="00FB4C2E">
          <w:headerReference w:type="default" r:id="rId20"/>
          <w:footerReference w:type="default" r:id="rId21"/>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3" w:name="_TocAuto0029"/>
      <w:r>
        <w:rPr>
          <w:rFonts w:hint="eastAsia" w:ascii="Times New Roman" w:hAnsi="Times New Roman" w:eastAsia="黑体"/>
          <w:b/>
          <w:sz w:val="32"/>
        </w:rPr>
        <w:t xml:space="preserve">参考文献</w:t>
      </w:r>
      <w:bookmarkEnd w:id="133"/>
    </w:p>
    <w:p>
      <w:pPr>
        <w:spacing w:line="312" w:lineRule="auto" w:before="0" w:after="0"/>
        <w:ind w:firstLine="0"/>
        <w:jc w:val="both"/>
      </w:pPr>
      <w:r>
        <w:rPr>
          <w:rFonts w:ascii="Times New Roman" w:hAnsi="Times New Roman" w:eastAsia="宋体"/>
          <w:b w:val="0"/>
          <w:sz w:val="21"/>
        </w:rPr>
        <w:t xml:space="preserve">[1]BARON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[2]BEBCHUK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[3]BHATTACHARYA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[6]FINKELSTEIN S. Power in top management teams: Dimensions, measurement, and validation[J]. Academy of Management Journal, 1992, 35(3): 505–538.</w:t>
      </w:r>
    </w:p>
    <w:p>
      <w:pPr>
        <w:spacing w:line="312" w:lineRule="auto" w:before="0" w:after="0"/>
        <w:ind w:firstLine="0"/>
        <w:jc w:val="both"/>
      </w:pPr>
      <w:r>
        <w:rPr>
          <w:rFonts w:ascii="Times New Roman" w:hAnsi="Times New Roman" w:eastAsia="宋体"/>
          <w:b w:val="0"/>
          <w:sz w:val="21"/>
        </w:rPr>
        <w:t xml:space="preserve">[7]GU S, KELLY B, XIU D. Empirical asset pricing via machine learning[J]. The Review of Financial Studies, 2020, 33(5): 2223–2273.</w:t>
      </w:r>
    </w:p>
    <w:p>
      <w:pPr>
        <w:spacing w:line="312" w:lineRule="auto" w:before="0" w:after="0"/>
        <w:ind w:firstLine="0"/>
        <w:jc w:val="both"/>
      </w:pPr>
      <w:r>
        <w:rPr>
          <w:rFonts w:ascii="Times New Roman" w:hAnsi="Times New Roman" w:eastAsia="宋体"/>
          <w:b w:val="0"/>
          <w:sz w:val="21"/>
        </w:rPr>
        <w:t xml:space="preserve">[8]JENSEN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[9]JIANG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[10]KETELAAR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[11]LI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[12]PEROLS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[13]RJIBA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[14]SPENCE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[15]ZHAO Y, LYNCH J G, CHEN Q. Reconsidering Baron and Kenny: Myths and truths about mediation analysis[J]. Journal of Consumer Research, 2010, 37(2): 197–206.</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[18]方军雄.</w:t>
      </w:r>
      <w:r>
        <w:rPr>
          <w:rFonts w:ascii="Times New Roman" w:hAnsi="Times New Roman" w:eastAsia="宋体"/>
          <w:b w:val="0"/>
          <w:sz w:val="21"/>
        </w:rPr>
        <w:t xml:space="preserve"> </w:t>
      </w:r>
      <w:r>
        <w:rPr>
          <w:rFonts w:hint="eastAsia" w:ascii="Times New Roman" w:hAnsi="Times New Roman" w:eastAsia="宋体"/>
          <w:b w:val="0"/>
          <w:sz w:val="21"/>
        </w:rPr>
        <w:t xml:space="preserve">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经济研究，2009，44(3):</w:t>
      </w:r>
      <w:r>
        <w:rPr>
          <w:rFonts w:ascii="Times New Roman" w:hAnsi="Times New Roman" w:eastAsia="宋体"/>
          <w:b w:val="0"/>
          <w:sz w:val="21"/>
        </w:rPr>
        <w:t xml:space="preserve"> 110–124.</w:t>
      </w:r>
    </w:p>
    <w:p>
      <w:pPr>
        <w:spacing w:line="312" w:lineRule="auto" w:before="0" w:after="0"/>
        <w:ind w:firstLine="0"/>
        <w:jc w:val="both"/>
      </w:pPr>
      <w:r>
        <w:rPr>
          <w:rFonts w:hint="eastAsia" w:ascii="Times New Roman" w:hAnsi="Times New Roman" w:eastAsia="宋体"/>
          <w:b w:val="0"/>
          <w:sz w:val="21"/>
        </w:rPr>
        <w:t xml:space="preserve">[19]李哲，王文翰，王遥.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[20]连君莎.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[21]卢锐，柳建华，许宁.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[22]陆瑶，张叶青，黎波，等.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[23]罗进辉.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[25]马长峰，陈志娟，张顺明.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[26]潘红波，夏新平，余明桂.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[27]唐清泉，罗党论.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[28]王克敏，王华杰，李栋栋，等.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[29]吴妍.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[30]徐坤.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p>
      <w:pPr>
        <w:spacing w:line="312" w:lineRule="auto" w:before="0" w:after="0"/>
        <w:ind w:firstLine="0"/>
        <w:jc w:val="both"/>
      </w:pPr>
      <w:r>
        <w:rPr>
          <w:rFonts w:hint="eastAsia" w:ascii="Times New Roman" w:hAnsi="Times New Roman" w:eastAsia="宋体"/>
          <w:b w:val="0"/>
          <w:sz w:val="21"/>
        </w:rPr>
        <w:t xml:space="preserve">[31]章海浪.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[32]张莉莉.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bookmarkEnd w:id="72"/>
    <w:bookmarkStart w:id="74" w:name="致谢"/>
    <w:p>
      <w:pPr>
        <w:sectPr w:rsidR="004A72EC" w:rsidSect="00FB4C2E">
          <w:footerReference w:type="default" r:id="rId21"/>
          <w:headerReference w:type="default" r:id="rId20"/>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4" w:name="_TocAuto0030"/>
      <w:r>
        <w:rPr>
          <w:rFonts w:hint="eastAsia" w:ascii="Times New Roman" w:hAnsi="Times New Roman" w:eastAsia="黑体"/>
          <w:b/>
          <w:sz w:val="32"/>
        </w:rPr>
        <w:t xml:space="preserve">致谢</w:t>
      </w:r>
      <w:bookmarkEnd w:id="134"/>
    </w:p>
    <w:p>
      <w:pPr>
        <w:spacing w:line="312" w:lineRule="auto" w:before="0" w:after="0"/>
        <w:ind w:firstLine="420"/>
        <w:jc w:val="both"/>
      </w:pPr>
      <w:r>
        <w:rPr>
          <w:rFonts w:hint="eastAsia" w:ascii="Times New Roman" w:hAnsi="Times New Roman" w:eastAsia="宋体"/>
          <w:b w:val="0"/>
          <w:sz w:val="21"/>
        </w:rPr>
        <w:t xml:space="preserve">在本论文写作过程中，感谢指导老师在选题、研究设计、实证分析和论文修改等方面给予的耐心指导，帮助我不断梳理论文逻辑、完善研究边界，也使我对实证研究的规范性有了更深入的理解。</w:t>
      </w:r>
    </w:p>
    <w:p>
      <w:pPr>
        <w:spacing w:line="312" w:lineRule="auto" w:before="0" w:after="0"/>
        <w:ind w:firstLine="420"/>
        <w:jc w:val="both"/>
      </w:pPr>
      <w:bookmarkStart w:id="135" w:name="_BodyEnd"/>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35"/>
    </w:p>
    <w:bookmarkEnd w:id="73"/>
    <w:sectPr w:rsidR="004A72EC" w:rsidSect="00FB4C2E">
      <w:footerReference w:type="default" r:id="rId21"/>
      <w:headerReference w:type="default" r:id="rId43"/>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PAGEREF _BodyEnd \h </w:instrText>
    </w:r>
    <w:r>
      <w:rPr>
        <w:lang w:val="zh-CN"/>
      </w:rPr>
      <w:fldChar w:fldCharType="separate"/>
    </w:r>
    <w:r>
      <w:rPr>
        <w:lang w:val="zh-CN"/>
      </w:rPr>
      <w:t>71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本科生毕业设计（论文）                                                                    参考文献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本科生毕业设计（论文）                                                                    致谢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280" w:lineRule="exact"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280" w:lineRule="exact"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280" w:lineRule="exact"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20" Type="http://schemas.openxmlformats.org/officeDocument/2006/relationships/header" Target="header4.xml"/><Relationship Id="rId43"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