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论文实证结果摘要"/>
    <w:p>
      <w:pPr>
        <w:pStyle w:val="Heading1"/>
      </w:pPr>
      <w:r>
        <w:rPr>
          <w:rFonts w:hint="eastAsia"/>
        </w:rPr>
        <w:t xml:space="preserve">论文实证结果摘要</w:t>
      </w:r>
    </w:p>
    <w:p>
      <w:pPr>
        <w:pStyle w:val="BlockText"/>
      </w:pPr>
      <w:r>
        <w:rPr>
          <w:rFonts w:hint="eastAsia"/>
        </w:rPr>
        <w:t xml:space="preserve">生成时间：2026-03-21（基于修正后代码重新运行）</w:t>
      </w:r>
      <w:r>
        <w:t xml:space="preserve"> </w:t>
      </w:r>
      <w:r>
        <w:rPr>
          <w:rFonts w:hint="eastAsia"/>
        </w:rPr>
        <w:t xml:space="preserve">数据来源：CSMAR</w:t>
      </w:r>
      <w:r>
        <w:t xml:space="preserve"> </w:t>
      </w:r>
      <w:r>
        <w:rPr>
          <w:rFonts w:hint="eastAsia"/>
        </w:rPr>
        <w:t xml:space="preserve">数据库，A</w:t>
      </w:r>
      <w:r>
        <w:t xml:space="preserve"> </w:t>
      </w:r>
      <w:r>
        <w:rPr>
          <w:rFonts w:hint="eastAsia"/>
        </w:rPr>
        <w:t xml:space="preserve">股上市公司（剔除金融行业）</w:t>
      </w:r>
      <w:r>
        <w:t xml:space="preserve"> </w:t>
      </w:r>
      <w:r>
        <w:rPr>
          <w:rFonts w:hint="eastAsia"/>
        </w:rPr>
        <w:t xml:space="preserve">样本区间：2003–2024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方法：OLS</w:t>
      </w:r>
      <w:r>
        <w:t xml:space="preserve"> + </w:t>
      </w:r>
      <w:r>
        <w:rPr>
          <w:rFonts w:hint="eastAsia"/>
        </w:rPr>
        <w:t xml:space="preserve">行业/年份固定效应</w:t>
      </w:r>
      <w:r>
        <w:t xml:space="preserve"> + </w:t>
      </w:r>
      <w:r>
        <w:rPr>
          <w:rFonts w:hint="eastAsia"/>
        </w:rPr>
        <w:t xml:space="preserve">公司层面聚类稳健标准误</w:t>
      </w:r>
    </w:p>
    <w:p>
      <w:pPr>
        <w:pStyle w:val="BlockText"/>
      </w:pPr>
      <w:r>
        <w:rPr>
          <w:rFonts w:hint="eastAsia"/>
          <w:b/>
          <w:bCs/>
        </w:rPr>
        <w:t xml:space="preserve">本次修正内容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期望薪酬模型（模型1）加入年份固定效应（此前仅行业FE）</w:t>
      </w:r>
      <w:r>
        <w:t xml:space="preserve"> </w:t>
      </w:r>
      <w:r>
        <w:t xml:space="preserve">2. </w:t>
      </w:r>
      <w:r>
        <w:rPr>
          <w:rFonts w:hint="eastAsia"/>
        </w:rPr>
        <w:t xml:space="preserve">非正营业收入改为置缺失（此前强制clip为1）</w:t>
      </w:r>
      <w:r>
        <w:t xml:space="preserve"> </w:t>
      </w:r>
      <w:r>
        <w:t xml:space="preserve">3. </w:t>
      </w:r>
      <w:r>
        <w:rPr>
          <w:rFonts w:hint="eastAsia"/>
        </w:rPr>
        <w:t xml:space="preserve">超额薪酬（Overpay）残差经1%/99%</w:t>
      </w:r>
      <w:r>
        <w:t xml:space="preserve"> </w:t>
      </w:r>
      <w:r>
        <w:rPr>
          <w:rFonts w:hint="eastAsia"/>
        </w:rPr>
        <w:t xml:space="preserve">Winsorize缩尾</w:t>
      </w:r>
      <w:r>
        <w:t xml:space="preserve"> </w:t>
      </w:r>
      <w:r>
        <w:t xml:space="preserve">4. </w:t>
      </w:r>
      <w:r>
        <w:rPr>
          <w:rFonts w:hint="eastAsia"/>
        </w:rPr>
        <w:t xml:space="preserve">重庆市从东部城市列表移出（归入西部，符合实际区划）</w:t>
      </w:r>
      <w:r>
        <w:t xml:space="preserve"> </w:t>
      </w:r>
      <w:r>
        <w:t xml:space="preserve">5. </w:t>
      </w:r>
      <w:r>
        <w:rPr>
          <w:rFonts w:hint="eastAsia"/>
        </w:rPr>
        <w:t xml:space="preserve">两职合一（Dual）变量自适应检测CSMAR编码（1/2→0/1）</w:t>
      </w:r>
    </w:p>
    <w:p>
      <w:r>
        <w:pict>
          <v:rect style="width:0;height:1.5pt" o:hralign="center" o:hrstd="t" o:hr="t"/>
        </w:pict>
      </w:r>
    </w:p>
    <w:bookmarkStart w:id="9" w:name="一主回归结果表2统一样本-n44861"/>
    <w:p>
      <w:pPr>
        <w:pStyle w:val="Heading2"/>
      </w:pPr>
      <w:r>
        <w:rPr>
          <w:rFonts w:hint="eastAsia"/>
        </w:rPr>
        <w:t xml:space="preserve">一、主回归结果（表2，统一样本</w:t>
      </w:r>
      <w:r>
        <w:t xml:space="preserve"> </w:t>
      </w:r>
      <w:r>
        <w:rPr>
          <w:rFonts w:hint="eastAsia"/>
        </w:rPr>
        <w:t xml:space="preserve">N=44,861）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因变量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lnSubsidy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0.0552*** (t=14.56)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0.0545*** (t=14.33)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0.0066 (t=1.37)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0.0974*** (t=11.28)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H1 </w:t>
      </w:r>
      <w:r>
        <w:rPr>
          <w:rFonts w:hint="eastAsia"/>
          <w:b/>
          <w:bCs/>
        </w:rPr>
        <w:t xml:space="preserve">成立</w:t>
      </w:r>
      <w:r>
        <w:rPr>
          <w:rFonts w:hint="eastAsia"/>
        </w:rPr>
        <w:t xml:space="preserve">：政府补助（lnSubsidy）显著正向影响高管超额薪酬（Overpay），系数</w:t>
      </w:r>
      <w:r>
        <w:t xml:space="preserve"> 0.0552 </w:t>
      </w:r>
      <w:r>
        <w:rPr>
          <w:rFonts w:hint="eastAsia"/>
        </w:rPr>
        <w:t xml:space="preserve">在</w:t>
      </w:r>
      <w:r>
        <w:t xml:space="preserve"> 1% </w:t>
      </w:r>
      <w:r>
        <w:rPr>
          <w:rFonts w:hint="eastAsia"/>
        </w:rPr>
        <w:t xml:space="preserve">水平下显著。政府补助每增加</w:t>
      </w:r>
      <w:r>
        <w:t xml:space="preserve"> </w:t>
      </w:r>
      <w:r>
        <w:rPr>
          <w:rFonts w:hint="eastAsia"/>
        </w:rPr>
        <w:t xml:space="preserve">1%，超额薪酬增加约</w:t>
      </w:r>
      <w:r>
        <w:t xml:space="preserve"> 0.055 </w:t>
      </w:r>
      <w:r>
        <w:rPr>
          <w:rFonts w:hint="eastAsia"/>
        </w:rPr>
        <w:t xml:space="preserve">个单位。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中介效应不成立（全样本）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a（补助→权力）：lnSubsidy→Power</w:t>
      </w:r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w:r>
        <w:rPr>
          <w:rFonts w:hint="eastAsia"/>
        </w:rPr>
        <w:t xml:space="preserve">0.0974***（显著）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b（权力→超额薪酬）：Power→Overpay</w:t>
      </w:r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w:r>
        <w:rPr>
          <w:rFonts w:hint="eastAsia"/>
        </w:rPr>
        <w:t xml:space="preserve">0.0066（不显著，t=1.37）</w:t>
      </w:r>
    </w:p>
    <w:p>
      <w:pPr>
        <w:pStyle w:val="Compact"/>
        <w:numPr>
          <w:ilvl w:val="1"/>
          <w:numId w:val="1002"/>
        </w:numPr>
      </w:pPr>
      <w:r>
        <w:t xml:space="preserve">Sobel </w:t>
      </w:r>
      <w:r>
        <w:rPr>
          <w:rFonts w:hint="eastAsia"/>
        </w:rPr>
        <w:t xml:space="preserve">检验：不显著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中介效应占比约</w:t>
      </w:r>
      <w:r>
        <w:t xml:space="preserve"> 1.16%</w:t>
      </w:r>
    </w:p>
    <w:p>
      <w:r>
        <w:pict>
          <v:rect style="width:0;height:1.5pt" o:hralign="center" o:hrstd="t" o:hr="t"/>
        </w:pict>
      </w:r>
    </w:p>
    <w:bookmarkEnd w:id="9"/>
    <w:bookmarkStart w:id="13" w:name="二异质性分析"/>
    <w:p>
      <w:pPr>
        <w:pStyle w:val="Heading2"/>
      </w:pPr>
      <w:r>
        <w:rPr>
          <w:rFonts w:hint="eastAsia"/>
        </w:rPr>
        <w:t xml:space="preserve">二、异质性分析</w:t>
      </w:r>
    </w:p>
    <w:bookmarkStart w:id="10" w:name="分产权性质表3统一样本"/>
    <w:p>
      <w:pPr>
        <w:pStyle w:val="Heading3"/>
      </w:pPr>
      <w:r>
        <w:t xml:space="preserve">2.1 </w:t>
      </w:r>
      <w:r>
        <w:rPr>
          <w:rFonts w:hint="eastAsia"/>
        </w:rPr>
        <w:t xml:space="preserve">分产权性质（表3，统一样本）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国有企业</w:t>
            </w:r>
            <w:r>
              <w:t xml:space="preserve"> (N=15,644)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非国有企业</w:t>
            </w:r>
            <w:r>
              <w:t xml:space="preserve"> (N=29,036)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lnSubsidy </w:t>
            </w:r>
            <w:r>
              <w:rPr>
                <w:rFonts w:hint="eastAsia"/>
              </w:rPr>
              <w:t xml:space="preserve">(模型3)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0.0416*** (t=7.41)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0.0734*** (t=14.29)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lnSubsidy </w:t>
            </w:r>
            <w:r>
              <w:rPr>
                <w:rFonts w:hint="eastAsia"/>
              </w:rPr>
              <w:t xml:space="preserve">(模型4)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0.0409*** (t=7.30)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0.0724*** (t=14.07)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</w:t>
            </w:r>
            <w:r>
              <w:rPr>
                <w:rFonts w:hint="eastAsia"/>
              </w:rPr>
              <w:t xml:space="preserve">(模型4)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0.0151* (t=1.67)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0.0106* (t=1.72)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：补助效应在非国有企业中更强（0.0734</w:t>
      </w:r>
      <w:r>
        <w:t xml:space="preserve"> vs. </w:t>
      </w:r>
      <w:r>
        <w:rPr>
          <w:rFonts w:hint="eastAsia"/>
        </w:rPr>
        <w:t xml:space="preserve">0.0416）。Power</w:t>
      </w:r>
      <w:r>
        <w:t xml:space="preserve"> </w:t>
      </w:r>
      <w:r>
        <w:rPr>
          <w:rFonts w:hint="eastAsia"/>
        </w:rPr>
        <w:t xml:space="preserve">在两组均弱显著（p&lt;0.10），提示管理层权力的产权依赖性中介效应。</w:t>
      </w:r>
    </w:p>
    <w:bookmarkEnd w:id="10"/>
    <w:bookmarkStart w:id="11" w:name="分行业管制表4"/>
    <w:p>
      <w:pPr>
        <w:pStyle w:val="Heading3"/>
      </w:pPr>
      <w:r>
        <w:t xml:space="preserve">2.2 </w:t>
      </w:r>
      <w:r>
        <w:rPr>
          <w:rFonts w:hint="eastAsia"/>
        </w:rPr>
        <w:t xml:space="preserve">分行业管制（表4）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管制行业</w:t>
            </w:r>
            <w:r>
              <w:t xml:space="preserve"> (N=7,127)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非管制行业</w:t>
            </w:r>
            <w:r>
              <w:t xml:space="preserve"> (N=37,734)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lnSubsidy </w:t>
            </w:r>
            <w:r>
              <w:rPr>
                <w:rFonts w:hint="eastAsia"/>
              </w:rPr>
              <w:t xml:space="preserve">(模型3)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0.0260*** (t=3.41)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0.0625*** (t=14.63)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：修正后管制行业补助效应由仅弱显著提升为</w:t>
      </w:r>
      <w:r>
        <w:t xml:space="preserve"> 1% </w:t>
      </w:r>
      <w:r>
        <w:rPr>
          <w:rFonts w:hint="eastAsia"/>
        </w:rPr>
        <w:t xml:space="preserve">强显著，但系数仍显著低于非管制行业（0.0260</w:t>
      </w:r>
      <w:r>
        <w:t xml:space="preserve"> vs. </w:t>
      </w:r>
      <w:r>
        <w:rPr>
          <w:rFonts w:hint="eastAsia"/>
        </w:rPr>
        <w:t xml:space="preserve">0.0625）。行业监管约束作用依然成立。</w:t>
      </w:r>
    </w:p>
    <w:bookmarkEnd w:id="11"/>
    <w:bookmarkStart w:id="12" w:name="央企-vs-地方国企表5"/>
    <w:p>
      <w:pPr>
        <w:pStyle w:val="Heading3"/>
      </w:pPr>
      <w:r>
        <w:t xml:space="preserve">2.3 </w:t>
      </w:r>
      <w:r>
        <w:rPr>
          <w:rFonts w:hint="eastAsia"/>
        </w:rPr>
        <w:t xml:space="preserve">央企</w:t>
      </w:r>
      <w:r>
        <w:t xml:space="preserve"> vs </w:t>
      </w:r>
      <w:r>
        <w:rPr>
          <w:rFonts w:hint="eastAsia"/>
        </w:rPr>
        <w:t xml:space="preserve">地方国企（表5）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央企</w:t>
            </w:r>
            <w:r>
              <w:t xml:space="preserve"> (N=3,610)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地方国企</w:t>
            </w:r>
            <w:r>
              <w:t xml:space="preserve"> (N=7,907)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lnSubsidy </w:t>
            </w:r>
            <w:r>
              <w:rPr>
                <w:rFonts w:hint="eastAsia"/>
              </w:rPr>
              <w:t xml:space="preserve">(模型3)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0.0202** (t=2.02)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0.0432*** (t=5.63)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</w:t>
            </w:r>
            <w:r>
              <w:rPr>
                <w:rFonts w:hint="eastAsia"/>
              </w:rPr>
              <w:t xml:space="preserve">(模型4)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0.0271* (t=1.84)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0.0269** (t=2.12)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修正后央企补助效应由不显著变为</w:t>
      </w:r>
      <w:r>
        <w:t xml:space="preserve"> 5% </w:t>
      </w:r>
      <w:r>
        <w:rPr>
          <w:rFonts w:hint="eastAsia"/>
        </w:rPr>
        <w:t xml:space="preserve">显著，但经济量值仍远低于地方国企</w:t>
      </w:r>
      <w:r>
        <w:t xml:space="preserve"> </w:t>
      </w:r>
      <w:r>
        <w:t xml:space="preserve">- Power </w:t>
      </w:r>
      <w:r>
        <w:rPr>
          <w:rFonts w:hint="eastAsia"/>
        </w:rPr>
        <w:t xml:space="preserve">在央企（p&lt;0.1）和地方国企（p&lt;0.05）均显著为正，支持中介机制的制度依赖性</w:t>
      </w:r>
      <w:r>
        <w:t xml:space="preserve"> </w:t>
      </w:r>
      <w:r>
        <w:t xml:space="preserve">- </w:t>
      </w:r>
      <w:r>
        <w:rPr>
          <w:rFonts w:hint="eastAsia"/>
        </w:rPr>
        <w:t xml:space="preserve">国有产权结构下</w:t>
      </w:r>
      <w:r>
        <w:t xml:space="preserve"> Power </w:t>
      </w:r>
      <w:r>
        <w:rPr>
          <w:rFonts w:hint="eastAsia"/>
        </w:rPr>
        <w:t xml:space="preserve">的中介作用更为明显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稳健性检验6-组全部通过"/>
    <w:p>
      <w:pPr>
        <w:pStyle w:val="Heading2"/>
      </w:pPr>
      <w:r>
        <w:rPr>
          <w:rFonts w:hint="eastAsia"/>
        </w:rPr>
        <w:t xml:space="preserve">三、稳健性检验（6</w:t>
      </w:r>
      <w:r>
        <w:t xml:space="preserve"> </w:t>
      </w:r>
      <w:r>
        <w:rPr>
          <w:rFonts w:hint="eastAsia"/>
        </w:rPr>
        <w:t xml:space="preserve">组全部通过）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稳健性检验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lnSubsidy </w:t>
            </w: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替换因变量（lnCEOpay）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32.9417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</w:t>
            </w:r>
            <w:r>
              <w:rPr>
                <w:rFonts w:hint="eastAsia"/>
              </w:rPr>
              <w:t xml:space="preserve">缩小样本期（2010-2020）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12.4764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29,973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</w:t>
            </w:r>
            <w:r>
              <w:rPr>
                <w:rFonts w:hint="eastAsia"/>
              </w:rPr>
              <w:t xml:space="preserve">剔除极端补助值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12.9079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</w:t>
            </w:r>
            <w:r>
              <w:rPr>
                <w:rFonts w:hint="eastAsia"/>
              </w:rPr>
              <w:t xml:space="preserve">仅制造业样本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0.0709***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</w:t>
            </w:r>
            <w:r>
              <w:rPr>
                <w:rFonts w:hint="eastAsia"/>
              </w:rPr>
              <w:t xml:space="preserve">替换解释变量</w:t>
            </w:r>
            <w:r>
              <w:t xml:space="preserve"> </w:t>
            </w:r>
            <w:r>
              <w:rPr>
                <w:rFonts w:hint="eastAsia"/>
              </w:rPr>
              <w:t xml:space="preserve">ln(1+补助)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14.7705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52,224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</w:t>
            </w:r>
            <w:r>
              <w:rPr>
                <w:rFonts w:hint="eastAsia"/>
              </w:rPr>
              <w:t xml:space="preserve">滞后一期补助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四关于中介效应的讨论"/>
    <w:p>
      <w:pPr>
        <w:pStyle w:val="Heading2"/>
      </w:pPr>
      <w:r>
        <w:rPr>
          <w:rFonts w:hint="eastAsia"/>
        </w:rPr>
        <w:t xml:space="preserve">四、关于中介效应的讨论</w:t>
      </w:r>
    </w:p>
    <w:bookmarkStart w:id="15" w:name="为什么全样本下中介效应不成立"/>
    <w:p>
      <w:pPr>
        <w:pStyle w:val="Heading3"/>
      </w:pPr>
      <w:r>
        <w:rPr>
          <w:rFonts w:hint="eastAsia"/>
        </w:rPr>
        <w:t xml:space="preserve">为什么全样本下中介效应不成立？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样本差异</w:t>
      </w:r>
      <w:r>
        <w:rPr>
          <w:rFonts w:hint="eastAsia"/>
        </w:rPr>
        <w:t xml:space="preserve">：参考论文（刘剑民2019）仅研究国有企业（N=1,974），本文扩展至全部</w:t>
      </w:r>
      <w:r>
        <w:t xml:space="preserve"> A </w:t>
      </w:r>
      <w:r>
        <w:rPr>
          <w:rFonts w:hint="eastAsia"/>
        </w:rPr>
        <w:t xml:space="preserve">股（N=44,861）。管理层权力→超额薪酬的逻辑依赖国有体制特征，在非国有企业中不适用。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产权依赖性</w:t>
      </w:r>
      <w:r>
        <w:rPr>
          <w:rFonts w:hint="eastAsia"/>
        </w:rPr>
        <w:t xml:space="preserve">：从异质性分析看，Power</w:t>
      </w:r>
      <w:r>
        <w:t xml:space="preserve"> </w:t>
      </w:r>
      <w:r>
        <w:rPr>
          <w:rFonts w:hint="eastAsia"/>
        </w:rPr>
        <w:t xml:space="preserve">在国有产权子样本（央企和地方国企）中均显著，支持中介效应具有产权依赖性。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时间跨度</w:t>
      </w:r>
      <w:r>
        <w:rPr>
          <w:rFonts w:hint="eastAsia"/>
        </w:rPr>
        <w:t xml:space="preserve">：本文跨</w:t>
      </w:r>
      <w:r>
        <w:t xml:space="preserve"> 22 </w:t>
      </w:r>
      <w:r>
        <w:rPr>
          <w:rFonts w:hint="eastAsia"/>
        </w:rPr>
        <w:t xml:space="preserve">年（2003-2024），公司治理水平不断提升，管理层权力对薪酬的影响可能被逐步压缩。</w:t>
      </w:r>
    </w:p>
    <w:bookmarkEnd w:id="15"/>
    <w:bookmarkStart w:id="16" w:name="论文写作建议"/>
    <w:p>
      <w:pPr>
        <w:pStyle w:val="Heading3"/>
      </w:pPr>
      <w:r>
        <w:rPr>
          <w:rFonts w:hint="eastAsia"/>
        </w:rPr>
        <w:t xml:space="preserve">论文写作建议</w:t>
      </w:r>
    </w:p>
    <w:p>
      <w:pPr>
        <w:pStyle w:val="FirstParagraph"/>
      </w:pPr>
      <w:r>
        <w:rPr>
          <w:rFonts w:hint="eastAsia"/>
        </w:rPr>
        <w:t xml:space="preserve">可以写作为：</w:t>
      </w:r>
      <w:r>
        <w:rPr>
          <w:rFonts w:hint="eastAsia"/>
          <w:b/>
          <w:bCs/>
        </w:rPr>
        <w:t xml:space="preserve">“在全样本下，管理层权力的中介效应不成立；但在国有产权子样本（央企和地方国企）中，Power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均显著为正，表明管理层权力的中介机制具有制度依赖性，这一发现丰富了对财政补贴治理效应的理论理解，并为未来聚焦国有体制的研究指出了有价值的方向。”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五vif-多重共线性诊断"/>
    <w:p>
      <w:pPr>
        <w:pStyle w:val="Heading2"/>
      </w:pPr>
      <w:r>
        <w:rPr>
          <w:rFonts w:hint="eastAsia"/>
        </w:rPr>
        <w:t xml:space="preserve">五、VIF</w:t>
      </w:r>
      <w:r>
        <w:t xml:space="preserve"> </w:t>
      </w:r>
      <w:r>
        <w:rPr>
          <w:rFonts w:hint="eastAsia"/>
        </w:rPr>
        <w:t xml:space="preserve">多重共线性诊断</w:t>
      </w:r>
    </w:p>
    <w:p>
      <w:pPr>
        <w:pStyle w:val="FirstParagraph"/>
      </w:pPr>
      <w:r>
        <w:rPr>
          <w:rFonts w:hint="eastAsia"/>
        </w:rPr>
        <w:t xml:space="preserve">所有主要变量</w:t>
      </w:r>
      <w:r>
        <w:t xml:space="preserve"> VIF </w:t>
      </w:r>
      <w:r>
        <w:rPr>
          <w:rFonts w:hint="eastAsia"/>
        </w:rPr>
        <w:t xml:space="preserve">均较低（参见主回归脚本输出），无严重多重共线性问题。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2026-03-21T13:59:24Z</dcterms:created>
  <dcterms:modified xsi:type="dcterms:W3CDTF">2026-03-21T13:59:24Z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