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回归分析结果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基于数据挖掘的上市公司财政补贴与高管超额薪酬研究</w:t>
      </w:r>
    </w:p>
    <w:p>
      <w:pPr>
        <w:spacing w:before="240" w:after="120"/>
        <w:jc w:val="center"/>
      </w:pPr>
      <w:r>
        <w:rPr>
          <w:rFonts w:ascii="Times New Roman" w:hAnsi="Times New Roman" w:eastAsia="黑体"/>
          <w:b/>
          <w:sz w:val="24"/>
        </w:rPr>
        <w:t>表1  主要变量描述性统计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12" w:space="0" w:color="000000"/>
            </w:tcBorders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变量</w:t>
            </w:r>
          </w:p>
        </w:tc>
        <w:tc>
          <w:tcPr>
            <w:tcW w:type="dxa" w:w="1440"/>
            <w:tcBorders>
              <w:top w:val="single" w:sz="12" w:space="0" w:color="000000"/>
            </w:tcBorders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N</w:t>
            </w:r>
          </w:p>
        </w:tc>
        <w:tc>
          <w:tcPr>
            <w:tcW w:type="dxa" w:w="1440"/>
            <w:tcBorders>
              <w:top w:val="single" w:sz="12" w:space="0" w:color="000000"/>
            </w:tcBorders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均值</w:t>
            </w:r>
          </w:p>
        </w:tc>
        <w:tc>
          <w:tcPr>
            <w:tcW w:type="dxa" w:w="1440"/>
            <w:tcBorders>
              <w:top w:val="single" w:sz="12" w:space="0" w:color="000000"/>
            </w:tcBorders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标准差</w:t>
            </w:r>
          </w:p>
        </w:tc>
        <w:tc>
          <w:tcPr>
            <w:tcW w:type="dxa" w:w="1440"/>
            <w:tcBorders>
              <w:top w:val="single" w:sz="12" w:space="0" w:color="000000"/>
            </w:tcBorders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最小值</w:t>
            </w:r>
          </w:p>
        </w:tc>
        <w:tc>
          <w:tcPr>
            <w:tcW w:type="dxa" w:w="1440"/>
            <w:tcBorders>
              <w:top w:val="single" w:sz="12" w:space="0" w:color="000000"/>
            </w:tcBorders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最大值</w:t>
            </w:r>
          </w:p>
        </w:tc>
      </w:tr>
      <w:tr>
        <w:tc>
          <w:tcPr>
            <w:tcW w:type="dxa" w:w="1440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高管前三名薪酬总额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52402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2.61e+06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2.91e+06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1.18e+08</w:t>
            </w:r>
          </w:p>
        </w:tc>
      </w:tr>
      <w:tr>
        <w:tc>
          <w:tcPr>
            <w:tcW w:type="dxa" w:w="1440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政府补助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52402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5.26e+07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4.35e+08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12.6300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8.41e+10</w:t>
            </w:r>
          </w:p>
        </w:tc>
      </w:tr>
      <w:tr>
        <w:tc>
          <w:tcPr>
            <w:tcW w:type="dxa" w:w="1440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超额薪酬(Overpay)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52228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-0.0000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0.6675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-2.9954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3.0061</w:t>
            </w:r>
          </w:p>
        </w:tc>
      </w:tr>
      <w:tr>
        <w:tc>
          <w:tcPr>
            <w:tcW w:type="dxa" w:w="1440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管理层权力(Power)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44996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1.3145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-6.0321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4.4987</w:t>
            </w:r>
          </w:p>
        </w:tc>
      </w:tr>
      <w:tr>
        <w:tc>
          <w:tcPr>
            <w:tcW w:type="dxa" w:w="1440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资产收益率(Roa)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52402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0.0310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0.0709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-0.3109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0.1993</w:t>
            </w:r>
          </w:p>
        </w:tc>
      </w:tr>
      <w:tr>
        <w:tc>
          <w:tcPr>
            <w:tcW w:type="dxa" w:w="1440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营业收入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52388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8.57e+09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5.38e+10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-1.15e+08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2.89e+12</w:t>
            </w:r>
          </w:p>
        </w:tc>
      </w:tr>
      <w:tr>
        <w:tc>
          <w:tcPr>
            <w:tcW w:type="dxa" w:w="1440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财务杠杆(Lever)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52402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0.4261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0.2146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0.0514</w:t>
            </w:r>
          </w:p>
        </w:tc>
        <w:tc>
          <w:tcPr>
            <w:tcW w:type="dxa" w:w="144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0.9669</w:t>
            </w:r>
          </w:p>
        </w:tc>
      </w:tr>
      <w:tr>
        <w:tc>
          <w:tcPr>
            <w:tcW w:type="dxa" w:w="1440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第一大股东持股比例(Top1)</w:t>
            </w:r>
          </w:p>
        </w:tc>
        <w:tc>
          <w:tcPr>
            <w:tcW w:type="dxa" w:w="1440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52402</w:t>
            </w:r>
          </w:p>
        </w:tc>
        <w:tc>
          <w:tcPr>
            <w:tcW w:type="dxa" w:w="1440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33.7618</w:t>
            </w:r>
          </w:p>
        </w:tc>
        <w:tc>
          <w:tcPr>
            <w:tcW w:type="dxa" w:w="1440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14.8090</w:t>
            </w:r>
          </w:p>
        </w:tc>
        <w:tc>
          <w:tcPr>
            <w:tcW w:type="dxa" w:w="1440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8.3101</w:t>
            </w:r>
          </w:p>
        </w:tc>
        <w:tc>
          <w:tcPr>
            <w:tcW w:type="dxa" w:w="1440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73.3500</w:t>
            </w:r>
          </w:p>
        </w:tc>
      </w:tr>
    </w:tbl>
    <w:p>
      <w:pPr>
        <w:spacing w:before="40" w:after="240"/>
      </w:pPr>
      <w:r>
        <w:rPr>
          <w:rFonts w:ascii="Times New Roman" w:hAnsi="Times New Roman" w:eastAsia="宋体"/>
          <w:sz w:val="18"/>
        </w:rPr>
        <w:t>注：薪酬和政府补助单位为元，连续变量已进行1%/99%缩尾处理。</w:t>
      </w:r>
    </w:p>
    <w:p>
      <w:pPr>
        <w:spacing w:before="240" w:after="120"/>
        <w:jc w:val="center"/>
      </w:pPr>
      <w:r>
        <w:rPr>
          <w:rFonts w:ascii="Times New Roman" w:hAnsi="Times New Roman" w:eastAsia="黑体"/>
          <w:b/>
          <w:sz w:val="24"/>
        </w:rPr>
        <w:t>表2  政府补助、管理层权力与高管超额薪酬的回归结果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变量</w:t>
            </w:r>
          </w:p>
        </w:tc>
        <w:tc>
          <w:tcPr>
            <w:tcW w:type="dxa" w:w="2160"/>
            <w:tcBorders>
              <w:top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模型(3)</w:t>
            </w:r>
          </w:p>
        </w:tc>
        <w:tc>
          <w:tcPr>
            <w:tcW w:type="dxa" w:w="2160"/>
            <w:tcBorders>
              <w:top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模型(4)</w:t>
            </w:r>
          </w:p>
        </w:tc>
        <w:tc>
          <w:tcPr>
            <w:tcW w:type="dxa" w:w="2160"/>
            <w:tcBorders>
              <w:top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模型(5)</w:t>
            </w:r>
          </w:p>
        </w:tc>
      </w:tr>
      <w:tr>
        <w:tc>
          <w:tcPr>
            <w:tcW w:type="dxa" w:w="2160"/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</w:r>
          </w:p>
        </w:tc>
        <w:tc>
          <w:tcPr>
            <w:tcW w:type="dxa" w:w="2160"/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Overpay</w:t>
            </w:r>
          </w:p>
        </w:tc>
        <w:tc>
          <w:tcPr>
            <w:tcW w:type="dxa" w:w="2160"/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Overpay</w:t>
            </w:r>
          </w:p>
        </w:tc>
        <w:tc>
          <w:tcPr>
            <w:tcW w:type="dxa" w:w="2160"/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Power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lnSubsidy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0.0420***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0.0420***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0.0973***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(10.8330)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(10.7689)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(11.2557)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Power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0.0003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(0.0531)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Roa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0.0983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0.0983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0.1683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(1.2547)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(1.2547)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(1.0416)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Lever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-0.4790***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-0.4793***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1.1255***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(-14.3814)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(-14.1933)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(15.2910)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Top1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-0.0042***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-0.0042***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-0.0042***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(-8.6670)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(-8.6449)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(-3.9578)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Zone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0.0512***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0.0511***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0.2339***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(3.4243)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(3.4015)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(7.0292)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Industry FE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Year FE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44865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44865</w:t>
            </w:r>
          </w:p>
        </w:tc>
        <w:tc>
          <w:tcPr>
            <w:tcW w:type="dxa" w:w="2160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44865</w:t>
            </w:r>
          </w:p>
        </w:tc>
      </w:tr>
      <w:tr>
        <w:tc>
          <w:tcPr>
            <w:tcW w:type="dxa" w:w="2160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R²</w:t>
            </w:r>
          </w:p>
        </w:tc>
        <w:tc>
          <w:tcPr>
            <w:tcW w:type="dxa" w:w="2160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0.3064</w:t>
            </w:r>
          </w:p>
        </w:tc>
        <w:tc>
          <w:tcPr>
            <w:tcW w:type="dxa" w:w="2160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0.3064</w:t>
            </w:r>
          </w:p>
        </w:tc>
        <w:tc>
          <w:tcPr>
            <w:tcW w:type="dxa" w:w="2160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0.1417</w:t>
            </w:r>
          </w:p>
        </w:tc>
      </w:tr>
    </w:tbl>
    <w:p>
      <w:pPr>
        <w:spacing w:before="40" w:after="240"/>
      </w:pPr>
      <w:r>
        <w:rPr>
          <w:rFonts w:ascii="Times New Roman" w:hAnsi="Times New Roman" w:eastAsia="宋体"/>
          <w:sz w:val="18"/>
        </w:rPr>
        <w:t>注：括号中为 t 值，* p&lt;0.1, ** p&lt;0.05, *** p&lt;0.01。标准误为公司层面聚类稳健标准误。</w:t>
      </w:r>
    </w:p>
    <w:p>
      <w:pPr>
        <w:spacing w:before="240" w:after="120"/>
        <w:jc w:val="center"/>
      </w:pPr>
      <w:r>
        <w:rPr>
          <w:rFonts w:ascii="Times New Roman" w:hAnsi="Times New Roman" w:eastAsia="黑体"/>
          <w:b/>
          <w:sz w:val="24"/>
        </w:rPr>
        <w:t>表3  分产权性质回归结果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变量</w:t>
            </w:r>
          </w:p>
        </w:tc>
        <w:tc>
          <w:tcPr>
            <w:tcW w:type="dxa" w:w="1728"/>
            <w:tcBorders>
              <w:top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国有-模型(3)</w:t>
            </w:r>
          </w:p>
        </w:tc>
        <w:tc>
          <w:tcPr>
            <w:tcW w:type="dxa" w:w="1728"/>
            <w:tcBorders>
              <w:top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国有-模型(4)</w:t>
            </w:r>
          </w:p>
        </w:tc>
        <w:tc>
          <w:tcPr>
            <w:tcW w:type="dxa" w:w="1728"/>
            <w:tcBorders>
              <w:top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非国有-模型(3)</w:t>
            </w:r>
          </w:p>
        </w:tc>
        <w:tc>
          <w:tcPr>
            <w:tcW w:type="dxa" w:w="1728"/>
            <w:tcBorders>
              <w:top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非国有-模型(4)</w:t>
            </w:r>
          </w:p>
        </w:tc>
      </w:tr>
      <w:tr>
        <w:tc>
          <w:tcPr>
            <w:tcW w:type="dxa" w:w="1728"/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</w:r>
          </w:p>
        </w:tc>
        <w:tc>
          <w:tcPr>
            <w:tcW w:type="dxa" w:w="1728"/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Overpay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Overpay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Overpay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Overpay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lnSubsidy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0.0291***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0.0287***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0.0613***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0.0607***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(5.0424)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(4.9730)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(11.7558)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(11.6143)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Power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0.0098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0.0065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(1.0473)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(1.0452)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Roa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1.0230***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1.0138***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-0.3368***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-0.3364***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(6.5063)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(6.4446)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(-3.8390)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(-3.8358)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Lever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-0.4932***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-0.4964***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-0.4317***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-0.4373***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(-8.4953)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(-8.5634)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(-10.6497)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(-10.6282)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Top1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-0.0063***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-0.0063***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-0.0017***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-0.0016***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(-7.9758)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(-7.9589)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(-2.9094)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(-2.7507)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Zone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0.0107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0.0105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0.0856***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0.0844***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(0.4202)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(0.4124)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(4.6345)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(4.5521)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Industry FE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Year FE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15646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15646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29038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29038</w:t>
            </w:r>
          </w:p>
        </w:tc>
      </w:tr>
      <w:tr>
        <w:tc>
          <w:tcPr>
            <w:tcW w:type="dxa" w:w="1728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R²</w:t>
            </w:r>
          </w:p>
        </w:tc>
        <w:tc>
          <w:tcPr>
            <w:tcW w:type="dxa" w:w="1728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0.3122</w:t>
            </w:r>
          </w:p>
        </w:tc>
        <w:tc>
          <w:tcPr>
            <w:tcW w:type="dxa" w:w="1728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0.3125</w:t>
            </w:r>
          </w:p>
        </w:tc>
        <w:tc>
          <w:tcPr>
            <w:tcW w:type="dxa" w:w="1728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0.2915</w:t>
            </w:r>
          </w:p>
        </w:tc>
        <w:tc>
          <w:tcPr>
            <w:tcW w:type="dxa" w:w="1728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0.2917</w:t>
            </w:r>
          </w:p>
        </w:tc>
      </w:tr>
    </w:tbl>
    <w:p>
      <w:pPr>
        <w:spacing w:before="40" w:after="240"/>
      </w:pPr>
      <w:r>
        <w:rPr>
          <w:rFonts w:ascii="Times New Roman" w:hAnsi="Times New Roman" w:eastAsia="宋体"/>
          <w:sz w:val="18"/>
        </w:rPr>
        <w:t>注：括号中为 t 值，* p&lt;0.1, ** p&lt;0.05, *** p&lt;0.01。标准误为公司层面聚类稳健标准误。</w:t>
      </w:r>
    </w:p>
    <w:p>
      <w:pPr>
        <w:spacing w:before="240" w:after="120"/>
        <w:jc w:val="center"/>
      </w:pPr>
      <w:r>
        <w:rPr>
          <w:rFonts w:ascii="Times New Roman" w:hAnsi="Times New Roman" w:eastAsia="黑体"/>
          <w:b/>
          <w:sz w:val="24"/>
        </w:rPr>
        <w:t>表4  分行业管制回归结果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变量</w:t>
            </w:r>
          </w:p>
        </w:tc>
        <w:tc>
          <w:tcPr>
            <w:tcW w:type="dxa" w:w="1728"/>
            <w:tcBorders>
              <w:top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管制行业-模型(3)</w:t>
            </w:r>
          </w:p>
        </w:tc>
        <w:tc>
          <w:tcPr>
            <w:tcW w:type="dxa" w:w="1728"/>
            <w:tcBorders>
              <w:top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管制行业-模型(4)</w:t>
            </w:r>
          </w:p>
        </w:tc>
        <w:tc>
          <w:tcPr>
            <w:tcW w:type="dxa" w:w="1728"/>
            <w:tcBorders>
              <w:top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非管制行业-模型(3)</w:t>
            </w:r>
          </w:p>
        </w:tc>
        <w:tc>
          <w:tcPr>
            <w:tcW w:type="dxa" w:w="1728"/>
            <w:tcBorders>
              <w:top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非管制行业-模型(4)</w:t>
            </w:r>
          </w:p>
        </w:tc>
      </w:tr>
      <w:tr>
        <w:tc>
          <w:tcPr>
            <w:tcW w:type="dxa" w:w="1728"/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</w:r>
          </w:p>
        </w:tc>
        <w:tc>
          <w:tcPr>
            <w:tcW w:type="dxa" w:w="1728"/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Overpay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Overpay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Overpay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Overpay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lnSubsidy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0.0133*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0.0136*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0.0493***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0.0492***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(1.7114)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(1.7432)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(11.2496)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(11.1605)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Power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-0.0026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0.0010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(-0.2235)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(0.1880)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Roa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-0.3064**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-0.3068**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0.1534*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0.1532*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(-1.9732)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(-1.9739)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(1.7271)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(1.7254)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Lever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-0.4198***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-0.4169***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-0.4895***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-0.4906***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(-5.8375)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(-5.6472)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(-13.2765)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(-13.1446)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Top1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-0.0065***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-0.0065***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-0.0036***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-0.0036***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(-6.4977)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(-6.5012)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(-6.8825)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(-6.8517)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Zone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0.0696**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0.0701**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0.0475***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0.0472***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(2.0656)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(2.0685)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(2.9103)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(2.8802)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Industry FE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Year FE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7127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7127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37738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37738</w:t>
            </w:r>
          </w:p>
        </w:tc>
      </w:tr>
      <w:tr>
        <w:tc>
          <w:tcPr>
            <w:tcW w:type="dxa" w:w="1728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R²</w:t>
            </w:r>
          </w:p>
        </w:tc>
        <w:tc>
          <w:tcPr>
            <w:tcW w:type="dxa" w:w="1728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0.2645</w:t>
            </w:r>
          </w:p>
        </w:tc>
        <w:tc>
          <w:tcPr>
            <w:tcW w:type="dxa" w:w="1728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0.2646</w:t>
            </w:r>
          </w:p>
        </w:tc>
        <w:tc>
          <w:tcPr>
            <w:tcW w:type="dxa" w:w="1728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0.3170</w:t>
            </w:r>
          </w:p>
        </w:tc>
        <w:tc>
          <w:tcPr>
            <w:tcW w:type="dxa" w:w="1728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0.3170</w:t>
            </w:r>
          </w:p>
        </w:tc>
      </w:tr>
    </w:tbl>
    <w:p>
      <w:pPr>
        <w:spacing w:before="40" w:after="240"/>
      </w:pPr>
      <w:r>
        <w:rPr>
          <w:rFonts w:ascii="Times New Roman" w:hAnsi="Times New Roman" w:eastAsia="宋体"/>
          <w:sz w:val="18"/>
        </w:rPr>
        <w:t>注：括号中为 t 值，* p&lt;0.1, ** p&lt;0.05, *** p&lt;0.01。标准误为公司层面聚类稳健标准误。</w:t>
      </w:r>
    </w:p>
    <w:p>
      <w:pPr>
        <w:spacing w:before="240" w:after="120"/>
        <w:jc w:val="center"/>
      </w:pPr>
      <w:r>
        <w:rPr>
          <w:rFonts w:ascii="Times New Roman" w:hAnsi="Times New Roman" w:eastAsia="黑体"/>
          <w:b/>
          <w:sz w:val="24"/>
        </w:rPr>
        <w:t>表5  央企与地方国企回归结果（央地可识别比例=73.64%）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变量</w:t>
            </w:r>
          </w:p>
        </w:tc>
        <w:tc>
          <w:tcPr>
            <w:tcW w:type="dxa" w:w="1728"/>
            <w:tcBorders>
              <w:top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央企-模型(3)</w:t>
            </w:r>
          </w:p>
        </w:tc>
        <w:tc>
          <w:tcPr>
            <w:tcW w:type="dxa" w:w="1728"/>
            <w:tcBorders>
              <w:top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央企-模型(4)</w:t>
            </w:r>
          </w:p>
        </w:tc>
        <w:tc>
          <w:tcPr>
            <w:tcW w:type="dxa" w:w="1728"/>
            <w:tcBorders>
              <w:top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地方国企-模型(3)</w:t>
            </w:r>
          </w:p>
        </w:tc>
        <w:tc>
          <w:tcPr>
            <w:tcW w:type="dxa" w:w="1728"/>
            <w:tcBorders>
              <w:top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地方国企-模型(4)</w:t>
            </w:r>
          </w:p>
        </w:tc>
      </w:tr>
      <w:tr>
        <w:tc>
          <w:tcPr>
            <w:tcW w:type="dxa" w:w="1728"/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</w:r>
          </w:p>
        </w:tc>
        <w:tc>
          <w:tcPr>
            <w:tcW w:type="dxa" w:w="1728"/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Overpay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Overpay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Overpay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Overpay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lnSubsidy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0.0065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0.0065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0.0323***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0.0312***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(0.6303)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(0.6290)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(4.0875)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(3.9586)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Power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0.0257*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0.0211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(1.6640)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(1.5933)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Roa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1.1802***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1.1626***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1.3468***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1.3280***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(3.9057)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(3.8581)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(6.8886)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(6.7885)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Lever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-0.4983***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-0.5048***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-0.5121***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-0.5173***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(-4.4141)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(-4.4838)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(-6.7544)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(-6.8211)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Top1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-0.0053***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-0.0053***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-0.0060***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-0.0059***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(-3.8582)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(-3.8779)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(-5.4940)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(-5.4218)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Zone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0.0685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0.0723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-0.0259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-0.0268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(1.5470)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(1.6311)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(-0.7707)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(-0.7996)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Industry FE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Year FE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3610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3610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7909</w:t>
            </w:r>
          </w:p>
        </w:tc>
        <w:tc>
          <w:tcPr>
            <w:tcW w:type="dxa" w:w="1728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7909</w:t>
            </w:r>
          </w:p>
        </w:tc>
      </w:tr>
      <w:tr>
        <w:tc>
          <w:tcPr>
            <w:tcW w:type="dxa" w:w="1728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R²</w:t>
            </w:r>
          </w:p>
        </w:tc>
        <w:tc>
          <w:tcPr>
            <w:tcW w:type="dxa" w:w="1728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0.3667</w:t>
            </w:r>
          </w:p>
        </w:tc>
        <w:tc>
          <w:tcPr>
            <w:tcW w:type="dxa" w:w="1728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0.3686</w:t>
            </w:r>
          </w:p>
        </w:tc>
        <w:tc>
          <w:tcPr>
            <w:tcW w:type="dxa" w:w="1728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0.3142</w:t>
            </w:r>
          </w:p>
        </w:tc>
        <w:tc>
          <w:tcPr>
            <w:tcW w:type="dxa" w:w="1728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0.3153</w:t>
            </w:r>
          </w:p>
        </w:tc>
      </w:tr>
    </w:tbl>
    <w:p>
      <w:pPr>
        <w:spacing w:before="40" w:after="240"/>
      </w:pPr>
      <w:r>
        <w:rPr>
          <w:rFonts w:ascii="Times New Roman" w:hAnsi="Times New Roman" w:eastAsia="宋体"/>
          <w:sz w:val="18"/>
        </w:rPr>
        <w:t>注：括号中为 t 值，* p&lt;0.1, ** p&lt;0.05, *** p&lt;0.01。标准误为公司层面聚类稳健标准误。</w:t>
      </w:r>
    </w:p>
    <w:p>
      <w:pPr>
        <w:spacing w:before="240" w:after="120"/>
        <w:jc w:val="center"/>
      </w:pPr>
      <w:r>
        <w:rPr>
          <w:rFonts w:ascii="Times New Roman" w:hAnsi="Times New Roman" w:eastAsia="黑体"/>
          <w:b/>
          <w:sz w:val="24"/>
        </w:rPr>
        <w:t>表6  稳健性检验结果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变量</w:t>
            </w:r>
          </w:p>
        </w:tc>
        <w:tc>
          <w:tcPr>
            <w:tcW w:type="dxa" w:w="1234"/>
            <w:tcBorders>
              <w:top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(1) 替换因变量</w:t>
            </w:r>
          </w:p>
        </w:tc>
        <w:tc>
          <w:tcPr>
            <w:tcW w:type="dxa" w:w="1234"/>
            <w:tcBorders>
              <w:top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(2) 缩小样本期</w:t>
            </w:r>
          </w:p>
        </w:tc>
        <w:tc>
          <w:tcPr>
            <w:tcW w:type="dxa" w:w="1234"/>
            <w:tcBorders>
              <w:top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(3) 剔除极端补助</w:t>
            </w:r>
          </w:p>
        </w:tc>
        <w:tc>
          <w:tcPr>
            <w:tcW w:type="dxa" w:w="1234"/>
            <w:tcBorders>
              <w:top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(4) 仅制造业</w:t>
            </w:r>
          </w:p>
        </w:tc>
        <w:tc>
          <w:tcPr>
            <w:tcW w:type="dxa" w:w="1234"/>
            <w:tcBorders>
              <w:top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(5) 替换解释变量</w:t>
            </w:r>
          </w:p>
        </w:tc>
        <w:tc>
          <w:tcPr>
            <w:tcW w:type="dxa" w:w="1234"/>
            <w:tcBorders>
              <w:top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(6) 滞后一期</w:t>
            </w:r>
          </w:p>
        </w:tc>
      </w:tr>
      <w:tr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lnCEOpay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Overpay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Overpay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Overpay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Overpay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Overpay</w:t>
            </w:r>
          </w:p>
        </w:tc>
      </w:tr>
      <w:tr>
        <w:tc>
          <w:tcPr>
            <w:tcW w:type="dxa" w:w="1234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补助变量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0.1319***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0.0408***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0.0444***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0.0572***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0.0378***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0.0375***</w:t>
            </w:r>
          </w:p>
        </w:tc>
      </w:tr>
      <w:tr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(32.9237)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(9.3074)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(9.6531)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(11.6050)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(10.7248)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(10.0362)</w:t>
            </w:r>
          </w:p>
        </w:tc>
      </w:tr>
      <w:tr>
        <w:tc>
          <w:tcPr>
            <w:tcW w:type="dxa" w:w="1234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Controls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</w:tr>
      <w:tr>
        <w:tc>
          <w:tcPr>
            <w:tcW w:type="dxa" w:w="1234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Industry FE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</w:tr>
      <w:tr>
        <w:tc>
          <w:tcPr>
            <w:tcW w:type="dxa" w:w="1234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Year FE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</w:t>
            </w:r>
          </w:p>
        </w:tc>
      </w:tr>
      <w:tr>
        <w:tc>
          <w:tcPr>
            <w:tcW w:type="dxa" w:w="1234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52402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29974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47051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35065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52228</w:t>
            </w:r>
          </w:p>
        </w:tc>
        <w:tc>
          <w:tcPr>
            <w:tcW w:type="dxa" w:w="1234"/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46974</w:t>
            </w:r>
          </w:p>
        </w:tc>
      </w:tr>
      <w:tr>
        <w:tc>
          <w:tcPr>
            <w:tcW w:type="dxa" w:w="1234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R²</w:t>
            </w:r>
          </w:p>
        </w:tc>
        <w:tc>
          <w:tcPr>
            <w:tcW w:type="dxa" w:w="1234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0.4275</w:t>
            </w:r>
          </w:p>
        </w:tc>
        <w:tc>
          <w:tcPr>
            <w:tcW w:type="dxa" w:w="1234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0.1792</w:t>
            </w:r>
          </w:p>
        </w:tc>
        <w:tc>
          <w:tcPr>
            <w:tcW w:type="dxa" w:w="1234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0.3169</w:t>
            </w:r>
          </w:p>
        </w:tc>
        <w:tc>
          <w:tcPr>
            <w:tcW w:type="dxa" w:w="1234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0.3552</w:t>
            </w:r>
          </w:p>
        </w:tc>
        <w:tc>
          <w:tcPr>
            <w:tcW w:type="dxa" w:w="1234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0.3166</w:t>
            </w:r>
          </w:p>
        </w:tc>
        <w:tc>
          <w:tcPr>
            <w:tcW w:type="dxa" w:w="1234"/>
            <w:tcBorders>
              <w:bottom w:val="single" w:sz="12" w:space="0" w:color="000000"/>
            </w:tcBorders>
          </w:tcPr>
          <w:p>
            <w:pPr>
              <w:spacing w:before="20" w:after="20" w:line="28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0.2873</w:t>
            </w:r>
          </w:p>
        </w:tc>
      </w:tr>
    </w:tbl>
    <w:p>
      <w:pPr>
        <w:spacing w:before="40" w:after="240"/>
      </w:pPr>
      <w:r>
        <w:rPr>
          <w:rFonts w:ascii="Times New Roman" w:hAnsi="Times New Roman" w:eastAsia="宋体"/>
          <w:sz w:val="18"/>
        </w:rPr>
        <w:t>注：括号中为 t 值，* p&lt;0.1, ** p&lt;0.05, *** p&lt;0.01。标准误为公司层面聚类稳健标准误。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