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312" w:lineRule="auto"/>
              <w:ind w:firstLine="0"/>
              <w:jc w:val="left"/>
              <w:rPr>
                <w:rFonts w:ascii="楷体" w:eastAsia="楷体" w:hAnsi="楷体"/>
                <w:color w:val="000000"/>
                <w:kern w:val="0"/>
                <w:sz w:val="28"/>
                <w:szCs w:val="28"/>
              </w:rPr>
            </w:pPr>
            <w:r>
              <w:rPr>
                <w:rFonts w:ascii="楷体" w:hAnsi="楷体" w:eastAsia="楷体"/>
                <w:sz w:val="28"/>
              </w:rPr>
              <w:t>基于数据挖掘的已获财政补贴上市</w:t>
              <w:br/>
              <w:t>公司补贴强度与高管超额薪酬研究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基于数据挖掘的已获财政补贴上市</w:t>
        <w:br/>
        <w:t>公司补贴强度与高管超额薪酬研究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left"/>
      </w:pPr>
      <w:r>
        <w:rPr>
          <w:rFonts w:hint="eastAsia" w:ascii="Times New Roman" w:hAnsi="Times New Roman" w:eastAsia="宋体"/>
          <w:sz w:val="21"/>
        </w:rPr>
        <w:t xml:space="preserve">本文以2003—2024年沪深A股非金融上市公司为观察范围，将基准回归收束到上一年已获财政补贴的公司年度，考察补贴强度与高管超额薪酬的关系。结果显示，滞后一期正补助对数系数为正且显著。加入行业×年份固定效应、缩短样本期、仅保留制造业样本，并实施Heckman校正和事件研究式动态检验后，结论方向保持一致。异质性结果表明，这一关联在民营企业和非管制行业更明显。管理层权力可能参与传导，经济幅度较小。机器学习部分只提供预测层面的补充线索。</w:t>
      </w:r>
    </w:p>
    <w:p>
      <w:pPr>
        <w:spacing w:line="240" w:lineRule="auto" w:before="0" w:after="0"/>
        <w:ind w:firstLine="0"/>
        <w:jc w:val="left"/>
      </w:pPr>
      <w:r>
        <w:rPr>
          <w:rFonts w:ascii="Times New Roman" w:hAnsi="Times New Roman" w:eastAsia="宋体"/>
          <w:sz w:val="21"/>
        </w:rPr>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240" w:lineRule="auto" w:before="0" w:after="0"/>
        <w:ind w:firstLine="0"/>
        <w:jc w:val="center"/>
      </w:pPr>
      <w:r>
        <w:rPr>
          <w:rFonts w:ascii="Times New Roman" w:hAnsi="Times New Roman" w:eastAsia="宋体"/>
          <w:sz w:val="21"/>
        </w:rPr>
      </w:r>
    </w:p>
    <w:p>
      <w:pPr>
        <w:spacing w:line="240" w:lineRule="auto" w:before="0" w:after="0"/>
        <w:ind w:firstLine="0"/>
        <w:jc w:val="center"/>
      </w:pPr>
      <w:r>
        <w:rPr>
          <w:rFonts w:ascii="Times New Roman" w:hAnsi="Times New Roman" w:eastAsia="宋体"/>
          <w:sz w:val="21"/>
        </w:rPr>
      </w:r>
    </w:p>
    <w:p>
      <w:pPr>
        <w:spacing w:line="240" w:lineRule="auto" w:before="0" w:after="0"/>
        <w:ind w:firstLine="0"/>
        <w:jc w:val="left"/>
      </w:pPr>
      <w:r>
        <w:rPr>
          <w:rFonts w:ascii="Times New Roman" w:hAnsi="Times New Roman" w:eastAsia="宋体"/>
          <w:sz w:val="21"/>
        </w:rPr>
      </w:r>
    </w:p>
    <w:p>
      <w:pPr>
        <w:pageBreakBefore w:val="0"/>
        <w:spacing w:line="312" w:lineRule="auto" w:before="0" w:after="0"/>
        <w:ind w:firstLine="0"/>
        <w:jc w:val="center"/>
      </w:pPr>
      <w:r>
        <w:rPr>
          <w:rFonts w:ascii="Times New Roman" w:hAnsi="Times New Roman" w:eastAsia="Times New Roman"/>
          <w:b/>
          <w:sz w:val="32"/>
        </w:rPr>
        <w:t>RESEARCH ON SUBSIDY INTENSITY AND</w:t>
      </w:r>
    </w:p>
    <w:p>
      <w:pPr>
        <w:spacing w:line="312" w:lineRule="auto" w:before="0" w:after="0"/>
        <w:ind w:firstLine="0"/>
        <w:jc w:val="center"/>
      </w:pPr>
      <w:r>
        <w:rPr>
          <w:rFonts w:ascii="Times New Roman" w:hAnsi="Times New Roman" w:eastAsia="Times New Roman"/>
          <w:b/>
          <w:sz w:val="32"/>
        </w:rPr>
        <w:t>EXECUTIVE EXCESS COMPENSATION OF ALREADY</w:t>
      </w:r>
    </w:p>
    <w:p>
      <w:pPr>
        <w:spacing w:line="312" w:lineRule="auto" w:before="0" w:after="0"/>
        <w:ind w:firstLine="0"/>
        <w:jc w:val="center"/>
      </w:pPr>
      <w:r>
        <w:rPr>
          <w:rFonts w:ascii="Times New Roman" w:hAnsi="Times New Roman" w:eastAsia="Times New Roman"/>
          <w:b/>
          <w:sz w:val="32"/>
        </w:rPr>
        <w:t>SUBSIDIZED LISTED COMPANIES BASED ON DATA</w:t>
      </w:r>
    </w:p>
    <w:p>
      <w:pPr>
        <w:spacing w:line="312" w:lineRule="auto" w:before="0" w:after="0"/>
        <w:ind w:firstLine="0"/>
        <w:jc w:val="center"/>
      </w:pPr>
      <w:r>
        <w:rPr>
          <w:rFonts w:ascii="Times New Roman" w:hAnsi="Times New Roman" w:eastAsia="Times New Roman"/>
          <w:b/>
          <w:sz w:val="32"/>
        </w:rPr>
        <w:t>MINING</w:t>
      </w:r>
    </w:p>
    <w:p>
      <w:pPr>
        <w:spacing w:line="240" w:lineRule="auto" w:before="0" w:after="0"/>
        <w:ind w:firstLine="0"/>
        <w:jc w:val="center"/>
      </w:pPr>
      <w:r>
        <w:rPr>
          <w:rFonts w:ascii="Times New Roman" w:hAnsi="Times New Roman" w:eastAsia="宋体"/>
          <w:sz w:val="21"/>
        </w:rPr>
      </w:r>
    </w:p>
    <w:p>
      <w:pPr>
        <w:spacing w:line="312" w:lineRule="auto" w:before="0" w:after="0"/>
        <w:ind w:firstLine="0"/>
        <w:jc w:val="center"/>
      </w:pPr>
      <w:r>
        <w:rPr>
          <w:rFonts w:ascii="Times New Roman" w:hAnsi="Times New Roman" w:eastAsia="Times New Roman"/>
          <w:b/>
          <w:sz w:val="28"/>
        </w:rPr>
        <w:t xml:space="preserve">ABSTRACT</w:t>
      </w:r>
    </w:p>
    <w:p>
      <w:pPr>
        <w:spacing w:line="240" w:lineRule="auto" w:before="0" w:after="0"/>
        <w:ind w:firstLine="0"/>
        <w:jc w:val="center"/>
      </w:pPr>
      <w:r>
        <w:rPr>
          <w:rFonts w:ascii="Times New Roman" w:hAnsi="Times New Roman" w:eastAsia="宋体"/>
          <w:sz w:val="21"/>
        </w:rPr>
      </w:r>
    </w:p>
    <w:p>
      <w:pPr>
        <w:spacing w:line="312" w:lineRule="auto" w:before="0" w:after="0"/>
        <w:ind w:firstLine="420"/>
        <w:jc w:val="left"/>
      </w:pPr>
      <w:r>
        <w:rPr>
          <w:rFonts w:ascii="Times New Roman" w:hAnsi="Times New Roman" w:eastAsia="Times New Roman"/>
          <w:sz w:val="21"/>
        </w:rPr>
        <w:t xml:space="preserve">Using non-financial A-share listed firms from 2003 to 2024 as the overall observation frame, this study centers its baseline regression on firm-year observations that had already received fiscal subsidies in the previous year and examines whether subsidy intensity is positively associated with executive excess compensation. To separate the extensive margin of obtaining subsidies from the intensive margin of subsidy size, the baseline regression uses the logarithm of lagged positive subsidies as the key regressor. Under firm and year fixed effects, the coefficient on subsidy intensity is positive and statistically significant; the result remains directionally stable after adding industry-by-year fixed effects, restricting the sample to 2010-2020, focusing on manufacturing firms, applying the Heckman two-step correction, and conducting an event-study style dynamic check. Heterogeneity tests suggest that this association is more evident in private firms and non-regulated industries. Managerial power serves as a partial mediator, though the economic magnitude of the indirect effect is small. Supplementary machine-learning checks provide additional predictive evidence rather than causal proof. Overall, within already subsidized listed firms, higher subsidy intensity is positively associated with executive excess compensation, while the evidence is still interpreted cautiously.</w:t>
      </w:r>
    </w:p>
    <w:p>
      <w:pPr>
        <w:spacing w:line="240" w:lineRule="auto" w:before="0" w:after="0"/>
        <w:ind w:firstLine="0"/>
        <w:jc w:val="left"/>
      </w:pPr>
      <w:r>
        <w:rPr>
          <w:rFonts w:ascii="Times New Roman" w:hAnsi="Times New Roman" w:eastAsia="宋体"/>
          <w:sz w:val="21"/>
        </w:rPr>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2"/>
      </w:pPr>
      <w:hyperlink w:anchor="_TocAuto0005"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1"/>
      </w:pPr>
      <w:hyperlink w:anchor="_TocAuto0006"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2"/>
      </w:pPr>
      <w:hyperlink w:anchor="_TocAuto0007"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2"/>
      </w:pPr>
      <w:hyperlink w:anchor="_TocAuto0008"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2"/>
      </w:pPr>
      <w:hyperlink w:anchor="_TocAuto0009"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1"/>
      </w:pPr>
      <w:hyperlink w:anchor="_TocAuto0010"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2"/>
      </w:pPr>
      <w:hyperlink w:anchor="_TocAuto0011"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2"/>
      </w:pPr>
      <w:hyperlink w:anchor="_TocAuto0013"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2"/>
      </w:pPr>
      <w:hyperlink w:anchor="_TocAuto0014"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1"/>
      </w:pPr>
      <w:hyperlink w:anchor="_TocAuto0015"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2"/>
      </w:pPr>
      <w:hyperlink w:anchor="_TocAuto0016"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2"/>
      </w:pPr>
      <w:hyperlink w:anchor="_TocAuto0017"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2"/>
      </w:pPr>
      <w:hyperlink w:anchor="_TocAuto0018"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2"/>
      </w:pPr>
      <w:hyperlink w:anchor="_TocAuto0019"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2"/>
      </w:pPr>
      <w:hyperlink w:anchor="_TocAuto0020"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2"/>
      </w:pPr>
      <w:hyperlink w:anchor="_TocAuto0021" w:history="1">
        <w:r>
          <w:rPr>
            <w:rStyle w:val="af"/>
            <w:noProof/>
          </w:rPr>
          <w:t>4.6</w:t>
        </w:r>
        <w:r>
          <w:rPr>
            <w:rStyle w:val="af"/>
            <w:noProof/>
          </w:rPr>
          <w:t xml:space="preserve"> </w:t>
        </w:r>
        <w:r>
          <w:rPr>
            <w:rStyle w:val="af"/>
            <w:noProof/>
          </w:rPr>
          <w:t>基于机器学习方法的补充验证</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4.7</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2"/>
      </w:pPr>
      <w:hyperlink w:anchor="_TocAuto0023" w:history="1">
        <w:r>
          <w:rPr>
            <w:rStyle w:val="af"/>
            <w:noProof/>
          </w:rPr>
          <w:t>4.8</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1"/>
      </w:pPr>
      <w:hyperlink w:anchor="_TocAuto0024"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2"/>
      </w:pPr>
      <w:hyperlink w:anchor="_TocAuto0025"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2"/>
      </w:pPr>
      <w:hyperlink w:anchor="_TocAuto0027"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1"/>
      </w:pPr>
      <w:hyperlink w:anchor="_TocAuto0028" w:history="1">
        <w:r>
          <w:rPr>
            <w:rStyle w:val="af"/>
            <w:noProof/>
          </w:rPr>
          <w:t>参考文献</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1"/>
      </w:pPr>
      <w:hyperlink w:anchor="_TocAuto0029" w:history="1">
        <w:r>
          <w:rPr>
            <w:rStyle w:val="af"/>
            <w:noProof/>
          </w:rPr>
          <w:t>致谢</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2"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2"/>
    </w:p>
    <w:bookmarkStart w:id="2" w:name="研究背景与问题提出"/>
    <w:p>
      <w:pPr>
        <w:pStyle w:val="2"/>
        <w:spacing w:line="312" w:lineRule="auto" w:before="0" w:after="0"/>
        <w:ind w:firstLine="0"/>
        <w:jc w:val="left"/>
      </w:pPr>
      <w:bookmarkStart w:id="73"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3"/>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发挥作用，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区间”，现有文献主要沿两条路径解释。“最优契约说”强调市场竞争与治理约束，视薪酬为董事会与高管博弈后的均衡结果，最终应反映高管的边际贡献；“管理权力说”则关注现实中的治理偏差，认为所有权与控制权分离的公司中，高管可以通过影响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能力、为寻租行为提供空间。本文便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边际贡献、系数保留与方向一致性、部分依赖趋势四个角度，为基准回归提供补充观察？</w:t>
      </w:r>
    </w:p>
    <w:bookmarkEnd w:id="0"/>
    <w:bookmarkStart w:id="3" w:name="研究目的与研究意义"/>
    <w:p>
      <w:pPr>
        <w:pStyle w:val="2"/>
        <w:spacing w:line="312" w:lineRule="auto" w:before="0" w:after="0"/>
        <w:ind w:firstLine="0"/>
        <w:jc w:val="left"/>
      </w:pPr>
      <w:bookmarkStart w:id="74"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4"/>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体现在以下几个层面。将政府补贴这一政策变量纳入高管超额薪酬的分析框架，将“外部资源输入”与“内部权力结构”纳入同一条分析链。实证设计上主动区分“是否获得补贴”和“获得补贴后的强弱差异”，把主问题收束为已获补贴企业内部的强度效应，有助于避免把两个不同经济问题混成一条回归。测量层面采用</w:t>
      </w:r>
      <w:r>
        <w:rPr>
          <w:rFonts w:ascii="Times New Roman" w:hAnsi="Times New Roman" w:eastAsia="宋体"/>
          <w:b w:val="0"/>
          <w:sz w:val="21"/>
        </w:rPr>
        <w:t xml:space="preserve"> PCA </w:t>
      </w:r>
      <w:r>
        <w:rPr>
          <w:rFonts w:hint="eastAsia" w:ascii="Times New Roman" w:hAnsi="Times New Roman" w:eastAsia="宋体"/>
          <w:b w:val="0"/>
          <w:sz w:val="21"/>
        </w:rPr>
        <w:t xml:space="preserve">构造管理层权力综合指标，同时将固定效应、选择偏差校正和机器学习补充验证并行使用，使线性识别与非线性观察能够相互补充。</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1"/>
    <w:bookmarkStart w:id="4" w:name="国内外研究现状"/>
    <w:p>
      <w:pPr>
        <w:pStyle w:val="2"/>
        <w:spacing w:line="312" w:lineRule="auto" w:before="0" w:after="0"/>
        <w:ind w:firstLine="0"/>
        <w:jc w:val="left"/>
      </w:pPr>
      <w:bookmarkStart w:id="75"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5"/>
    </w:p>
    <w:bookmarkStart w:id="5" w:name="高管超额薪酬的界定与测量方法"/>
    <w:p>
      <w:pPr>
        <w:pStyle w:val="31"/>
        <w:spacing w:line="312" w:lineRule="auto" w:before="0" w:after="0"/>
        <w:ind w:firstLine="420"/>
        <w:jc w:val="left"/>
      </w:pPr>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p>
    <w:p>
      <w:pPr>
        <w:spacing w:line="312" w:lineRule="auto" w:before="0" w:after="0"/>
        <w:ind w:firstLine="420"/>
        <w:jc w:val="both"/>
      </w:pPr>
      <w:r>
        <w:rPr>
          <w:rFonts w:hint="eastAsia" w:ascii="Times New Roman" w:hAnsi="Times New Roman" w:eastAsia="宋体"/>
          <w:b w:val="0"/>
          <w:sz w:val="21"/>
        </w:rPr>
        <w:t xml:space="preserve">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讨论视角从“薪酬高不高”转向“薪酬契约如何形成”，指出所有权分散的上市公司中，管理层可通过影响董事会提名、薪酬委员会构成和条款设计来抬高自身报酬。期权、退休福利和其他隐性收益因此成为识别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[24]</w:t>
      </w:r>
      <w:r>
        <w:rPr>
          <w:rFonts w:hint="eastAsia" w:ascii="Times New Roman" w:hAnsi="Times New Roman" w:eastAsia="宋体"/>
          <w:b w:val="0"/>
          <w:sz w:val="21"/>
        </w:rPr>
        <w:t xml:space="preserve">则直接使用残差法刻画超额薪酬，二者切入点不同，却都把政府补贴纳入了解释框架，并得到补贴与高管额外收益正向联系的结论。吴妍（2019）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[32]</w:t>
      </w:r>
      <w:r>
        <w:rPr>
          <w:rFonts w:hint="eastAsia" w:ascii="Times New Roman" w:hAnsi="Times New Roman" w:eastAsia="宋体"/>
          <w:b w:val="0"/>
          <w:sz w:val="21"/>
        </w:rPr>
        <w:t xml:space="preserve">等学位论文则提供了更贴近中国制度环境的变量设定和样本处理经验。这至少表明，在中国资本市场语境下，把超额薪酬构造成一个可比较、可检验的经验变量是可行的。超额薪酬的形成并不只受高管自身权力和能力影响，企业获得的外部资源，尤其是财政补贴，也会进入这一过程，下一节即转入补贴分配逻辑及其公司行为效应的讨论。</w:t>
      </w:r>
    </w:p>
    <w:bookmarkEnd w:id="2"/>
    <w:bookmarkStart w:id="6" w:name="财政补贴的分配逻辑与公司行为效应"/>
    <w:p>
      <w:pPr>
        <w:pStyle w:val="31"/>
        <w:spacing w:line="312" w:lineRule="auto" w:before="0" w:after="0"/>
        <w:ind w:firstLine="420"/>
        <w:jc w:val="left"/>
      </w:pPr>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[27]</w:t>
      </w:r>
      <w:r>
        <w:rPr>
          <w:rFonts w:hint="eastAsia" w:ascii="Times New Roman" w:hAnsi="Times New Roman" w:eastAsia="宋体"/>
          <w:b w:val="0"/>
          <w:sz w:val="21"/>
        </w:rPr>
        <w:t xml:space="preserve">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[26]</w:t>
      </w:r>
      <w:r>
        <w:rPr>
          <w:rFonts w:hint="eastAsia" w:ascii="Times New Roman" w:hAnsi="Times New Roman" w:eastAsia="宋体"/>
          <w:b w:val="0"/>
          <w:sz w:val="21"/>
        </w:rPr>
        <w:t xml:space="preserve">进一步发现政治关联更强的企业更容易获得政策支持。补贴兼具财务资源和治理关系的双重属性：它进入企业后会影响利润表，并改变管理层在企业内部的资源支配位置。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将视角延伸至补贴到账后的资源消化环节，发现政府补贴与管理冗余显著正相关，在内部控制较弱、社会信任水平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既然补贴的获取和使用都并非中性过程，补贴进入企业后能否外溢到高管薪酬，便取决于内部治理机制的约束强度，这正是下一节的讨论重点。</w:t>
      </w:r>
    </w:p>
    <w:bookmarkEnd w:id="3"/>
    <w:bookmarkStart w:id="7" w:name="内部治理机制对补贴薪酬关联的调节"/>
    <w:p>
      <w:pPr>
        <w:pStyle w:val="31"/>
        <w:spacing w:line="312" w:lineRule="auto" w:before="0" w:after="0"/>
        <w:ind w:firstLine="420"/>
        <w:jc w:val="left"/>
      </w:pPr>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发现政府补助会扩大高管与员工之间的薪酬差距，治理约束较弱的企业表现更为明显。陈冬华、陈信元和万华林（2005）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发现内控质量越高，高管薪酬对业绩变化的敏感度越强，这显示完善的内部约束有助于将薪酬拉回激励逻辑。罗进辉（2018）</w:t>
      </w:r>
      <w:r>
        <w:rPr>
          <w:rFonts w:ascii="Times New Roman" w:hAnsi="Times New Roman" w:eastAsia="宋体"/>
          <w:b w:val="0"/>
          <w:sz w:val="21"/>
          <w:vertAlign w:val="superscript"/>
        </w:rPr>
        <w:t>[23]</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将视角延伸至年报文本，发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[20]</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[31]</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[30]</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上述文献主要依赖线性计量框架，而补贴与薪酬之间可能存在的非线性关系和交互结构，则需要借助机器学习方法加以补充观察。</w:t>
      </w:r>
    </w:p>
    <w:bookmarkEnd w:id="4"/>
    <w:bookmarkStart w:id="8" w:name="机器学习与数据挖掘方法在会计金融研究中的应用"/>
    <w:p>
      <w:pPr>
        <w:pStyle w:val="31"/>
        <w:spacing w:line="312" w:lineRule="auto" w:before="0" w:after="0"/>
        <w:ind w:firstLine="420"/>
        <w:jc w:val="left"/>
      </w:pPr>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p>
    <w:p>
      <w:pPr>
        <w:spacing w:line="312" w:lineRule="auto" w:before="0" w:after="0"/>
        <w:ind w:firstLine="420"/>
        <w:jc w:val="both"/>
      </w:pPr>
      <w:r>
        <w:rPr>
          <w:rFonts w:hint="eastAsia" w:ascii="Times New Roman" w:hAnsi="Times New Roman" w:eastAsia="宋体"/>
          <w:b w:val="0"/>
          <w:sz w:val="21"/>
        </w:rPr>
        <w:t xml:space="preserve">机器学习文献与本文的关联在于，它能处理线性回归不太擅长回答的问题。Li（2008）</w:t>
      </w:r>
      <w:r>
        <w:rPr>
          <w:rFonts w:ascii="Times New Roman" w:hAnsi="Times New Roman" w:eastAsia="宋体"/>
          <w:b w:val="0"/>
          <w:sz w:val="21"/>
          <w:vertAlign w:val="superscript"/>
        </w:rPr>
        <w:t>[11]</w:t>
      </w:r>
      <w:r>
        <w:rPr>
          <w:rFonts w:hint="eastAsia" w:ascii="Times New Roman" w:hAnsi="Times New Roman" w:eastAsia="宋体"/>
          <w:b w:val="0"/>
          <w:sz w:val="21"/>
        </w:rPr>
        <w:t xml:space="preserve">较早将文本特征与经济后果联系起来，这意味着非结构化信息也可以进入会计研究。Gu、Kelly</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Xiu（2020）</w:t>
      </w:r>
      <w:r>
        <w:rPr>
          <w:rFonts w:ascii="Times New Roman" w:hAnsi="Times New Roman" w:eastAsia="宋体"/>
          <w:b w:val="0"/>
          <w:sz w:val="21"/>
          <w:vertAlign w:val="superscript"/>
        </w:rPr>
        <w:t>[7]</w:t>
      </w:r>
      <w:r>
        <w:rPr>
          <w:rFonts w:hint="eastAsia" w:ascii="Times New Roman" w:hAnsi="Times New Roman" w:eastAsia="宋体"/>
          <w:b w:val="0"/>
          <w:sz w:val="21"/>
        </w:rPr>
        <w:t xml:space="preserve">在实证资产定价领域系统比较了多种机器学习方法，发现集成树和神经网络在捕捉非线性模式方面具有显著优势。Perols、Bowen、Zimmermann等（2017）</w:t>
      </w:r>
      <w:r>
        <w:rPr>
          <w:rFonts w:ascii="Times New Roman" w:hAnsi="Times New Roman" w:eastAsia="宋体"/>
          <w:b w:val="0"/>
          <w:sz w:val="21"/>
          <w:vertAlign w:val="superscript"/>
        </w:rPr>
        <w:t>[12]</w:t>
      </w:r>
      <w:r>
        <w:rPr>
          <w:rFonts w:hint="eastAsia" w:ascii="Times New Roman" w:hAnsi="Times New Roman" w:eastAsia="宋体"/>
          <w:b w:val="0"/>
          <w:sz w:val="21"/>
        </w:rPr>
        <w:t xml:space="preserve">在财务舞弊识别中发现，随机森林、神经网络和Boosting等方法相较传统逻辑回归有更好的预测表现，关键在于模型能自动捕捉更高阶的交互结构。陆瑶、张叶青、黎波和赵浩宇（2020）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将梯度提升树用于高管特征与公司业绩关系的考察，发现某些变量的作用不一定沿线性方式平稳展开，在特定区间或特定组合下才明显增强。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[25]</w:t>
      </w:r>
      <w:r>
        <w:rPr>
          <w:rFonts w:hint="eastAsia" w:ascii="Times New Roman" w:hAnsi="Times New Roman" w:eastAsia="宋体"/>
          <w:b w:val="0"/>
          <w:sz w:val="21"/>
        </w:rPr>
        <w:t xml:space="preserve">在综述中指出，机器学习更适合承担探索性和补充性任务，不宜直接替代因果推断。Rjiba、Saadi、Boubaker等（2021）</w:t>
      </w:r>
      <w:r>
        <w:rPr>
          <w:rFonts w:ascii="Times New Roman" w:hAnsi="Times New Roman" w:eastAsia="宋体"/>
          <w:b w:val="0"/>
          <w:sz w:val="21"/>
          <w:vertAlign w:val="superscript"/>
        </w:rPr>
        <w:t>[13]</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[10]</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综合以上四个维度的文献积累，下面对现有研究的总体贡献和仍待填补的空白进行述评。</w:t>
      </w:r>
    </w:p>
    <w:bookmarkEnd w:id="5"/>
    <w:bookmarkStart w:id="9" w:name="研究述评与现有文献的局限"/>
    <w:p>
      <w:pPr>
        <w:pStyle w:val="31"/>
        <w:spacing w:line="312" w:lineRule="auto" w:before="0" w:after="0"/>
        <w:ind w:firstLine="420"/>
        <w:jc w:val="left"/>
      </w:pPr>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p>
    <w:p>
      <w:pPr>
        <w:spacing w:line="312" w:lineRule="auto" w:before="0" w:after="0"/>
        <w:ind w:firstLine="420"/>
        <w:jc w:val="both"/>
      </w:pPr>
      <w:r>
        <w:rPr>
          <w:rFonts w:hint="eastAsia" w:ascii="Times New Roman" w:hAnsi="Times New Roman" w:eastAsia="宋体"/>
          <w:b w:val="0"/>
          <w:sz w:val="21"/>
        </w:rPr>
        <w:t xml:space="preserve">综合前述文献，现有文献对几个基础问题已形成较清晰的认识：超额薪酬的界定与测量已有较稳定的处理路径，财政补贴对高管收入的作用在中国情境下积累了不少证据，内部控制、媒体监督和披露复杂性等因素对补贴效应强弱的影响也得到了较多支持。</w:t>
      </w:r>
    </w:p>
    <w:p>
      <w:pPr>
        <w:spacing w:line="312" w:lineRule="auto" w:before="0" w:after="0"/>
        <w:ind w:firstLine="420"/>
        <w:jc w:val="both"/>
      </w:pPr>
      <w:r>
        <w:rPr>
          <w:rFonts w:hint="eastAsia" w:ascii="Times New Roman" w:hAnsi="Times New Roman" w:eastAsia="宋体"/>
          <w:b w:val="0"/>
          <w:sz w:val="21"/>
        </w:rPr>
        <w:t xml:space="preserve">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6"/>
    <w:bookmarkEnd w:id="7"/>
    <w:bookmarkStart w:id="10" w:name="研究方法与技术路线"/>
    <w:p>
      <w:pPr>
        <w:pStyle w:val="2"/>
        <w:spacing w:line="312" w:lineRule="auto" w:before="0" w:after="0"/>
        <w:ind w:firstLine="0"/>
        <w:jc w:val="left"/>
      </w:pPr>
      <w:bookmarkStart w:id="76" w:name="_TocAuto0005"/>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76"/>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技术路线的设计让每类工具回答不同层面的问题。前半部分完成文献梳理与理论推演，明确两条检验主线：财政补贴与高管超额薪酬是否存在稳定联系，管理层权力是否承担传导角色。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的框架构造超额薪酬变量，并把基准回归聚焦为“上一年已获得补贴企业内部的补贴强度效应”：在公司和年份固定效应下，检验滞后一期正补助对数是否与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 xml:space="preserve">同步变化。更严格的行业×年份固定效应、选择偏差校正和事件研究式动态检验用于收紧识别边界，中介检验观察权力渠道是否存在，异质性分析判断联系是否随制度情境而分化。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则通过特征重要性与财政补贴的部分依赖图，观察更灵活模型中的趋势是否与OLS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11761456"/>
            <wp:effectExtent b="0" l="0" r="0" t="0"/>
            <wp:docPr descr="" title="" id="2" name="Picture"/>
            <a:graphic>
              <a:graphicData uri="http://schemas.openxmlformats.org/drawingml/2006/picture">
                <pic:pic>
                  <pic:nvPicPr>
                    <pic:cNvPr descr="./images/fig1_1_techroute.png" id="2" name="Picture"/>
                    <pic:cNvPicPr>
                      <a:picLocks noChangeArrowheads="1" noChangeAspect="1"/>
                    </pic:cNvPicPr>
                  </pic:nvPicPr>
                  <pic:blipFill>
                    <a:blip r:embed="rId24"/>
                    <a:stretch>
                      <a:fillRect/>
                    </a:stretch>
                  </pic:blipFill>
                  <pic:spPr bwMode="auto">
                    <a:xfrm>
                      <a:off x="0" y="0"/>
                      <a:ext cx="5753100" cy="11761456"/>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图1-1</w:t>
      </w:r>
      <w:r>
        <w:rPr>
          <w:rFonts w:ascii="Times New Roman" w:hAnsi="Times New Roman" w:eastAsia="宋体"/>
          <w:b/>
          <w:sz w:val="18"/>
        </w:rPr>
        <w:t xml:space="preserve"> </w:t>
      </w:r>
      <w:r>
        <w:rPr>
          <w:rFonts w:hint="eastAsia" w:ascii="Times New Roman" w:hAnsi="Times New Roman" w:eastAsia="宋体"/>
          <w:b/>
          <w:sz w:val="18"/>
        </w:rPr>
        <w:t xml:space="preserve">技术路线图</w:t>
      </w:r>
    </w:p>
    <w:bookmarkEnd w:id="8"/>
    <w:bookmarkEnd w:id="9"/>
    <w:bookmarkStart w:id="11" w:name="第二章-理论分析与假设"/>
    <w:p>
      <w:pPr>
        <w:pStyle w:val="1"/>
        <w:pageBreakBefore/>
        <w:spacing w:line="312" w:lineRule="auto" w:before="0" w:after="0"/>
        <w:ind w:firstLine="0"/>
        <w:jc w:val="center"/>
      </w:pPr>
      <w:bookmarkStart w:id="77" w:name="_TocAuto0006"/>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77"/>
    </w:p>
    <w:bookmarkStart w:id="12" w:name="概念界定"/>
    <w:p>
      <w:pPr>
        <w:pStyle w:val="2"/>
        <w:spacing w:line="312" w:lineRule="auto" w:before="0" w:after="0"/>
        <w:ind w:firstLine="0"/>
        <w:jc w:val="left"/>
      </w:pPr>
      <w:bookmarkStart w:id="78" w:name="_TocAuto0007"/>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78"/>
    </w:p>
    <w:bookmarkStart w:id="13" w:name="财政补贴"/>
    <w:p>
      <w:pPr>
        <w:pStyle w:val="31"/>
        <w:spacing w:line="312" w:lineRule="auto" w:before="0" w:after="0"/>
        <w:ind w:firstLine="420"/>
        <w:jc w:val="left"/>
      </w:pPr>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w:t>
      </w:r>
      <w:r>
        <w:rPr>
          <w:rFonts w:hint="eastAsia" w:ascii="Times New Roman" w:hAnsi="Times New Roman" w:eastAsia="宋体"/>
          <w:b w:val="0"/>
          <w:sz w:val="21"/>
        </w:rPr>
        <w:t xml:space="preserve">“与资产相关”</w:t>
      </w:r>
      <w:r>
        <w:rPr>
          <w:rFonts w:hint="eastAsia" w:ascii="Times New Roman" w:hAnsi="Times New Roman" w:eastAsia="宋体"/>
          <w:b w:val="0"/>
          <w:sz w:val="21"/>
        </w:rPr>
        <w:t xml:space="preserve">的补助通过递延收益逐期摊销进入利润，</w:t>
      </w:r>
      <w:r>
        <w:rPr>
          <w:rFonts w:hint="eastAsia" w:ascii="Times New Roman" w:hAnsi="Times New Roman" w:eastAsia="宋体"/>
          <w:b w:val="0"/>
          <w:sz w:val="21"/>
        </w:rPr>
        <w:t xml:space="preserve">“与收益相关”</w:t>
      </w:r>
      <w:r>
        <w:rPr>
          <w:rFonts w:hint="eastAsia" w:ascii="Times New Roman" w:hAnsi="Times New Roman" w:eastAsia="宋体"/>
          <w:b w:val="0"/>
          <w:sz w:val="21"/>
        </w:rPr>
        <w:t xml:space="preserve">的补助在满足确认条件后一次性或分期计入当期损益。补贴的到账时间、规模和附带约束因而会直接影响企业的资源配置方式和财务报表表现。此外，我国财政补贴存在使用约束弱、事后监督不足特征，很容易成为管理层权力寻租渠道。</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影响管理层安排资源的空间。在我国制度环境下，补贴使用约束相对有限、事后跟踪并不总是充分，这使其容易成为管理层寻租的渠道。本文据此将财政补贴置于“补贴—治理—薪酬”关系链条的起点。这种外部资源属性不等同于补贴具有准自然实验性质，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在具体度量上，本文同时保留两类补贴口径。描述性统计和对照分析中使用企业年度政府补助金额经零值保留后的对数形式，即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能力、资产结构、区域与行业等客观因素后仍高出正常基准的那部分报酬。这一概念的关键在于先回答一个基础问题：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框架，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1"/>
    <w:bookmarkStart w:id="15" w:name="管理层权力"/>
    <w:p>
      <w:pPr>
        <w:pStyle w:val="31"/>
        <w:spacing w:line="312" w:lineRule="auto" w:before="0" w:after="0"/>
        <w:ind w:firstLine="420"/>
        <w:jc w:val="left"/>
      </w:pPr>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影响的能力，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还要看到，中国公司治理结构中党委、董事会和管理层之间的权力边界并不总是清晰，国有企业尤其如此。党政体系中的关系网络、与上级主管部门的信任程度等真正影响高管地位的因素，在公开年报中几乎无法直接量化。把“管理层权力”放到中国上市公司语境下理解，其复杂性明显高于西方主流文献的标准设定。这里的处理方式保留了可操作性，部分非正式权力渠道仍可能被低估，后文区分国有与民营企业的异质性检验也有这层考虑。</w:t>
      </w:r>
    </w:p>
    <w:bookmarkEnd w:id="12"/>
    <w:bookmarkEnd w:id="13"/>
    <w:bookmarkStart w:id="16" w:name="理论基础"/>
    <w:p>
      <w:pPr>
        <w:pStyle w:val="2"/>
        <w:spacing w:line="312" w:lineRule="auto" w:before="0" w:after="0"/>
        <w:ind w:firstLine="0"/>
        <w:jc w:val="left"/>
      </w:pPr>
      <w:bookmarkStart w:id="79" w:name="_TocAuto0008"/>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79"/>
    </w:p>
    <w:bookmarkStart w:id="17" w:name="管理者权力理论"/>
    <w:p>
      <w:pPr>
        <w:pStyle w:val="31"/>
        <w:spacing w:line="312" w:lineRule="auto" w:before="0" w:after="0"/>
        <w:ind w:firstLine="420"/>
        <w:jc w:val="left"/>
      </w:pPr>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指出，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框架。本文以两职合一、董事会规模、内部董事比例和高管持股四个指标刻画管理层权力，延续了多角度分析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分析框架，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影响，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作用因而更加突出。外部资源扩张与内部权力强化一并发生时，补贴便容易转化为薪酬谈判中的额外筹码。据此，本文不直接用薪酬规模讨论问题，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关于内控质量越高、薪酬—绩效敏感性越强的发现，也支持了这种理解。方军雄（2009）</w:t>
      </w:r>
      <w:r>
        <w:rPr>
          <w:rFonts w:ascii="Times New Roman" w:hAnsi="Times New Roman" w:eastAsia="宋体"/>
          <w:b w:val="0"/>
          <w:sz w:val="21"/>
          <w:vertAlign w:val="superscript"/>
        </w:rPr>
        <w:t>[18]</w:t>
      </w:r>
      <w:r>
        <w:rPr>
          <w:rFonts w:hint="eastAsia" w:ascii="Times New Roman" w:hAnsi="Times New Roman" w:eastAsia="宋体"/>
          <w:b w:val="0"/>
          <w:sz w:val="21"/>
        </w:rPr>
        <w:t xml:space="preserve">进一步发现我国上市公司高管薪酬存在显著粘性，即业绩下降时薪酬调整幅度不如业绩上升时明显，这说明薪酬契约对绿效的约束本身就存在不对称性，财政补贴带来的账面收益改善更容易被纳入薪酬上调范围。本文采用期望薪酬残差（Overpay）而非薪酬水平，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[14]</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就补贴与薪酬的关系而言，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能力往往与信息控制权相伴而生，而信息控制权又会回到薪酬谈判过程。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p>
    <w:p>
      <w:pPr>
        <w:spacing w:line="312" w:lineRule="auto" w:before="0" w:after="0"/>
        <w:ind w:firstLine="420"/>
        <w:jc w:val="both"/>
      </w:pPr>
      <w:r>
        <w:rPr>
          <w:rFonts w:hint="eastAsia" w:ascii="Times New Roman" w:hAnsi="Times New Roman" w:eastAsia="宋体"/>
          <w:b w:val="0"/>
          <w:bCs/>
          <w:sz w:val="21"/>
        </w:rPr>
        <w:t xml:space="preserve">管理者权力理论、代理理论和信号传递理论的比较</w:t>
      </w:r>
    </w:p>
    <w:p>
      <w:pPr>
        <w:spacing w:line="312" w:lineRule="auto" w:before="0" w:after="0"/>
        <w:ind w:firstLine="420"/>
        <w:jc w:val="both"/>
      </w:pPr>
      <w:r>
        <w:rPr>
          <w:rFonts w:hint="eastAsia" w:ascii="Times New Roman" w:hAnsi="Times New Roman" w:eastAsia="宋体"/>
          <w:b w:val="0"/>
          <w:sz w:val="21"/>
        </w:rPr>
        <w:t xml:space="preserve">管理者权力理论、代理理论和信号传递理论是理解补贴与薪酬关系的三个重要理论视角。管理者权力理论回答的是“补贴在什么条件下会被管理层截留”，代理理论回答的是“这种截留依托什么内部安排发生”，信号传递理论则补充了“外部信息环境为什么会放大或压缩这一过程”。</w:t>
      </w:r>
    </w:p>
    <w:p>
      <w:pPr>
        <w:spacing w:line="312" w:lineRule="auto" w:before="0" w:after="0"/>
        <w:ind w:firstLine="420"/>
        <w:jc w:val="both"/>
      </w:pPr>
      <w:r>
        <w:rPr>
          <w:rFonts w:hint="eastAsia" w:ascii="Times New Roman" w:hAnsi="Times New Roman" w:eastAsia="宋体"/>
          <w:b w:val="0"/>
          <w:bCs/>
          <w:sz w:val="21"/>
        </w:rPr>
        <w:t xml:space="preserve">理论视角的内在张力</w:t>
      </w:r>
    </w:p>
    <w:p>
      <w:pPr>
        <w:spacing w:line="312" w:lineRule="auto" w:before="0" w:after="0"/>
        <w:ind w:firstLine="420"/>
        <w:jc w:val="both"/>
      </w:pPr>
      <w:r>
        <w:rPr>
          <w:rFonts w:hint="eastAsia" w:ascii="Times New Roman" w:hAnsi="Times New Roman" w:eastAsia="宋体"/>
          <w:b w:val="0"/>
          <w:sz w:val="21"/>
        </w:rPr>
        <w:t xml:space="preserve">虽然这三个理论视角可以相互补充，但它们也存在一些内在张力。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r>
        <w:rPr>
          <w:rFonts w:ascii="Times New Roman" w:hAnsi="Times New Roman" w:eastAsia="宋体"/>
          <w:b w:val="0"/>
          <w:sz w:val="21"/>
        </w:rPr>
        <w:t xml:space="preserve"> </w:t>
      </w:r>
      <w:r>
        <w:rPr>
          <w:rFonts w:ascii="Times New Roman" w:hAnsi="Times New Roman" w:eastAsia="宋体"/>
          <w:b w:val="0"/>
          <w:sz w:val="21"/>
        </w:rPr>
        <w:t xml:space="preserve">### 2.2.5 </w:t>
      </w:r>
      <w:r>
        <w:rPr>
          <w:rFonts w:hint="eastAsia" w:ascii="Times New Roman" w:hAnsi="Times New Roman" w:eastAsia="宋体"/>
          <w:b w:val="0"/>
          <w:sz w:val="21"/>
        </w:rPr>
        <w:t xml:space="preserve">中国制度情境下的理论延展</w:t>
      </w:r>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和地方财政余裕、招商策略的共同影响。</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但如后文第四章所述，这些工具变量在当前基准样本中一阶段整体偏弱，因此仅作为后台诊断而不承担正文主识别功能。</w:t>
      </w:r>
    </w:p>
    <w:p>
      <w:pPr>
        <w:spacing w:line="312" w:lineRule="auto" w:before="0" w:after="0"/>
        <w:ind w:firstLine="420"/>
        <w:jc w:val="both"/>
      </w:pPr>
      <w:r>
        <w:rPr>
          <w:rFonts w:hint="eastAsia" w:ascii="Times New Roman" w:hAnsi="Times New Roman" w:eastAsia="宋体"/>
          <w:b w:val="0"/>
          <w:sz w:val="21"/>
        </w:rPr>
        <w:t xml:space="preserve">考虑到新的基准回归聚焦于已获补贴样本内部的强度差异，文中更强调两类与新口径直接相关的补充识别策略：一是用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处理“谁更容易进入正补助样本”的选择偏差。二是通过事件研究式动态检验和行业×年份固定效应设定，观察补贴强度抬升前是否已存在明显的预趋势，并尽量压缩时变行业冲击。传统留一法工具变量仅作为后台诊断，若一阶段整体偏弱、二阶段方向不稳，则不作为正文识别证据。</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分析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保持一致。第二章的理论推演，归根到底要回答两个层面的问题：补贴为何会与超额薪酬上升相伴随，以及为什么这一关系在不同企业中强度并不相同。</w:t>
      </w:r>
    </w:p>
    <w:bookmarkEnd w:id="17"/>
    <w:bookmarkEnd w:id="18"/>
    <w:bookmarkStart w:id="21" w:name="研究假设"/>
    <w:p>
      <w:pPr>
        <w:pStyle w:val="2"/>
        <w:spacing w:line="312" w:lineRule="auto" w:before="0" w:after="0"/>
        <w:ind w:firstLine="0"/>
        <w:jc w:val="left"/>
      </w:pPr>
      <w:bookmarkStart w:id="80" w:name="_TocAuto0009"/>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80"/>
    </w:p>
    <w:p>
      <w:pPr>
        <w:spacing w:line="312" w:lineRule="auto" w:before="0" w:after="0"/>
        <w:ind w:firstLine="420"/>
        <w:jc w:val="both"/>
      </w:pPr>
      <w:r>
        <w:rPr>
          <w:rFonts w:hint="eastAsia" w:ascii="Times New Roman" w:hAnsi="Times New Roman" w:eastAsia="宋体"/>
          <w:b w:val="0"/>
          <w:sz w:val="21"/>
        </w:rPr>
        <w:t xml:space="preserve">以上讨论可以收束为一个分层框架：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便易于与更高的高管超额薪酬相伴随。H1主要建立在代理理论的资源侵占逻辑之上：补贴进入企业账面之后，若激励契约没有把这部分“非经营性收益”从绩效薪酬基数中剔除，高管有条件在未作出相应经营努力的情况下同步受益；同时，资源扩张也会放松董事会在薪酬谈判中的支付约束。基于此，H1预期在已获补贴企业内部，补贴强度与高管超额薪酬之间存在正向联系，并在较严格的控制设定下仍可被观察。</w:t>
      </w:r>
    </w:p>
    <w:p>
      <w:pPr>
        <w:spacing w:line="312" w:lineRule="auto" w:before="0" w:after="0"/>
        <w:ind w:firstLine="420"/>
        <w:jc w:val="both"/>
      </w:pPr>
      <w:r>
        <w:rPr>
          <w:rFonts w:hint="eastAsia" w:ascii="Times New Roman" w:hAnsi="Times New Roman" w:eastAsia="宋体"/>
          <w:b w:val="0"/>
          <w:bCs/>
          <w:sz w:val="21"/>
        </w:rPr>
        <w:t xml:space="preserve">假设H2（机制路径假设）</w:t>
      </w:r>
      <w:r>
        <w:rPr>
          <w:rFonts w:hint="eastAsia" w:ascii="Times New Roman" w:hAnsi="Times New Roman" w:eastAsia="宋体"/>
          <w:b w:val="0"/>
          <w:sz w:val="21"/>
        </w:rPr>
        <w:t xml:space="preserve">：本文检验管理层权力是否可能构成财政补贴与高管超额薪酬之间的中介路径。财政补贴的获取和使用往往强化高管在资源配置中的核心地位，并进一步提升其在薪酬谈判中的议价能力；若控制管理层权力后，补贴对超额薪酬的直接效应收窄，且管理层权力的系数显著为正，才可将其视为存在间接传导的经验线索。H2主要来自管理者权力理论：补贴获取过程中高管的深度介入，往往强化其在组织内部的议程设置权；补贴使用中的自由裁量越大，补贴资源被转化为薪酬议价筹码的空间也越大。管理层权力的测度本身仍带有经验性，相关路径始终需要审慎解释。第四章的中介检验即围绕这一待检验链条展开。</w:t>
      </w:r>
    </w:p>
    <w:bookmarkEnd w:id="19"/>
    <w:bookmarkEnd w:id="20"/>
    <w:bookmarkStart w:id="22" w:name="第三章-研究设计"/>
    <w:p>
      <w:pPr>
        <w:pStyle w:val="1"/>
        <w:pageBreakBefore/>
        <w:spacing w:line="312" w:lineRule="auto" w:before="0" w:after="0"/>
        <w:ind w:firstLine="0"/>
        <w:jc w:val="center"/>
      </w:pPr>
      <w:bookmarkStart w:id="81" w:name="_TocAuto0010"/>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81"/>
    </w:p>
    <w:bookmarkStart w:id="23" w:name="研究思路与分析框架"/>
    <w:p>
      <w:pPr>
        <w:pStyle w:val="2"/>
        <w:spacing w:line="312" w:lineRule="auto" w:before="0" w:after="0"/>
        <w:ind w:firstLine="0"/>
        <w:jc w:val="left"/>
      </w:pPr>
      <w:bookmarkStart w:id="82" w:name="_TocAuto0011"/>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82"/>
    </w:p>
    <w:p>
      <w:pPr>
        <w:spacing w:line="312" w:lineRule="auto" w:before="0" w:after="0"/>
        <w:ind w:firstLine="420"/>
        <w:jc w:val="both"/>
      </w:pPr>
      <w:r>
        <w:rPr>
          <w:rFonts w:hint="eastAsia" w:ascii="Times New Roman" w:hAnsi="Times New Roman" w:eastAsia="宋体"/>
          <w:b w:val="0"/>
          <w:sz w:val="21"/>
        </w:rPr>
        <w:t xml:space="preserve">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检验主关联，再用稳健性检验考察关系是否对样本和设定变化敏感；随后开展选择偏差校正、中介效应分析和异质性分析，尽量把识别边界、传导路径与制度情境差异说明清楚；最后再借助机器学习补充验证，在与基准回归一致的变量设定下复核财政补贴的重要性、方向一致性和局部趋势。这样的安排旨在让不同方法分别回答不同问题，而不是简单叠加方法以堆砌结论。</w:t>
      </w:r>
    </w:p>
    <w:bookmarkEnd w:id="21"/>
    <w:bookmarkStart w:id="24" w:name="样本选择与数据来源"/>
    <w:p>
      <w:pPr>
        <w:pStyle w:val="2"/>
        <w:spacing w:line="312" w:lineRule="auto" w:before="0" w:after="0"/>
        <w:ind w:firstLine="0"/>
        <w:jc w:val="left"/>
      </w:pPr>
      <w:bookmarkStart w:id="83" w:name="_TocAuto0012"/>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83"/>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时按0处理。正文中的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四个输入变量，因此其样本量保持在43,417条；第四步，机制检验需要管理层权力综合指标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Power（PCA）完整，因此统一样本进一步降至41,186条。这样的处理可以把“基准回归样本”“机器学习样本”和“机制样本”清楚区分开来，避免在答辩时把不同问题对应的样本边界混为一谈。</w:t>
      </w:r>
    </w:p>
    <w:bookmarkEnd w:id="22"/>
    <w:bookmarkStart w:id="25" w:name="变量设定与说明"/>
    <w:p>
      <w:pPr>
        <w:pStyle w:val="2"/>
        <w:spacing w:line="312" w:lineRule="auto" w:before="0" w:after="0"/>
        <w:ind w:firstLine="0"/>
        <w:jc w:val="left"/>
      </w:pPr>
      <w:bookmarkStart w:id="84" w:name="_TocAuto0013"/>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84"/>
    </w:p>
    <w:bookmarkStart w:id="26" w:name="被解释变量高管超额薪酬overpay"/>
    <w:p>
      <w:pPr>
        <w:pStyle w:val="31"/>
        <w:spacing w:line="312" w:lineRule="auto" w:before="0" w:after="0"/>
        <w:ind w:firstLine="420"/>
        <w:jc w:val="left"/>
      </w:pPr>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p>
    <w:p>
      <w:pPr>
        <w:spacing w:line="312" w:lineRule="auto" w:before="0" w:after="0"/>
        <w:ind w:firstLine="420"/>
        <w:jc w:val="both"/>
      </w:pPr>
      <w:r>
        <w:rPr>
          <w:rFonts w:hint="eastAsia" w:ascii="Times New Roman" w:hAnsi="Times New Roman" w:eastAsia="宋体"/>
          <w:b w:val="0"/>
          <w:sz w:val="21"/>
        </w:rPr>
        <w:t xml:space="preserve">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基准薪酬模型的残差项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主要是为了降低个别年份单一职位数据缺失或异常的影响。此外，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3"/>
    <w:bookmarkStart w:id="27" w:name="核心解释变量财政补贴强度lnsubsidy"/>
    <w:p>
      <w:pPr>
        <w:pStyle w:val="31"/>
        <w:spacing w:line="312" w:lineRule="auto" w:before="0" w:after="0"/>
        <w:ind w:firstLine="420"/>
        <w:jc w:val="left"/>
      </w:pPr>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p>
    <w:p>
      <w:pPr>
        <w:spacing w:line="312" w:lineRule="auto" w:before="0" w:after="0"/>
        <w:ind w:firstLine="420"/>
        <w:jc w:val="both"/>
      </w:pPr>
      <w:r>
        <w:rPr>
          <w:rFonts w:hint="eastAsia" w:ascii="Times New Roman" w:hAnsi="Times New Roman" w:eastAsia="宋体"/>
          <w:b w:val="0"/>
          <w:sz w:val="21"/>
        </w:rPr>
        <w:t xml:space="preserve">为区分“是否获得补贴”和“获得补贴后的强弱差异”，本文同时保留两类补贴度量。第一类是描述性统计和对照分析中使用的全样本口径：</w:t>
      </w:r>
    </w:p>
    <w:p>
      <w:pPr>
        <w:tabs>
          <w:tab w:pos="8617" w:val="right"/>
        </w:tabs>
        <w:spacing w:line="312" w:lineRule="auto" w:before="0" w:after="0"/>
        <w:ind w:firstLine="0"/>
        <w:jc w:val="center"/>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第二类是基准回归使用的强度口径，仅在补助金额大于0时取自然对数：</w:t>
      </w:r>
    </w:p>
    <w:p>
      <w:pPr>
        <w:tabs>
          <w:tab w:pos="8617" w:val="right"/>
        </w:tabs>
        <w:spacing w:line="312" w:lineRule="auto" w:before="0" w:after="0"/>
        <w:ind w:firstLine="0"/>
        <w:jc w:val="center"/>
      </w:pPr>
      <m:oMathPara>
        <m:oMathParaPr>
          <m:jc m:val="center"/>
        </m:oMathParaPr>
        <m:oMath>
          <m:r>
            <m:rPr>
              <m:sty m:val="p"/>
            </m:rPr>
            <m:t>ln</m:t>
          </m:r>
          <m:sSubSup>
            <m:e>
              <m:r>
                <m:rPr>
                  <m:nor/>
                  <m:sty m:val="p"/>
                </m:rPr>
                <m:t>Subsidy</m:t>
              </m:r>
            </m:e>
            <m:sub>
              <m:r>
                <m:t>i</m:t>
              </m:r>
              <m:r>
                <m:t>t</m:t>
              </m:r>
            </m:sub>
            <m:sup>
              <m:r>
                <m:rPr>
                  <m:sty m:val="p"/>
                </m:rPr>
                <m:t>+</m:t>
              </m:r>
            </m:sup>
          </m:sSubSup>
          <m:r>
            <m:rPr>
              <m:sty m:val="p"/>
            </m:rPr>
            <m:t>=</m:t>
          </m:r>
          <m:r>
            <m:rPr>
              <m:sty m:val="p"/>
            </m:rPr>
            <m:t>ln</m:t>
          </m:r>
          <m:r>
            <m:rPr>
              <m:sty m:val="p"/>
            </m:rPr>
            <m:t>(</m:t>
          </m:r>
          <m:sSub>
            <m:e>
              <m:r>
                <m:rPr>
                  <m:nor/>
                  <m:sty m:val="p"/>
                </m:rPr>
                <m:t>GovernmentSubsidy</m:t>
              </m:r>
            </m:e>
            <m:sub>
              <m:r>
                <m:t>i</m:t>
              </m:r>
              <m:r>
                <m:t>t</m:t>
              </m:r>
            </m:sub>
          </m:sSub>
          <m:r>
            <m:rPr>
              <m:sty m:val="p"/>
            </m:rPr>
            <m:t>)</m:t>
          </m:r>
          <m:r>
            <m:rPr>
              <m:sty m:val="p"/>
            </m:rPr>
            <m:t>,</m:t>
          </m:r>
          <m:r>
            <m:t>  </m:t>
          </m:r>
          <m:sSub>
            <m:e>
              <m:r>
                <m:rPr>
                  <m:nor/>
                  <m:sty m:val="p"/>
                </m:rPr>
                <m:t>GovernmentSubsidy</m:t>
              </m:r>
            </m:e>
            <m:sub>
              <m:r>
                <m:t>i</m:t>
              </m:r>
              <m:r>
                <m:t>t</m:t>
              </m:r>
            </m:sub>
          </m:sSub>
          <m:r>
            <m:rPr>
              <m:sty m:val="p"/>
            </m:rPr>
            <m:t>&gt;</m:t>
          </m:r>
          <m:r>
            <m:t>0</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其中，第二阶段基准回归实际使用的是滞后一期变量</w:t>
      </w:r>
      <w:r>
        <w:rPr>
          <w:rFonts w:ascii="Times New Roman" w:hAnsi="Times New Roman" w:eastAsia="宋体"/>
          <w:b w:val="0"/>
          <w:sz w:val="21"/>
        </w:rPr>
        <w:t xml:space="preserve"> </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。这样处理的考虑有两点。其一，</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适合保留零补助公司年度，用于描述整体样本与对照口径；其二，若研究问题聚焦于“已经拿到补贴之后，拿得更多是否伴随更高的超额薪酬”，则更自然的做法是把基准回归限制在上一年已获得补贴的公司年度，并直接比较补贴强弱差异。也即，全文主线更关注补贴的强度边际，而不是全体公司平均意义上的混合效应。</w:t>
      </w:r>
    </w:p>
    <w:bookmarkEnd w:id="24"/>
    <w:bookmarkStart w:id="28" w:name="控制变量"/>
    <w:p>
      <w:pPr>
        <w:pStyle w:val="31"/>
        <w:spacing w:line="312" w:lineRule="auto" w:before="0" w:after="0"/>
        <w:ind w:firstLine="420"/>
        <w:jc w:val="left"/>
      </w:pPr>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控制变量分成两个阶段来设定，原因在于两阶段模型各自承担的任务并不一样。第一阶段的目标，是尽量准确地估计“合理薪酬”或“基准薪酬”，因此控制项要尽量覆盖那些决定正常薪酬水平的公司特征，包括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（Zone），并进一步控制行业和年份效应，把规模、业绩、资产结构以及地区薪酬基准这些常规差异尽量吸收进基准薪酬模型。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所以，两阶段控制变量的差异并不意味着模型设定前后不一致，而是分别服务于“尽量拟合合理薪酬基准”和“在固定效应框架下观察补贴强度与超额薪酬的条件相关”这两个不同经验任务。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基准薪酬模型回归残差，正值表示薪酬高于基准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lnSubsidy_pos</w:t>
            </w:r>
          </w:p>
        </w:tc>
        <w:tc>
          <w:tcPr/>
          <w:p>
            <w:pPr>
              <w:pStyle w:val="Compact"/>
              <w:spacing w:line="240" w:lineRule="auto" w:before="0" w:after="0"/>
              <w:ind w:firstLine="0"/>
              <w:jc w:val="center"/>
            </w:pPr>
            <w:r>
              <w:rPr>
                <w:rFonts w:hint="eastAsia" w:ascii="Times New Roman" w:hAnsi="Times New Roman" w:eastAsia="宋体"/>
                <w:sz w:val="18"/>
              </w:rPr>
              <w:t xml:space="preserve">仅对正补助金额取自然对数，基准回归使用其滞后一期</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四项指标的PCA综合得分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5"/>
    <w:bookmarkStart w:id="29" w:name="路径变量管理层权力power"/>
    <w:p>
      <w:pPr>
        <w:pStyle w:val="31"/>
        <w:spacing w:line="312" w:lineRule="auto" w:before="0" w:after="0"/>
        <w:ind w:firstLine="420"/>
        <w:jc w:val="left"/>
      </w:pPr>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PCA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PCA </w:t>
      </w:r>
      <w:r>
        <w:rPr>
          <w:rFonts w:hint="eastAsia" w:ascii="Times New Roman" w:hAnsi="Times New Roman" w:eastAsia="宋体"/>
          <w:b w:val="0"/>
          <w:sz w:val="21"/>
        </w:rPr>
        <w:t xml:space="preserve">诊断结果，统一放在第四章中介效应分析部分展开。</w:t>
      </w:r>
      <w:r>
        <w:rPr>
          <w:rFonts w:ascii="Times New Roman" w:hAnsi="Times New Roman" w:eastAsia="宋体"/>
          <w:b w:val="0"/>
          <w:sz w:val="21"/>
        </w:rPr>
        <w:t xml:space="preserve"> </w:t>
      </w:r>
      <w:r>
        <w:rPr>
          <w:rFonts w:ascii="Times New Roman" w:hAnsi="Times New Roman" w:eastAsia="宋体"/>
          <w:b w:val="0"/>
          <w:sz w:val="21"/>
        </w:rPr>
        <w:t xml:space="preserve">## 3.4 </w:t>
      </w:r>
      <w:r>
        <w:rPr>
          <w:rFonts w:hint="eastAsia" w:ascii="Times New Roman" w:hAnsi="Times New Roman" w:eastAsia="宋体"/>
          <w:b w:val="0"/>
          <w:sz w:val="21"/>
        </w:rPr>
        <w:t xml:space="preserve">模型设定</w:t>
      </w:r>
    </w:p>
    <w:p>
      <w:pPr>
        <w:spacing w:line="312" w:lineRule="auto" w:before="0" w:after="0"/>
        <w:ind w:firstLine="420"/>
        <w:jc w:val="both"/>
      </w:pPr>
      <w:r>
        <w:rPr>
          <w:rFonts w:hint="eastAsia" w:ascii="Times New Roman" w:hAnsi="Times New Roman" w:eastAsia="宋体"/>
          <w:b w:val="0"/>
          <w:sz w:val="21"/>
        </w:rPr>
        <w:t xml:space="preserve">模型设定分为两个阶段。第一阶段先估计企业在既有规模、业绩和地区条件下的基准薪酬水平，以便把”正常薪酬”与”异常偏离”区分开来。第二阶段再以超额薪酬为被解释变量，考察补贴强度与异常薪酬之间的条件相关。两阶段所用控制变量不同，核心原因在于两阶段的任务并不一样。第一阶段的目标是尽量准确地估计”合理薪酬”或”基准薪酬”，因此控制项要尽量覆盖那些决定正常薪酬水平的公司特征。第二阶段的关注点转向财政补贴与”超额薪酬”之间的联系，因此控制项收缩为更直接关系到薪酬契约合理性、监督强度和寻租空间的变量。</w:t>
      </w:r>
    </w:p>
    <w:bookmarkEnd w:id="26"/>
    <w:bookmarkStart w:id="30" w:name="基准薪酬模型"/>
    <w:p>
      <w:pPr>
        <w:pStyle w:val="31"/>
        <w:spacing w:line="312" w:lineRule="auto" w:before="0" w:after="0"/>
        <w:ind w:firstLine="420"/>
        <w:jc w:val="left"/>
      </w:pPr>
      <w:r>
        <w:rPr>
          <w:rFonts w:ascii="Times New Roman" w:hAnsi="Times New Roman" w:eastAsia="宋体"/>
          <w:b w:val="0"/>
          <w:sz w:val="24"/>
        </w:rPr>
        <w:t xml:space="preserve">3.4.1 </w:t>
      </w:r>
      <w:r>
        <w:rPr>
          <w:rFonts w:hint="eastAsia" w:ascii="Times New Roman" w:hAnsi="Times New Roman" w:eastAsia="宋体"/>
          <w:b w:val="0"/>
          <w:sz w:val="24"/>
        </w:rPr>
        <w:t xml:space="preserve">基准薪酬模型</w:t>
      </w:r>
    </w:p>
    <w:p>
      <w:pPr>
        <w:spacing w:line="312" w:lineRule="auto" w:before="0" w:after="0"/>
        <w:ind w:firstLine="420"/>
        <w:jc w:val="both"/>
      </w:pPr>
      <w:r>
        <w:rPr>
          <w:rFonts w:hint="eastAsia" w:ascii="Times New Roman" w:hAnsi="Times New Roman" w:eastAsia="宋体"/>
          <w:b w:val="0"/>
          <w:sz w:val="21"/>
        </w:rPr>
        <w:t xml:space="preserve">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tabs>
          <w:tab w:pos="8617" w:val="right"/>
        </w:tabs>
        <w:spacing w:line="312" w:lineRule="auto" w:before="0" w:after="0"/>
        <w:ind w:firstLine="0"/>
        <w:jc w:val="center"/>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7"/>
    <w:bookmarkStart w:id="31" w:name="基准回归模型"/>
    <w:p>
      <w:pPr>
        <w:pStyle w:val="31"/>
        <w:spacing w:line="312" w:lineRule="auto" w:before="0" w:after="0"/>
        <w:ind w:firstLine="420"/>
        <w:jc w:val="left"/>
      </w:pPr>
      <w:r>
        <w:rPr>
          <w:rFonts w:ascii="Times New Roman" w:hAnsi="Times New Roman" w:eastAsia="宋体"/>
          <w:b w:val="0"/>
          <w:sz w:val="24"/>
        </w:rPr>
        <w:t xml:space="preserve">3.4.2 </w:t>
      </w:r>
      <w:r>
        <w:rPr>
          <w:rFonts w:hint="eastAsia" w:ascii="Times New Roman" w:hAnsi="Times New Roman" w:eastAsia="宋体"/>
          <w:b w:val="0"/>
          <w:sz w:val="24"/>
        </w:rPr>
        <w:t xml:space="preserve">基准回归模型</w:t>
      </w:r>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）作为核心解释变量，并加入企业层面控制变量、公司固定效应和年份固定效应：</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表示年份固定效应。应当留意，式（4）并不是在全部公司年度上估计，而是只在“上一年补助金额大于0”的公司年度上估计，所以最关注的是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影响薪酬契约合理性与寻租空间的维度。此外，式（3）采用行业与年份固定效应以利用跨企业的横截面差异构造薪酬基准，式（4）则采用公司与年份固定效应以利用同一企业内的时间变化来识别补贴强度与超额薪酬的关联；Overpay</w:t>
      </w:r>
      <w:r>
        <w:rPr>
          <w:rFonts w:ascii="Times New Roman" w:hAnsi="Times New Roman" w:eastAsia="宋体"/>
          <w:b w:val="0"/>
          <w:sz w:val="21"/>
        </w:rPr>
        <w:t xml:space="preserve"> </w:t>
      </w:r>
      <w:r>
        <w:rPr>
          <w:rFonts w:hint="eastAsia" w:ascii="Times New Roman" w:hAnsi="Times New Roman" w:eastAsia="宋体"/>
          <w:b w:val="0"/>
          <w:sz w:val="21"/>
        </w:rPr>
        <w:t xml:space="preserve">残差中仍包含的公司层面稳定异质性会被式（4）中的公司固定效应进一步吸收，两阶段固定效应设定各司其职，不构成口径冲突。</w:t>
      </w:r>
    </w:p>
    <w:bookmarkEnd w:id="28"/>
    <w:bookmarkStart w:id="32" w:name="选择偏差校正与识别边界检验"/>
    <w:p>
      <w:pPr>
        <w:pStyle w:val="31"/>
        <w:spacing w:line="312" w:lineRule="auto" w:before="0" w:after="0"/>
        <w:ind w:firstLine="420"/>
        <w:jc w:val="left"/>
      </w:pPr>
      <w:r>
        <w:rPr>
          <w:rFonts w:ascii="Times New Roman" w:hAnsi="Times New Roman" w:eastAsia="宋体"/>
          <w:b w:val="0"/>
          <w:sz w:val="24"/>
        </w:rPr>
        <w:t xml:space="preserve">3.4.3 </w:t>
      </w:r>
      <w:r>
        <w:rPr>
          <w:rFonts w:hint="eastAsia" w:ascii="Times New Roman" w:hAnsi="Times New Roman" w:eastAsia="宋体"/>
          <w:b w:val="0"/>
          <w:sz w:val="24"/>
        </w:rPr>
        <w:t xml:space="preserve">选择偏差校正与识别边界检验</w:t>
      </w:r>
    </w:p>
    <w:p>
      <w:pPr>
        <w:spacing w:line="312" w:lineRule="auto" w:before="0" w:after="0"/>
        <w:ind w:firstLine="420"/>
        <w:jc w:val="both"/>
      </w:pPr>
      <w:r>
        <w:rPr>
          <w:rFonts w:hint="eastAsia" w:ascii="Times New Roman" w:hAnsi="Times New Roman" w:eastAsia="宋体"/>
          <w:b w:val="0"/>
          <w:sz w:val="21"/>
        </w:rPr>
        <w:t xml:space="preserve">考虑到基准回归聚焦于“已获补贴企业内部的强度差异”，这一设定面临两类更直接的识别挑战。第一类是样本选择：只有进入正补助样本的公司年度才会出现在基准回归里，因此更容易拿到补贴的企业也往往更容易支付较高薪酬。第二类是时变遗漏变量：即使都已进入正补助样本，不同企业的补贴强度变化仍会与行业景气、政府扶持倾向或高管资源协调能力同步波动。</w:t>
      </w:r>
    </w:p>
    <w:p>
      <w:pPr>
        <w:spacing w:line="312" w:lineRule="auto" w:before="0" w:after="0"/>
        <w:ind w:firstLine="420"/>
        <w:jc w:val="both"/>
      </w:pPr>
      <w:r>
        <w:rPr>
          <w:rFonts w:hint="eastAsia" w:ascii="Times New Roman" w:hAnsi="Times New Roman" w:eastAsia="宋体"/>
          <w:b w:val="0"/>
          <w:sz w:val="21"/>
        </w:rPr>
        <w:t xml:space="preserve">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是否可观测构造选择方程，检验哪些公司年度更容易进入“已获补贴样本”；第二步将逆米尔斯比率纳入公司和年份固定效应回归，以判断基准回归中的正向系数是否主要由样本选择偏差驱动。</w:t>
      </w:r>
    </w:p>
    <w:p>
      <w:pPr>
        <w:spacing w:line="312" w:lineRule="auto" w:before="0" w:after="0"/>
        <w:ind w:firstLine="420"/>
        <w:jc w:val="both"/>
      </w:pPr>
      <w:r>
        <w:rPr>
          <w:rFonts w:hint="eastAsia" w:ascii="Times New Roman" w:hAnsi="Times New Roman" w:eastAsia="宋体"/>
          <w:b w:val="0"/>
          <w:sz w:val="21"/>
        </w:rPr>
        <w:t xml:space="preserve">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 xml:space="preserve">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 xml:space="preserve">规格。但这部分不再承担正文主识别功能：若一阶段整体偏弱、二阶段方向明显不稳，仅据此判断当前结论对外生识别仍较敏感，而不将其写入正文主表。因此，正文更重视与新基准样本直接对应的选择偏差校正、事件研究式动态检验和更严格固定效应设定。</w:t>
      </w:r>
    </w:p>
    <w:p>
      <w:pPr>
        <w:spacing w:line="312" w:lineRule="auto" w:before="0" w:after="0"/>
        <w:ind w:firstLine="420"/>
        <w:jc w:val="both"/>
      </w:pPr>
      <w:r>
        <w:rPr>
          <w:rFonts w:hint="eastAsia" w:ascii="Times New Roman" w:hAnsi="Times New Roman" w:eastAsia="宋体"/>
          <w:b w:val="0"/>
          <w:sz w:val="21"/>
        </w:rPr>
        <w:t xml:space="preserve">此外，还补充实施两类辅助诊断。第一类是事件研究式动态检验：以“上一年补助金额首次进入正补助样本上四分位区间”作为高补贴事件，考察事件发生前后超额薪酬的动态变化，并重点检验事件前是否已存在可辨识的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行业×年份固定效应”基准回归设定，用于检验主结果是否只是来自行业年度景气波动。上述检验都用于刻画识别边界和动态伴随关系，不被解释为严格意义上的因果估计。</w:t>
      </w:r>
    </w:p>
    <w:bookmarkEnd w:id="29"/>
    <w:bookmarkStart w:id="33" w:name="基于管理层权力的中介检验"/>
    <w:p>
      <w:pPr>
        <w:pStyle w:val="31"/>
        <w:spacing w:line="312" w:lineRule="auto" w:before="0" w:after="0"/>
        <w:ind w:firstLine="420"/>
        <w:jc w:val="left"/>
      </w:pPr>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p>
    <w:p>
      <w:pPr>
        <w:spacing w:line="312" w:lineRule="auto" w:before="0" w:after="0"/>
        <w:ind w:firstLine="420"/>
        <w:jc w:val="both"/>
      </w:pPr>
      <w:r>
        <w:rPr>
          <w:rFonts w:hint="eastAsia" w:ascii="Times New Roman" w:hAnsi="Times New Roman" w:eastAsia="宋体"/>
          <w:b w:val="0"/>
          <w:sz w:val="21"/>
        </w:rPr>
        <w:t xml:space="preserve">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的经典中介分析思路，检验财政补贴是否会经由管理层权力这一渠道影响超额薪酬。由于新的基准回归总效应已经显著，但中介效应仍需结合路径显著性、Bootstrap</w:t>
      </w:r>
      <w:r>
        <w:rPr>
          <w:rFonts w:ascii="Times New Roman" w:hAnsi="Times New Roman" w:eastAsia="宋体"/>
          <w:b w:val="0"/>
          <w:sz w:val="21"/>
        </w:rPr>
        <w:t xml:space="preserve"> </w:t>
      </w:r>
      <w:r>
        <w:rPr>
          <w:rFonts w:hint="eastAsia" w:ascii="Times New Roman" w:hAnsi="Times New Roman" w:eastAsia="宋体"/>
          <w:b w:val="0"/>
          <w:sz w:val="21"/>
        </w:rPr>
        <w:t xml:space="preserve">区间和测度局限综合判断，后文更强调“路径线索”和审慎解释，而不将其解释为严格的经典中介识别。正文采用</w:t>
      </w:r>
      <w:r>
        <w:rPr>
          <w:rFonts w:ascii="Times New Roman" w:hAnsi="Times New Roman" w:eastAsia="宋体"/>
          <w:b w:val="0"/>
          <w:sz w:val="21"/>
        </w:rPr>
        <w:t xml:space="preserve"> PCA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tabs>
          <w:tab w:pos="8617" w:val="right"/>
        </w:tabs>
        <w:spacing w:line="312" w:lineRule="auto" w:before="0" w:after="0"/>
        <w:ind w:firstLine="0"/>
        <w:jc w:val="center"/>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tabs>
          <w:tab w:pos="8617" w:val="right"/>
        </w:tabs>
        <w:spacing w:line="312" w:lineRule="auto" w:before="0" w:after="0"/>
        <w:ind w:firstLine="0"/>
        <w:jc w:val="center"/>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仅为经验性综合测度，正文判断更看重路径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以及</w:t>
      </w:r>
      <w:r>
        <w:rPr>
          <w:rFonts w:ascii="Times New Roman" w:hAnsi="Times New Roman" w:eastAsia="宋体"/>
          <w:b w:val="0"/>
          <w:sz w:val="21"/>
        </w:rPr>
        <w:t xml:space="preserve"> Bootstrap </w:t>
      </w:r>
      <w:r>
        <w:rPr>
          <w:rFonts w:hint="eastAsia" w:ascii="Times New Roman" w:hAnsi="Times New Roman" w:eastAsia="宋体"/>
          <w:b w:val="0"/>
          <w:sz w:val="21"/>
        </w:rPr>
        <w:t xml:space="preserve">结果的组合证据，而不单凭单一路径系数作结论性判断。</w:t>
      </w:r>
    </w:p>
    <w:bookmarkEnd w:id="30"/>
    <w:bookmarkEnd w:id="31"/>
    <w:bookmarkStart w:id="34" w:name="机器学习方法"/>
    <w:p>
      <w:pPr>
        <w:pStyle w:val="2"/>
        <w:spacing w:line="312" w:lineRule="auto" w:before="0" w:after="0"/>
        <w:ind w:firstLine="0"/>
        <w:jc w:val="left"/>
      </w:pPr>
      <w:bookmarkStart w:id="85" w:name="_TocAuto0014"/>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85"/>
    </w:p>
    <w:bookmarkStart w:id="35" w:name="样本划分预处理与验证安排"/>
    <w:p>
      <w:pPr>
        <w:pStyle w:val="31"/>
        <w:spacing w:line="312" w:lineRule="auto" w:before="0" w:after="0"/>
        <w:ind w:firstLine="420"/>
        <w:jc w:val="left"/>
      </w:pPr>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p>
    <w:p>
      <w:pPr>
        <w:spacing w:line="312" w:lineRule="auto" w:before="0" w:after="0"/>
        <w:ind w:firstLine="420"/>
        <w:jc w:val="both"/>
      </w:pPr>
      <w:r>
        <w:rPr>
          <w:rFonts w:hint="eastAsia" w:ascii="Times New Roman" w:hAnsi="Times New Roman" w:eastAsia="宋体"/>
          <w:b w:val="0"/>
          <w:sz w:val="21"/>
        </w:rPr>
        <w:t xml:space="preserve">机器学习部分围绕第四章的基准回归开展补充验证。为保持与基准回归完全一致，本节仅纳入滞后一期正补助对数（lnSubsidy_pos_l1）、业绩（Roa）、财务杠杆（Lever）和第一大股东持股比例（Top1）四个变量，不再纳入管理层权力综合指标，也不额外加入地区变量、企业属性或其他扩展特征。这样安排后，机器学习回答的是四个问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基准回归一致。四是在更灵活的树模型中，财政补贴的局部趋势是否仍表现为总体上升。</w:t>
      </w:r>
    </w:p>
    <w:p>
      <w:pPr>
        <w:spacing w:line="312" w:lineRule="auto" w:before="0" w:after="0"/>
        <w:ind w:firstLine="420"/>
        <w:jc w:val="both"/>
      </w:pPr>
      <w:r>
        <w:rPr>
          <w:rFonts w:hint="eastAsia" w:ascii="Times New Roman" w:hAnsi="Times New Roman" w:eastAsia="宋体"/>
          <w:b w:val="0"/>
          <w:sz w:val="21"/>
        </w:rPr>
        <w:t xml:space="preserve">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避免同一公司跨期观测同时进入不同样本而夸大验证结果。输入特征共4个，即滞后一期正补助对数（lnSubsidy_pos_l1）、业绩（Roa）、财务杠杆（Lever）和第一大股东持股比例（Top1）。被解释变量仍为第四章基准回归使用的连续型超额薪酬（Overpay），以保证机器学习分析与基准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 xml:space="preserve">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 xml:space="preserve">的重要性排序和部分依赖趋势。</w:t>
      </w:r>
    </w:p>
    <w:bookmarkEnd w:id="32"/>
    <w:bookmarkStart w:id="36" w:name="随机森林方法"/>
    <w:p>
      <w:pPr>
        <w:pStyle w:val="31"/>
        <w:spacing w:line="312" w:lineRule="auto" w:before="0" w:after="0"/>
        <w:ind w:firstLine="420"/>
        <w:jc w:val="left"/>
      </w:pPr>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回归中才显得“有用”，从而能够为基准回归中的核心解释变量地位提供补充证据。</w:t>
      </w:r>
    </w:p>
    <w:bookmarkEnd w:id="33"/>
    <w:bookmarkStart w:id="37" w:name="shap值解释方法"/>
    <w:p>
      <w:pPr>
        <w:pStyle w:val="31"/>
        <w:spacing w:line="312" w:lineRule="auto" w:before="0" w:after="0"/>
        <w:ind w:firstLine="420"/>
        <w:jc w:val="left"/>
      </w:pPr>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p>
    <w:p>
      <w:pPr>
        <w:spacing w:line="312" w:lineRule="auto" w:before="0" w:after="0"/>
        <w:ind w:firstLine="420"/>
        <w:jc w:val="both"/>
      </w:pPr>
      <w:r>
        <w:rPr>
          <w:rFonts w:hint="eastAsia" w:ascii="Times New Roman" w:hAnsi="Times New Roman" w:eastAsia="宋体"/>
          <w:b w:val="0"/>
          <w:sz w:val="21"/>
        </w:rPr>
        <w:t xml:space="preserve">基于基尼不纯度下降得到的随机森林特征重要性，更适合回答“哪个变量对整体预测贡献更大”，但无法直接刻画变量对预测结果的边际影响强弱。为补足这一点，本文进一步引入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exPlanations）方法，对随机森林模型在保留样本上的预测结果进行解释。SHAP</w:t>
      </w:r>
      <w:r>
        <w:rPr>
          <w:rFonts w:ascii="Times New Roman" w:hAnsi="Times New Roman" w:eastAsia="宋体"/>
          <w:b w:val="0"/>
          <w:sz w:val="21"/>
        </w:rPr>
        <w:t xml:space="preserve"> </w:t>
      </w:r>
      <w:r>
        <w:rPr>
          <w:rFonts w:hint="eastAsia" w:ascii="Times New Roman" w:hAnsi="Times New Roman" w:eastAsia="宋体"/>
          <w:b w:val="0"/>
          <w:sz w:val="21"/>
        </w:rPr>
        <w:t xml:space="preserve">的基本思想，是借鉴</w:t>
      </w:r>
      <w:r>
        <w:rPr>
          <w:rFonts w:ascii="Times New Roman" w:hAnsi="Times New Roman" w:eastAsia="宋体"/>
          <w:b w:val="0"/>
          <w:sz w:val="21"/>
        </w:rPr>
        <w:t xml:space="preserve"> Shapley </w:t>
      </w:r>
      <w:r>
        <w:rPr>
          <w:rFonts w:hint="eastAsia" w:ascii="Times New Roman" w:hAnsi="Times New Roman" w:eastAsia="宋体"/>
          <w:b w:val="0"/>
          <w:sz w:val="21"/>
        </w:rPr>
        <w:t xml:space="preserve">值分摊思路，将模型预测拆解到各个特征变量的边际贡献；某一变量的平均绝对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值越高，说明它对模型预测波动的平均贡献越强。SHAP</w:t>
      </w:r>
      <w:r>
        <w:rPr>
          <w:rFonts w:ascii="Times New Roman" w:hAnsi="Times New Roman" w:eastAsia="宋体"/>
          <w:b w:val="0"/>
          <w:sz w:val="21"/>
        </w:rPr>
        <w:t xml:space="preserve"> </w:t>
      </w:r>
      <w:r>
        <w:rPr>
          <w:rFonts w:hint="eastAsia" w:ascii="Times New Roman" w:hAnsi="Times New Roman" w:eastAsia="宋体"/>
          <w:b w:val="0"/>
          <w:sz w:val="21"/>
        </w:rPr>
        <w:t xml:space="preserve">在本文中主要用于复核：财政补贴变量的边际贡献排序，是否与随机森林基尼重要性的判断保持一致。</w:t>
      </w:r>
    </w:p>
    <w:bookmarkEnd w:id="34"/>
    <w:bookmarkStart w:id="38" w:name="lasso回归方法"/>
    <w:p>
      <w:pPr>
        <w:pStyle w:val="31"/>
        <w:spacing w:line="312" w:lineRule="auto" w:before="0" w:after="0"/>
        <w:ind w:firstLine="420"/>
        <w:jc w:val="left"/>
      </w:pPr>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正则化的线性回归模型，其核心做法是在最小二乘目标函数中加入惩罚项，通过压缩系数并允许部分系数收缩为0来实现特征筛选与模型简化。与普通最小二乘相比，Lasso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更适合回答“在多个候选特征同时竞争时，财政补贴变量是否仍会被保留”这一问题，同时也有助于缓解多重共线性带来的不稳定估计。本文引入</w:t>
      </w:r>
      <w:r>
        <w:rPr>
          <w:rFonts w:ascii="Times New Roman" w:hAnsi="Times New Roman" w:eastAsia="宋体"/>
          <w:b w:val="0"/>
          <w:sz w:val="21"/>
        </w:rPr>
        <w:t xml:space="preserve"> Lasso </w:t>
      </w:r>
      <w:r>
        <w:rPr>
          <w:rFonts w:hint="eastAsia" w:ascii="Times New Roman" w:hAnsi="Times New Roman" w:eastAsia="宋体"/>
          <w:b w:val="0"/>
          <w:sz w:val="21"/>
        </w:rPr>
        <w:t xml:space="preserve">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5"/>
    <w:bookmarkStart w:id="39" w:name="xgboost方法"/>
    <w:p>
      <w:pPr>
        <w:pStyle w:val="31"/>
        <w:spacing w:line="312" w:lineRule="auto" w:before="0" w:after="0"/>
        <w:ind w:firstLine="420"/>
        <w:jc w:val="left"/>
      </w:pPr>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思想的集成树模型，其通过逐步拟合前一轮模型的残差来不断改进对复杂关系的刻画，并在目标函数中同时加入正则化项以抑制过拟合。相较于随机森林，XGBoost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的解读不再放在整体拟合优度谁更高，而是落在两个更贴近基准回归的问题上：一是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在特征重要性中是否仍排在前列；二是财政补贴的部分依赖图是否呈现总体上升的局部趋势。若这两个条件大体成立，就说明在更灵活的模型中，财政补贴变量依旧保留较强信息含量，而且其整体方向判断与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6"/>
    <w:bookmarkEnd w:id="37"/>
    <w:bookmarkEnd w:id="38"/>
    <w:bookmarkStart w:id="40" w:name="第四章-实证分析"/>
    <w:p>
      <w:pPr>
        <w:pStyle w:val="1"/>
        <w:pageBreakBefore/>
        <w:spacing w:line="312" w:lineRule="auto" w:before="0" w:after="0"/>
        <w:ind w:firstLine="0"/>
        <w:jc w:val="center"/>
      </w:pPr>
      <w:bookmarkStart w:id="86" w:name="_TocAuto0015"/>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86"/>
    </w:p>
    <w:bookmarkStart w:id="41" w:name="描述性统计"/>
    <w:p>
      <w:pPr>
        <w:pStyle w:val="2"/>
        <w:spacing w:line="312" w:lineRule="auto" w:before="0" w:after="0"/>
        <w:ind w:firstLine="0"/>
        <w:jc w:val="left"/>
      </w:pPr>
      <w:bookmarkStart w:id="87" w:name="_TocAuto0016"/>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87"/>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管理层权力（Power，PCA）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0.4958</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−5.8006</w:t>
            </w:r>
          </w:p>
        </w:tc>
        <w:tc>
          <w:tcPr/>
          <w:p>
            <w:pPr>
              <w:pStyle w:val="Compact"/>
              <w:spacing w:line="240" w:lineRule="auto" w:before="0" w:after="0"/>
              <w:ind w:firstLine="0"/>
              <w:jc w:val="center"/>
            </w:pPr>
            <w:r>
              <w:rPr>
                <w:rFonts w:ascii="Times New Roman" w:hAnsi="Times New Roman" w:eastAsia="宋体"/>
                <w:sz w:val="18"/>
              </w:rPr>
              <w:t xml:space="preserve">5.2973</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注：政府补助和高管薪酬单位为元，Overpay直接使用基准薪酬模型残差，不再开展二次缩尾；其余连续变量在1%/99%分位数处开展Winsorize缩尾处理。未披露政府补助的公司年度记为0，因此财政补贴强度变量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39"/>
    <w:bookmarkStart w:id="42" w:name="相关性分析"/>
    <w:p>
      <w:pPr>
        <w:pStyle w:val="2"/>
        <w:spacing w:line="312" w:lineRule="auto" w:before="0" w:after="0"/>
        <w:ind w:firstLine="0"/>
        <w:jc w:val="left"/>
      </w:pPr>
      <w:bookmarkStart w:id="88" w:name="_TocAuto0017"/>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88"/>
    </w:p>
    <w:p>
      <w:pPr>
        <w:spacing w:line="312" w:lineRule="auto" w:before="0" w:after="0"/>
        <w:ind w:firstLine="420"/>
        <w:jc w:val="both"/>
      </w:pPr>
      <w:r>
        <w:rPr>
          <w:rFonts w:hint="eastAsia" w:ascii="Times New Roman" w:hAnsi="Times New Roman" w:eastAsia="宋体"/>
          <w:b w:val="0"/>
          <w:sz w:val="21"/>
        </w:rPr>
        <w:t xml:space="preserve">在开展基准回归之前，先对主要解释变量开展皮尔逊相关性分析和方差膨胀因子（VIF）检验，以排除多重共线性干扰。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0.001），这意味着若继续沿用常规标准误，推断结果容易失真。基于这一点，后文的基准回归、选择偏差校正、中介检验、稳健性检验和异质性分析统一采用公司层面的聚类稳健标准误。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bookmarkEnd w:id="40"/>
    <w:bookmarkStart w:id="43" w:name="基准回归分析"/>
    <w:p>
      <w:pPr>
        <w:pStyle w:val="2"/>
        <w:spacing w:line="312" w:lineRule="auto" w:before="0" w:after="0"/>
        <w:ind w:firstLine="0"/>
        <w:jc w:val="left"/>
      </w:pPr>
      <w:bookmarkStart w:id="89" w:name="_TocAuto0018"/>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89"/>
    </w:p>
    <w:bookmarkStart w:id="44" w:name="基准薪酬模型估计"/>
    <w:p>
      <w:pPr>
        <w:pStyle w:val="31"/>
        <w:spacing w:line="312" w:lineRule="auto" w:before="0" w:after="0"/>
        <w:ind w:firstLine="420"/>
        <w:jc w:val="left"/>
      </w:pPr>
      <w:r>
        <w:rPr>
          <w:rFonts w:ascii="Times New Roman" w:hAnsi="Times New Roman" w:eastAsia="宋体"/>
          <w:b w:val="0"/>
          <w:sz w:val="24"/>
        </w:rPr>
        <w:t xml:space="preserve">4.3.1 </w:t>
      </w:r>
      <w:r>
        <w:rPr>
          <w:rFonts w:hint="eastAsia" w:ascii="Times New Roman" w:hAnsi="Times New Roman" w:eastAsia="宋体"/>
          <w:b w:val="0"/>
          <w:sz w:val="24"/>
        </w:rPr>
        <w:t xml:space="preserve">基准薪酬模型估计</w:t>
      </w:r>
    </w:p>
    <w:p>
      <w:pPr>
        <w:spacing w:line="312" w:lineRule="auto" w:before="0" w:after="0"/>
        <w:ind w:firstLine="420"/>
        <w:jc w:val="both"/>
      </w:pPr>
      <w:r>
        <w:rPr>
          <w:rFonts w:hint="eastAsia" w:ascii="Times New Roman" w:hAnsi="Times New Roman" w:eastAsia="宋体"/>
          <w:b w:val="0"/>
          <w:sz w:val="21"/>
        </w:rPr>
        <w:t xml:space="preserve">表4-4报告了方程（3）的估计结果，这是构造超额薪酬变量的基础。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基准薪酬模型估计结果（模型1）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整体模型在1%的统计意义上显著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表示在1%的统计意义上显著。该模型用于估计正常薪酬基准，其残差直接定义为超额薪酬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的统计意义上显著为正，与既有薪酬—规模关系的经验发现一致：规模更大的企业管理复杂度更高、外部经理人市场对高管技能的竞争更激烈，因而需要支付更高的市场均衡薪酬。盈利能力（Roa）的系数为1.9156，也在1%的统计意义上显著为正，符合薪酬—绩效敏感性的理论预期；无形资产占比（IA）的系数为−0.3301，表明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为0.5113，F统计量为1316.28，并在1%的统计意义上显著；其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1"/>
    <w:bookmarkStart w:id="45" w:name="基准回归结果"/>
    <w:p>
      <w:pPr>
        <w:pStyle w:val="31"/>
        <w:spacing w:line="312" w:lineRule="auto" w:before="0" w:after="0"/>
        <w:ind w:firstLine="420"/>
        <w:jc w:val="left"/>
      </w:pPr>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p>
    <w:p>
      <w:pPr>
        <w:spacing w:line="312" w:lineRule="auto" w:before="0" w:after="0"/>
        <w:ind w:firstLine="420"/>
        <w:jc w:val="both"/>
      </w:pPr>
      <w:r>
        <w:rPr>
          <w:rFonts w:hint="eastAsia" w:ascii="Times New Roman" w:hAnsi="Times New Roman" w:eastAsia="宋体"/>
          <w:b w:val="0"/>
          <w:sz w:val="21"/>
        </w:rPr>
        <w:t xml:space="preserve">在获得超额薪酬（Overpay）变量后，基于式（4）进行</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不同，新的基准回归只保留“上一年已获得财政补贴”的公司年度，并以滞后一期正补助对数刻画补贴强度。回归结果如表4-5所示。所有估计均控制公司固定效应与年份固定效应，同时采用公司层面聚类稳健标准误，以缓解异方差与序列相关问题。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pct" w:w="5000"/>
        <w:jc w:val="center"/>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回归系数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观测值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0.0094</w:t>
            </w:r>
          </w:p>
        </w:tc>
        <w:tc>
          <w:tcPr/>
          <w:p>
            <w:pPr>
              <w:pStyle w:val="Compact"/>
              <w:spacing w:line="240" w:lineRule="auto" w:before="0" w:after="0"/>
              <w:ind w:firstLine="0"/>
              <w:jc w:val="center"/>
            </w:pPr>
            <w:r>
              <w:rPr>
                <w:rFonts w:ascii="Times New Roman" w:hAnsi="Times New Roman" w:eastAsia="宋体"/>
                <w:sz w:val="18"/>
              </w:rPr>
              <w:t xml:space="preserve">0.0033</w:t>
            </w:r>
          </w:p>
        </w:tc>
        <w:tc>
          <w:tcPr/>
          <w:p>
            <w:pPr>
              <w:pStyle w:val="Compact"/>
              <w:spacing w:line="240" w:lineRule="auto" w:before="0" w:after="0"/>
              <w:ind w:firstLine="0"/>
              <w:jc w:val="center"/>
            </w:pPr>
            <w:r>
              <w:rPr>
                <w:rFonts w:ascii="Times New Roman" w:hAnsi="Times New Roman" w:eastAsia="宋体"/>
                <w:sz w:val="18"/>
              </w:rPr>
              <w:t xml:space="preserve">2.8007</w:t>
            </w:r>
          </w:p>
        </w:tc>
        <w:tc>
          <w:tcPr/>
          <w:p>
            <w:pPr>
              <w:pStyle w:val="Compact"/>
              <w:spacing w:line="240" w:lineRule="auto" w:before="0" w:after="0"/>
              <w:ind w:firstLine="0"/>
              <w:jc w:val="center"/>
            </w:pPr>
            <w:r>
              <w:rPr>
                <w:rFonts w:ascii="Times New Roman" w:hAnsi="Times New Roman" w:eastAsia="宋体"/>
                <w:sz w:val="18"/>
              </w:rPr>
              <w:t xml:space="preserve">0.0051</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−1.0014</w:t>
            </w:r>
          </w:p>
        </w:tc>
        <w:tc>
          <w:tcPr/>
          <w:p>
            <w:pPr>
              <w:pStyle w:val="Compact"/>
              <w:spacing w:line="240" w:lineRule="auto" w:before="0" w:after="0"/>
              <w:ind w:firstLine="0"/>
              <w:jc w:val="center"/>
            </w:pPr>
            <w:r>
              <w:rPr>
                <w:rFonts w:ascii="Times New Roman" w:hAnsi="Times New Roman" w:eastAsia="宋体"/>
                <w:sz w:val="18"/>
              </w:rPr>
              <w:t xml:space="preserve">0.0711</w:t>
            </w:r>
          </w:p>
        </w:tc>
        <w:tc>
          <w:tcPr/>
          <w:p>
            <w:pPr>
              <w:pStyle w:val="Compact"/>
              <w:spacing w:line="240" w:lineRule="auto" w:before="0" w:after="0"/>
              <w:ind w:firstLine="0"/>
              <w:jc w:val="center"/>
            </w:pPr>
            <w:r>
              <w:rPr>
                <w:rFonts w:ascii="Times New Roman" w:hAnsi="Times New Roman" w:eastAsia="宋体"/>
                <w:sz w:val="18"/>
              </w:rPr>
              <w:t xml:space="preserve">−14.0855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−0.1051</w:t>
            </w:r>
          </w:p>
        </w:tc>
        <w:tc>
          <w:tcPr/>
          <w:p>
            <w:pPr>
              <w:pStyle w:val="Compact"/>
              <w:spacing w:line="240" w:lineRule="auto" w:before="0" w:after="0"/>
              <w:ind w:firstLine="0"/>
              <w:jc w:val="center"/>
            </w:pPr>
            <w:r>
              <w:rPr>
                <w:rFonts w:ascii="Times New Roman" w:hAnsi="Times New Roman" w:eastAsia="宋体"/>
                <w:sz w:val="18"/>
              </w:rPr>
              <w:t xml:space="preserve">0.0407</w:t>
            </w:r>
          </w:p>
        </w:tc>
        <w:tc>
          <w:tcPr/>
          <w:p>
            <w:pPr>
              <w:pStyle w:val="Compact"/>
              <w:spacing w:line="240" w:lineRule="auto" w:before="0" w:after="0"/>
              <w:ind w:firstLine="0"/>
              <w:jc w:val="center"/>
            </w:pPr>
            <w:r>
              <w:rPr>
                <w:rFonts w:ascii="Times New Roman" w:hAnsi="Times New Roman" w:eastAsia="宋体"/>
                <w:sz w:val="18"/>
              </w:rPr>
              <w:t xml:space="preserve">−2.5836</w:t>
            </w:r>
          </w:p>
        </w:tc>
        <w:tc>
          <w:tcPr/>
          <w:p>
            <w:pPr>
              <w:pStyle w:val="Compact"/>
              <w:spacing w:line="240" w:lineRule="auto" w:before="0" w:after="0"/>
              <w:ind w:firstLine="0"/>
              <w:jc w:val="center"/>
            </w:pPr>
            <w:r>
              <w:rPr>
                <w:rFonts w:ascii="Times New Roman" w:hAnsi="Times New Roman" w:eastAsia="宋体"/>
                <w:sz w:val="18"/>
              </w:rPr>
              <w:t xml:space="preserve">0.0098</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Top1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−0.0022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−2.8225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统计量为62.3646（p</w:t>
      </w:r>
      <w:r>
        <w:rPr>
          <w:rFonts w:ascii="Times New Roman" w:hAnsi="Times New Roman" w:eastAsia="宋体"/>
          <w:b w:val="0"/>
          <w:sz w:val="21"/>
        </w:rPr>
        <w:t xml:space="preserve"> &lt; </w:t>
      </w:r>
      <w:r>
        <w:rPr>
          <w:rFonts w:hint="eastAsia" w:ascii="Times New Roman" w:hAnsi="Times New Roman" w:eastAsia="宋体"/>
          <w:b w:val="0"/>
          <w:sz w:val="21"/>
        </w:rPr>
        <w:t xml:space="preserve">0.001）。</w:t>
      </w:r>
    </w:p>
    <w:p>
      <w:pPr>
        <w:spacing w:line="312" w:lineRule="auto" w:before="0" w:after="0"/>
        <w:ind w:firstLine="420"/>
        <w:jc w:val="both"/>
      </w:pPr>
      <w:r>
        <w:rPr>
          <w:rFonts w:hint="eastAsia" w:ascii="Times New Roman" w:hAnsi="Times New Roman" w:eastAsia="宋体"/>
          <w:b w:val="0"/>
          <w:sz w:val="21"/>
        </w:rPr>
        <w:t xml:space="preserve">表4-5显示，滞后一期财政补贴强度（lnSubsidy_pos_l1）的回归系数为0.0094，标准误为0.0033，T值为2.8007，P值为0.0051，在1%的统计意义上显著为正。这表示在只比较“上一年已经拿到补贴”的公司年度时，补贴强度越高，后续超额薪酬也越高，也就是已获补贴企业内部存在显著正向的强度关联。控制变量方面，业绩（Roa）和财务杠杆（Lever）系数均显著为负，表明在固定效应设定下，盈利改善和债务约束增强都与较低的超额薪酬残差相伴随；第一大股东持股比例（Top1）同样显著为负，反映出大股东监督也会压缩高管额外攫取的空间。</w:t>
      </w:r>
    </w:p>
    <w:p>
      <w:pPr>
        <w:spacing w:line="312" w:lineRule="auto" w:before="0" w:after="0"/>
        <w:ind w:firstLine="420"/>
        <w:jc w:val="both"/>
      </w:pPr>
      <w:r>
        <w:rPr>
          <w:rFonts w:hint="eastAsia" w:ascii="Times New Roman" w:hAnsi="Times New Roman" w:eastAsia="宋体"/>
          <w:b w:val="0"/>
          <w:sz w:val="21"/>
        </w:rPr>
        <w:t xml:space="preserve">由于模型2要求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Overpay、滞后一期正补助和控制变量完整，样本量为43,417条，高于后续机制检验的统一样本。从经济规模看，Overpay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增加1个单位，对应约0.0160个标准差的残差变化，经济幅度并不夸张，但方向保持为正且达到常用显著性标准。</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统计量为62.36，并在1%的统计意义上显著，说明控制变量与固定效应的联合设定是有效的。将固定效应收紧为“公司固定效应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0.013）。这里回答的是“已获补贴企业内部，补贴强度差异是否伴随超额薪酬差异”，不是“全部上市公司平均意义上的补贴效应”。相比旧的全样本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口径，这一定义把补贴的获得边际和强度边际拆开，更贴近本文的问题设定。据此，H1在新的基准回归口径下得到支持。模型2的</w:t>
      </w:r>
      <w:r>
        <w:rPr>
          <w:rFonts w:ascii="Times New Roman" w:hAnsi="Times New Roman" w:eastAsia="宋体"/>
          <w:b w:val="0"/>
          <w:sz w:val="21"/>
        </w:rPr>
        <w:t xml:space="preserve"> R² </w:t>
      </w:r>
      <w:r>
        <w:rPr>
          <w:rFonts w:hint="eastAsia" w:ascii="Times New Roman" w:hAnsi="Times New Roman" w:eastAsia="宋体"/>
          <w:b w:val="0"/>
          <w:sz w:val="21"/>
        </w:rPr>
        <w:t xml:space="preserve">为0.0205，也属于残差型因变量配合双向固定效应时的常见水平。公司固定效应和年份固定效应已经吸收了大部分个体与年度差异，回归主要解释的是组内残差波动，因此</w:t>
      </w:r>
      <w:r>
        <w:rPr>
          <w:rFonts w:ascii="Times New Roman" w:hAnsi="Times New Roman" w:eastAsia="宋体"/>
          <w:b w:val="0"/>
          <w:sz w:val="21"/>
        </w:rPr>
        <w:t xml:space="preserve"> R² </w:t>
      </w:r>
      <w:r>
        <w:rPr>
          <w:rFonts w:hint="eastAsia" w:ascii="Times New Roman" w:hAnsi="Times New Roman" w:eastAsia="宋体"/>
          <w:b w:val="0"/>
          <w:sz w:val="21"/>
        </w:rPr>
        <w:t xml:space="preserve">偏低本身不构成问题。</w:t>
      </w:r>
    </w:p>
    <w:bookmarkEnd w:id="42"/>
    <w:bookmarkEnd w:id="43"/>
    <w:bookmarkStart w:id="46" w:name="内生性处理"/>
    <w:p>
      <w:pPr>
        <w:pStyle w:val="2"/>
        <w:spacing w:line="312" w:lineRule="auto" w:before="0" w:after="0"/>
        <w:ind w:firstLine="0"/>
        <w:jc w:val="left"/>
      </w:pPr>
      <w:bookmarkStart w:id="90" w:name="_TocAuto0019"/>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90"/>
    </w:p>
    <w:bookmarkStart w:id="47" w:name="内生性来源与识别局限"/>
    <w:p>
      <w:pPr>
        <w:pStyle w:val="31"/>
        <w:spacing w:line="312" w:lineRule="auto" w:before="0" w:after="0"/>
        <w:ind w:firstLine="420"/>
        <w:jc w:val="left"/>
      </w:pPr>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p>
    <w:p>
      <w:pPr>
        <w:spacing w:line="312" w:lineRule="auto" w:before="0" w:after="0"/>
        <w:ind w:firstLine="420"/>
        <w:jc w:val="both"/>
      </w:pPr>
      <w:r>
        <w:rPr>
          <w:rFonts w:hint="eastAsia" w:ascii="Times New Roman" w:hAnsi="Times New Roman" w:eastAsia="宋体"/>
          <w:b w:val="0"/>
          <w:sz w:val="21"/>
        </w:rPr>
        <w:t xml:space="preserve">在新的基准回归设计下，内生性来源主要集中在三个方面。第一类威胁是样本选择：基准回归只保留上一年已经拿到补贴的公司年度，因此“谁更容易进入样本”本身就容易与公司治理水平、高管资源协调能力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影响补贴强度和超额薪酬。</w:t>
      </w:r>
    </w:p>
    <w:p>
      <w:pPr>
        <w:spacing w:line="312" w:lineRule="auto" w:before="0" w:after="0"/>
        <w:ind w:firstLine="420"/>
        <w:jc w:val="both"/>
      </w:pPr>
      <w:r>
        <w:rPr>
          <w:rFonts w:hint="eastAsia" w:ascii="Times New Roman" w:hAnsi="Times New Roman" w:eastAsia="宋体"/>
          <w:b w:val="0"/>
          <w:sz w:val="21"/>
        </w:rPr>
        <w:t xml:space="preserve">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两步法与事件研究式动态检验两个角度观察这一基准回归的识别边界；传统留一法工具变量只作为补充诊断统一重跑，不再作为正文主表证据。</w:t>
      </w:r>
    </w:p>
    <w:p>
      <w:pPr>
        <w:spacing w:line="312" w:lineRule="auto" w:before="0" w:after="0"/>
        <w:ind w:firstLine="420"/>
        <w:jc w:val="both"/>
      </w:pPr>
      <w:r>
        <w:rPr>
          <w:rFonts w:hint="eastAsia" w:ascii="Times New Roman" w:hAnsi="Times New Roman" w:eastAsia="宋体"/>
          <w:b w:val="0"/>
          <w:sz w:val="21"/>
        </w:rPr>
        <w:t xml:space="preserve">据此，相关估计始终被理解为在多重识别设定下获得的条件相关证据，不将其上升为严格意义上的因果效应估计。</w:t>
      </w:r>
    </w:p>
    <w:bookmarkEnd w:id="44"/>
    <w:bookmarkStart w:id="48" w:name="选择偏差校正heckman-两步法"/>
    <w:p>
      <w:pPr>
        <w:pStyle w:val="31"/>
        <w:spacing w:line="312" w:lineRule="auto" w:before="0" w:after="0"/>
        <w:ind w:firstLine="420"/>
        <w:jc w:val="left"/>
      </w:pPr>
      <w:r>
        <w:rPr>
          <w:rFonts w:ascii="Times New Roman" w:hAnsi="Times New Roman" w:eastAsia="宋体"/>
          <w:b w:val="0"/>
          <w:sz w:val="24"/>
        </w:rPr>
        <w:t xml:space="preserve">4.4.2 </w:t>
      </w:r>
      <w:r>
        <w:rPr>
          <w:rFonts w:hint="eastAsia" w:ascii="Times New Roman" w:hAnsi="Times New Roman" w:eastAsia="宋体"/>
          <w:b w:val="0"/>
          <w:sz w:val="24"/>
        </w:rPr>
        <w:t xml:space="preserve">选择偏差校正（Heckman</w:t>
      </w:r>
      <w:r>
        <w:rPr>
          <w:rFonts w:ascii="Times New Roman" w:hAnsi="Times New Roman" w:eastAsia="宋体"/>
          <w:b w:val="0"/>
          <w:sz w:val="24"/>
        </w:rPr>
        <w:t xml:space="preserve"> </w:t>
      </w:r>
      <w:r>
        <w:rPr>
          <w:rFonts w:hint="eastAsia" w:ascii="Times New Roman" w:hAnsi="Times New Roman" w:eastAsia="宋体"/>
          <w:b w:val="0"/>
          <w:sz w:val="24"/>
        </w:rPr>
        <w:t xml:space="preserve">两步法）</w:t>
      </w:r>
    </w:p>
    <w:p>
      <w:pPr>
        <w:spacing w:line="312" w:lineRule="auto" w:before="0" w:after="0"/>
        <w:ind w:firstLine="420"/>
        <w:jc w:val="both"/>
      </w:pPr>
      <w:r>
        <w:rPr>
          <w:rFonts w:hint="eastAsia" w:ascii="Times New Roman" w:hAnsi="Times New Roman" w:eastAsia="宋体"/>
          <w:b w:val="0"/>
          <w:sz w:val="21"/>
        </w:rPr>
        <w:t xml:space="preserve">由于基准回归只在已获补贴样本内估计，更直接的内生性问题首先来自样本选择。与传统留一法工具变量相比，Heckman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贴近当前研究问题：第一步刻画“哪些公司年度更容易进入上一年正补助样本”，第二步将逆米尔斯比率纳入公司固定效应和年份固定效应回归，检验基准回归中的正向系数是否主要由选择偏差驱动。对应估计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Heckman </w:t>
      </w:r>
      <w:r>
        <w:rPr>
          <w:rFonts w:hint="eastAsia" w:ascii="Times New Roman" w:hAnsi="Times New Roman" w:eastAsia="宋体"/>
          <w:b/>
          <w:sz w:val="18"/>
        </w:rPr>
        <w:t xml:space="preserve">两步法结果（基准回归口径）</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校正方法</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选择方程排除变量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选择校正统计量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结果方程补贴系数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注：选择方程排除变量</w:t>
      </w:r>
      <w:r>
        <w:rPr>
          <w:rFonts w:ascii="Times New Roman" w:hAnsi="Times New Roman" w:eastAsia="宋体"/>
          <w:b w:val="0"/>
          <w:sz w:val="21"/>
        </w:rPr>
        <w:t xml:space="preserve"> IV_lnSubsidy_l1 </w:t>
      </w:r>
      <w:r>
        <w:rPr>
          <w:rFonts w:hint="eastAsia" w:ascii="Times New Roman" w:hAnsi="Times New Roman" w:eastAsia="宋体"/>
          <w:b w:val="0"/>
          <w:sz w:val="21"/>
        </w:rPr>
        <w:t xml:space="preserve">为滞后一期同城同年其他企业平均补助对数（留一法构造），其经济逻辑在于：同城同年的地方财政政策环境影响企业获补概率，但不直接决定个体企业高管超额薪酬水平。Heckman</w:t>
      </w:r>
      <w:r>
        <w:rPr>
          <w:rFonts w:ascii="Times New Roman" w:hAnsi="Times New Roman" w:eastAsia="宋体"/>
          <w:b w:val="0"/>
          <w:sz w:val="21"/>
        </w:rPr>
        <w:t xml:space="preserve"> </w:t>
      </w:r>
      <w:r>
        <w:rPr>
          <w:rFonts w:hint="eastAsia" w:ascii="Times New Roman" w:hAnsi="Times New Roman" w:eastAsia="宋体"/>
          <w:b w:val="0"/>
          <w:sz w:val="21"/>
        </w:rPr>
        <w:t xml:space="preserve">选择方程样本量为45,396条，结果方程样本量为40,679条，低于中介统一样本（41,186条），系选择方程排除变量存在额外缺失所致。IMR</w:t>
      </w:r>
      <w:r>
        <w:rPr>
          <w:rFonts w:ascii="Times New Roman" w:hAnsi="Times New Roman" w:eastAsia="宋体"/>
          <w:b w:val="0"/>
          <w:sz w:val="21"/>
        </w:rPr>
        <w:t xml:space="preserve"> </w:t>
      </w:r>
      <w:r>
        <w:rPr>
          <w:rFonts w:hint="eastAsia" w:ascii="Times New Roman" w:hAnsi="Times New Roman" w:eastAsia="宋体"/>
          <w:b w:val="0"/>
          <w:sz w:val="21"/>
        </w:rPr>
        <w:t xml:space="preserve">表示逆米尔斯比率。结果方程控制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0.0056），说明上一年已获补贴样本确有选择偏差。校正后，lnSubsidy_pos_l1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0.0093，并在1%的统计意义上显著，表4-5中的正向估计不宜简单归因于“谁更容易进入正补助样本”这一选择机制。围绕同城、同行业以及精炼双工具变量所做的统一重跑也表明，传统留一法工具变量在当前基准样本中的一阶段整体偏弱、二阶段方向不稳定，因此不纳入正文主表。综合来看，新的基准回归更适合作为经过选择偏差校正后的稳定条件相关证据来解读，不把它写成已经被稳健识别的强因果效应。</w:t>
      </w:r>
    </w:p>
    <w:bookmarkEnd w:id="45"/>
    <w:bookmarkStart w:id="49" w:name="事件研究式动态检验"/>
    <w:p>
      <w:pPr>
        <w:pStyle w:val="31"/>
        <w:spacing w:line="312" w:lineRule="auto" w:before="0" w:after="0"/>
        <w:ind w:firstLine="420"/>
        <w:jc w:val="left"/>
      </w:pPr>
      <w:r>
        <w:rPr>
          <w:rFonts w:ascii="Times New Roman" w:hAnsi="Times New Roman" w:eastAsia="宋体"/>
          <w:b w:val="0"/>
          <w:sz w:val="24"/>
        </w:rPr>
        <w:t xml:space="preserve">4.4.3 </w:t>
      </w:r>
      <w:r>
        <w:rPr>
          <w:rFonts w:hint="eastAsia" w:ascii="Times New Roman" w:hAnsi="Times New Roman" w:eastAsia="宋体"/>
          <w:b w:val="0"/>
          <w:sz w:val="24"/>
        </w:rPr>
        <w:t xml:space="preserve">事件研究式动态检验</w:t>
      </w:r>
    </w:p>
    <w:p>
      <w:pPr>
        <w:spacing w:line="312" w:lineRule="auto" w:before="0" w:after="0"/>
        <w:ind w:firstLine="420"/>
        <w:jc w:val="both"/>
      </w:pPr>
      <w:r>
        <w:rPr>
          <w:rFonts w:hint="eastAsia" w:ascii="Times New Roman" w:hAnsi="Times New Roman" w:eastAsia="宋体"/>
          <w:b w:val="0"/>
          <w:sz w:val="21"/>
        </w:rPr>
        <w:t xml:space="preserve">为进一步从动态角度检验补贴强度抬升是否先于超额薪酬变化，本文围绕“上一年补助金额首次进入正补助样本上四分位区间”构造事件研究。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pPr>
        <w:spacing w:line="312" w:lineRule="auto" w:before="0" w:after="0"/>
        <w:ind w:firstLine="420"/>
        <w:jc w:val="both"/>
      </w:pPr>
      <w:r>
        <w:rPr>
          <w:rFonts w:hint="eastAsia" w:ascii="Times New Roman" w:hAnsi="Times New Roman" w:eastAsia="宋体"/>
          <w:b w:val="0"/>
          <w:sz w:val="21"/>
        </w:rPr>
        <w:t xml:space="preserve">联合检验结果显示，事件发生前两期和前三期的系数并不显著，前趋势联合检验的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值为0.669，说明在进入高补贴状态之前，处理组与对照组没有明显差别。事件当期及随后1至3期的系数分别为0.0235（p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0.007），均为正且达到常见显著性标准。这表明在补贴强度明显抬升之后，超额薪酬存在持续上行的动态响应。结合表4-6中的</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和表4-7中的更严格固定效应结果，可以认为当前基准回归并非完全由样本选择或显著预趋势所驱动。这组证据主要用于收紧识别边界，不直接解释为无条件的强因果估计。上四分位数阈值是事件研究中常见的划分方式，用来识别“补贴强度明显跃升”的时点；前趋势检验的高</w:t>
      </w:r>
      <w:r>
        <w:rPr>
          <w:rFonts w:ascii="Times New Roman" w:hAnsi="Times New Roman" w:eastAsia="宋体"/>
          <w:b w:val="0"/>
          <w:sz w:val="21"/>
        </w:rPr>
        <w:t xml:space="preserve"> p </w:t>
      </w:r>
      <w:r>
        <w:rPr>
          <w:rFonts w:hint="eastAsia" w:ascii="Times New Roman" w:hAnsi="Times New Roman" w:eastAsia="宋体"/>
          <w:b w:val="0"/>
          <w:sz w:val="21"/>
        </w:rPr>
        <w:t xml:space="preserve">值也表明，阈值位置做小幅调整后，事前两组没有明显差别这一判断大体稳定。未来研究可进一步检验替代阈值（如中位数或上十分位数）下动态检验结论的敏感性。</w:t>
      </w:r>
    </w:p>
    <w:bookmarkEnd w:id="46"/>
    <w:bookmarkEnd w:id="47"/>
    <w:bookmarkStart w:id="50" w:name="稳健性检验"/>
    <w:p>
      <w:pPr>
        <w:pStyle w:val="2"/>
        <w:spacing w:line="312" w:lineRule="auto" w:before="0" w:after="0"/>
        <w:ind w:firstLine="0"/>
        <w:jc w:val="left"/>
      </w:pPr>
      <w:bookmarkStart w:id="91" w:name="_TocAuto0020"/>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91"/>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为验证基准回归结论在不同设定下的稳健性，从被解释变量选取、样本期区间、行业覆盖面和固定效应设定四个维度开展扰动检验，相关检验汇总于表4-7。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0.0331***</w:t>
            </w:r>
          </w:p>
        </w:tc>
        <w:tc>
          <w:tcPr/>
          <w:p>
            <w:pPr>
              <w:pStyle w:val="Compact"/>
              <w:spacing w:line="240" w:lineRule="auto" w:before="0" w:after="0"/>
              <w:ind w:firstLine="0"/>
              <w:jc w:val="center"/>
            </w:pPr>
            <w:r>
              <w:rPr>
                <w:rFonts w:ascii="Times New Roman" w:hAnsi="Times New Roman" w:eastAsia="宋体"/>
                <w:sz w:val="18"/>
              </w:rPr>
              <w:t xml:space="preserve">9.2397</w:t>
            </w:r>
          </w:p>
        </w:tc>
        <w:tc>
          <w:tcPr/>
          <w:p>
            <w:pPr>
              <w:pStyle w:val="Compact"/>
              <w:spacing w:line="240" w:lineRule="auto" w:before="0" w:after="0"/>
              <w:ind w:firstLine="0"/>
              <w:jc w:val="center"/>
            </w:pPr>
            <w:r>
              <w:rPr>
                <w:rFonts w:ascii="Times New Roman" w:hAnsi="Times New Roman" w:eastAsia="宋体"/>
                <w:sz w:val="18"/>
              </w:rPr>
              <w:t xml:space="preserve">43,533</w:t>
            </w:r>
          </w:p>
        </w:tc>
        <w:tc>
          <w:tcPr/>
          <w:p>
            <w:pPr>
              <w:pStyle w:val="Compact"/>
              <w:spacing w:line="240" w:lineRule="auto" w:before="0" w:after="0"/>
              <w:ind w:firstLine="0"/>
              <w:jc w:val="center"/>
            </w:pPr>
            <w:r>
              <w:rPr>
                <w:rFonts w:ascii="Times New Roman" w:hAnsi="Times New Roman" w:eastAsia="宋体"/>
                <w:sz w:val="18"/>
              </w:rPr>
              <w:t xml:space="preserve">0.0469</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0.0120***</w:t>
            </w:r>
          </w:p>
        </w:tc>
        <w:tc>
          <w:tcPr/>
          <w:p>
            <w:pPr>
              <w:pStyle w:val="Compact"/>
              <w:spacing w:line="240" w:lineRule="auto" w:before="0" w:after="0"/>
              <w:ind w:firstLine="0"/>
              <w:jc w:val="center"/>
            </w:pPr>
            <w:r>
              <w:rPr>
                <w:rFonts w:ascii="Times New Roman" w:hAnsi="Times New Roman" w:eastAsia="宋体"/>
                <w:sz w:val="18"/>
              </w:rPr>
              <w:t xml:space="preserve">3.0072</w:t>
            </w:r>
          </w:p>
        </w:tc>
        <w:tc>
          <w:tcPr/>
          <w:p>
            <w:pPr>
              <w:pStyle w:val="Compact"/>
              <w:spacing w:line="240" w:lineRule="auto" w:before="0" w:after="0"/>
              <w:ind w:firstLine="0"/>
              <w:jc w:val="center"/>
            </w:pPr>
            <w:r>
              <w:rPr>
                <w:rFonts w:ascii="Times New Roman" w:hAnsi="Times New Roman" w:eastAsia="宋体"/>
                <w:sz w:val="18"/>
              </w:rPr>
              <w:t xml:space="preserve">25,028</w:t>
            </w:r>
          </w:p>
        </w:tc>
        <w:tc>
          <w:tcPr/>
          <w:p>
            <w:pPr>
              <w:pStyle w:val="Compact"/>
              <w:spacing w:line="240" w:lineRule="auto" w:before="0" w:after="0"/>
              <w:ind w:firstLine="0"/>
              <w:jc w:val="center"/>
            </w:pPr>
            <w:r>
              <w:rPr>
                <w:rFonts w:ascii="Times New Roman" w:hAnsi="Times New Roman" w:eastAsia="宋体"/>
                <w:sz w:val="18"/>
              </w:rPr>
              <w:t xml:space="preserve">0.0232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0.0099**</w:t>
            </w:r>
          </w:p>
        </w:tc>
        <w:tc>
          <w:tcPr/>
          <w:p>
            <w:pPr>
              <w:pStyle w:val="Compact"/>
              <w:spacing w:line="240" w:lineRule="auto" w:before="0" w:after="0"/>
              <w:ind w:firstLine="0"/>
              <w:jc w:val="center"/>
            </w:pPr>
            <w:r>
              <w:rPr>
                <w:rFonts w:ascii="Times New Roman" w:hAnsi="Times New Roman" w:eastAsia="宋体"/>
                <w:sz w:val="18"/>
              </w:rPr>
              <w:t xml:space="preserve">2.2766</w:t>
            </w:r>
          </w:p>
        </w:tc>
        <w:tc>
          <w:tcPr/>
          <w:p>
            <w:pPr>
              <w:pStyle w:val="Compact"/>
              <w:spacing w:line="240" w:lineRule="auto" w:before="0" w:after="0"/>
              <w:ind w:firstLine="0"/>
              <w:jc w:val="center"/>
            </w:pPr>
            <w:r>
              <w:rPr>
                <w:rFonts w:ascii="Times New Roman" w:hAnsi="Times New Roman" w:eastAsia="宋体"/>
                <w:sz w:val="18"/>
              </w:rPr>
              <w:t xml:space="preserve">29,143</w:t>
            </w:r>
          </w:p>
        </w:tc>
        <w:tc>
          <w:tcPr/>
          <w:p>
            <w:pPr>
              <w:pStyle w:val="Compact"/>
              <w:spacing w:line="240" w:lineRule="auto" w:before="0" w:after="0"/>
              <w:ind w:firstLine="0"/>
              <w:jc w:val="center"/>
            </w:pPr>
            <w:r>
              <w:rPr>
                <w:rFonts w:ascii="Times New Roman" w:hAnsi="Times New Roman" w:eastAsia="宋体"/>
                <w:sz w:val="18"/>
              </w:rPr>
              <w:t xml:space="preserve">0.0200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更严格固定效应（行业×年份）</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0.0082**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2.4831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0.0216</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第(1)—(3)项与基准回归保持同一正补助样本口径，控制Roa、Lever、Top1以及公司和年份固定效应；第(4)项在同一正补助样本上进一步将年份固定效应收紧为行业×年份固定效应。标准误为公司层面聚类稳健标准误。</w:t>
      </w:r>
    </w:p>
    <w:bookmarkStart w:id="51" w:name="替换被解释变量"/>
    <w:p>
      <w:pPr>
        <w:pStyle w:val="31"/>
        <w:spacing w:line="312" w:lineRule="auto" w:before="0" w:after="0"/>
        <w:ind w:firstLine="420"/>
        <w:jc w:val="left"/>
      </w:pPr>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0.0331，并在1%的统计意义上显著为正。这意味着在已获补贴企业内部，补贴强度与薪酬总额口径之间也存在显著正向关系；将因变量进一步处理为剔除正常部分后的超额薪酬残差后，系数幅度下降，但方向和显著性仍然保留。</w:t>
      </w:r>
    </w:p>
    <w:bookmarkEnd w:id="48"/>
    <w:bookmarkStart w:id="52" w:name="缩小样本期"/>
    <w:p>
      <w:pPr>
        <w:pStyle w:val="31"/>
        <w:spacing w:line="312" w:lineRule="auto" w:before="0" w:after="0"/>
        <w:ind w:firstLine="420"/>
        <w:jc w:val="left"/>
      </w:pPr>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将样本期限缩至2010—2020年后，补贴系数为0.0120，并在1%的统计意义上显著为正。这说明基准结果并非完全依赖样本早期年份，缩短时间窗口后，补贴强度与超额薪酬之间的正向关联仍然存在。</w:t>
      </w:r>
    </w:p>
    <w:bookmarkEnd w:id="49"/>
    <w:bookmarkStart w:id="53" w:name="仅保留制造业样本"/>
    <w:p>
      <w:pPr>
        <w:pStyle w:val="31"/>
        <w:spacing w:line="312" w:lineRule="auto" w:before="0" w:after="0"/>
        <w:ind w:firstLine="420"/>
        <w:jc w:val="left"/>
      </w:pPr>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p>
    <w:p>
      <w:pPr>
        <w:spacing w:line="312" w:lineRule="auto" w:before="0" w:after="0"/>
        <w:ind w:firstLine="420"/>
        <w:jc w:val="both"/>
      </w:pPr>
      <w:r>
        <w:rPr>
          <w:rFonts w:hint="eastAsia" w:ascii="Times New Roman" w:hAnsi="Times New Roman" w:eastAsia="宋体"/>
          <w:b w:val="0"/>
          <w:sz w:val="21"/>
        </w:rPr>
        <w:t xml:space="preserve">仅保留制造业（样本量29,143）后，补贴系数为0.0099，并在5%的统计意义上显著为正。可见在制造业单一行业内部，已获补贴企业之间的补贴强度差异同样能够对应更高的超额薪酬。</w:t>
      </w:r>
    </w:p>
    <w:bookmarkEnd w:id="50"/>
    <w:bookmarkStart w:id="54" w:name="更严格固定效应设定"/>
    <w:p>
      <w:pPr>
        <w:pStyle w:val="31"/>
        <w:spacing w:line="312" w:lineRule="auto" w:before="0" w:after="0"/>
        <w:ind w:firstLine="420"/>
        <w:jc w:val="left"/>
      </w:pPr>
      <w:r>
        <w:rPr>
          <w:rFonts w:ascii="Times New Roman" w:hAnsi="Times New Roman" w:eastAsia="宋体"/>
          <w:b w:val="0"/>
          <w:sz w:val="24"/>
        </w:rPr>
        <w:t xml:space="preserve">4.5.4 </w:t>
      </w:r>
      <w:r>
        <w:rPr>
          <w:rFonts w:hint="eastAsia" w:ascii="Times New Roman" w:hAnsi="Times New Roman" w:eastAsia="宋体"/>
          <w:b w:val="0"/>
          <w:sz w:val="24"/>
        </w:rPr>
        <w:t xml:space="preserve">更严格固定效应设定</w:t>
      </w:r>
    </w:p>
    <w:p>
      <w:pPr>
        <w:spacing w:line="312" w:lineRule="auto" w:before="0" w:after="0"/>
        <w:ind w:firstLine="420"/>
        <w:jc w:val="both"/>
      </w:pPr>
      <w:r>
        <w:rPr>
          <w:rFonts w:hint="eastAsia" w:ascii="Times New Roman" w:hAnsi="Times New Roman" w:eastAsia="宋体"/>
          <w:b w:val="0"/>
          <w:sz w:val="21"/>
        </w:rPr>
        <w:t xml:space="preserve">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补贴系数仍为0.0082，并在5%的统计意义上显著为正。这说明基准回归中的正向关系并非单纯由行业年度景气波动带出。综合四项检验，在已获补贴企业内部这一强度效应设定下，补贴系数始终保持正向并达到常用显著性标准。据此，H1在新的基准回归口径下获得了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校正与事件研究式动态检验，这种一致性更适合理解为识别边界收紧后的稳健条件相关，而不是强因果层面的稳健。</w:t>
      </w:r>
    </w:p>
    <w:bookmarkEnd w:id="51"/>
    <w:bookmarkEnd w:id="52"/>
    <w:bookmarkStart w:id="55" w:name="基于机器学习方法的补充验证"/>
    <w:p>
      <w:pPr>
        <w:pStyle w:val="2"/>
        <w:spacing w:line="312" w:lineRule="auto" w:before="0" w:after="0"/>
        <w:ind w:firstLine="0"/>
        <w:jc w:val="left"/>
      </w:pPr>
      <w:bookmarkStart w:id="92" w:name="_TocAuto0021"/>
      <w:r>
        <w:rPr>
          <w:rFonts w:ascii="Times New Roman" w:hAnsi="Times New Roman" w:eastAsia="黑体"/>
          <w:b w:val="0"/>
          <w:sz w:val="28"/>
        </w:rPr>
        <w:t xml:space="preserve">4.6 </w:t>
      </w:r>
      <w:r>
        <w:rPr>
          <w:rFonts w:hint="eastAsia" w:ascii="Times New Roman" w:hAnsi="Times New Roman" w:eastAsia="黑体"/>
          <w:b w:val="0"/>
          <w:sz w:val="28"/>
        </w:rPr>
        <w:t xml:space="preserve">基于机器学习方法的补充验证</w:t>
      </w:r>
      <w:bookmarkEnd w:id="92"/>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基准回归结果展开补充验证。与前文中介检验不同，这里不再纳入管理层权力变量，而是直接沿用基准回归的43,417个公司—年度观测，仅保留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这样安排后，机器学习部分主要回答四个问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的边际贡献排序是否支持同样判断、财政补贴变量在正则化筛选下是否会被压缩为0，以及在更灵活的非线性模型中财政补贴的局部趋势是否仍表现为总体上升。</w:t>
      </w:r>
    </w:p>
    <w:bookmarkStart w:id="56" w:name="随机森林特征重要性验证"/>
    <w:p>
      <w:pPr>
        <w:pStyle w:val="31"/>
        <w:spacing w:line="312" w:lineRule="auto" w:before="0" w:after="0"/>
        <w:ind w:firstLine="420"/>
        <w:jc w:val="left"/>
      </w:pPr>
      <w:r>
        <w:rPr>
          <w:rFonts w:ascii="Times New Roman" w:hAnsi="Times New Roman" w:eastAsia="宋体"/>
          <w:b w:val="0"/>
          <w:sz w:val="24"/>
        </w:rPr>
        <w:t xml:space="preserve">4.6.1 </w:t>
      </w:r>
      <w:r>
        <w:rPr>
          <w:rFonts w:hint="eastAsia" w:ascii="Times New Roman" w:hAnsi="Times New Roman" w:eastAsia="宋体"/>
          <w:b w:val="0"/>
          <w:sz w:val="24"/>
        </w:rPr>
        <w:t xml:space="preserve">随机森林特征重要性验证</w:t>
      </w:r>
    </w:p>
    <w:p>
      <w:pPr>
        <w:spacing w:line="312" w:lineRule="auto" w:before="0" w:after="0"/>
        <w:ind w:firstLine="420"/>
        <w:jc w:val="both"/>
      </w:pPr>
      <w:r>
        <w:rPr>
          <w:rFonts w:hint="eastAsia" w:ascii="Times New Roman" w:hAnsi="Times New Roman" w:eastAsia="宋体"/>
          <w:b w:val="0"/>
          <w:sz w:val="21"/>
        </w:rPr>
        <w:t xml:space="preserve">为进一步验证核心解释变量的解释能力，本文采用随机森林模型对各特征变量的重要性进行排序。随机森林这里采用基于基尼不纯度下降（Gini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 xml:space="preserve">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 xml:space="preserve">预测误差下降的平均贡献。某一变量的重要性数值越大，说明它在样本整体预测中提供的信息越多、对模型划分的贡献越高。但应注意，这种“重要性”衡量的是全局预测贡献，而不是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 xml:space="preserve">框架下的边际经济效应或因果影响。</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基尼重要性</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0.344191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0.260311</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0.231912</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0.163585</w:t>
            </w:r>
          </w:p>
        </w:tc>
      </w:tr>
    </w:tbl>
    <w:p>
      <w:pPr>
        <w:spacing w:line="312" w:lineRule="auto" w:before="0" w:after="0"/>
        <w:ind w:firstLine="420"/>
        <w:jc w:val="both"/>
      </w:pPr>
      <w:r>
        <w:rPr>
          <w:rFonts w:hint="eastAsia" w:ascii="Times New Roman" w:hAnsi="Times New Roman" w:eastAsia="宋体"/>
          <w:b w:val="0"/>
          <w:sz w:val="21"/>
        </w:rPr>
        <w:t xml:space="preserve">排序结果显示，Roa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不表示财政补贴没有作用，而是说明树模型在做全局预测时，会更早利用盈利能力和股权集中度这类方差更大、信息量更广的基本面变量完成样本划分。相比之下，财政补贴更接近政策冲击型变量，其经济作用更多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基准回归中体现出的独立经济含义。随机森林的重要性排名和计量回归中的显著系数，本来就在回答两个不同的问题。</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3" name="Picture"/>
            <a:graphic>
              <a:graphicData uri="http://schemas.openxmlformats.org/drawingml/2006/picture">
                <pic:pic>
                  <pic:nvPicPr>
                    <pic:cNvPr descr="./images/fig2_rf_importance_notitle.png" id="3" name="Picture"/>
                    <pic:cNvPicPr>
                      <a:picLocks noChangeArrowheads="1" noChangeAspect="1"/>
                    </pic:cNvPicPr>
                  </pic:nvPicPr>
                  <pic:blipFill>
                    <a:blip r:embed="rId25"/>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结合表4-8可以看到，财政补贴强度并未被边缘化，而是排在四个特征中的前列。可以据此判断：在控制企业盈利能力、杠杆与股权监督等关键特征之后，财政补贴变量仍保有一定预测信息，这与第四章基准回归中其系数显著为正的结论并不矛盾。</w:t>
      </w:r>
    </w:p>
    <w:bookmarkEnd w:id="53"/>
    <w:bookmarkStart w:id="57" w:name="shap值解释分析"/>
    <w:p>
      <w:pPr>
        <w:pStyle w:val="31"/>
        <w:spacing w:line="312" w:lineRule="auto" w:before="0" w:after="0"/>
        <w:ind w:firstLine="420"/>
        <w:jc w:val="left"/>
      </w:pPr>
      <w:r>
        <w:rPr>
          <w:rFonts w:ascii="Times New Roman" w:hAnsi="Times New Roman" w:eastAsia="宋体"/>
          <w:b w:val="0"/>
          <w:sz w:val="24"/>
        </w:rPr>
        <w:t xml:space="preserve">4.6.2 </w:t>
      </w:r>
      <w:r>
        <w:rPr>
          <w:rFonts w:hint="eastAsia" w:ascii="Times New Roman" w:hAnsi="Times New Roman" w:eastAsia="宋体"/>
          <w:b w:val="0"/>
          <w:sz w:val="24"/>
        </w:rPr>
        <w:t xml:space="preserve">SHAP值解释分析</w:t>
      </w:r>
    </w:p>
    <w:p>
      <w:pPr>
        <w:spacing w:line="312" w:lineRule="auto" w:before="0" w:after="0"/>
        <w:ind w:firstLine="420"/>
        <w:jc w:val="both"/>
      </w:pPr>
      <w:r>
        <w:rPr>
          <w:rFonts w:hint="eastAsia" w:ascii="Times New Roman" w:hAnsi="Times New Roman" w:eastAsia="宋体"/>
          <w:b w:val="0"/>
          <w:sz w:val="21"/>
        </w:rPr>
        <w:t xml:space="preserve">随机森林基于基尼不纯度得到的重要性，只能反映变量对模型整体预测的贡献大小，难以直接刻画变量对预测结果波动的边际影响强弱。为补足这一点，本文进一步引入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exPlanations）方法，对随机森林模型的预测结果进行解释。具体做法是在保留样本中随机抽取2,000条观测，计算各变量的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 xml:space="preserve">值，并以平均绝对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值越大，说明该变量对预测结果的边际影响越强。</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SHAP值重要性排名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平均绝对SHAP值</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0.053311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0.049180</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0.045348</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0.025254</w:t>
            </w:r>
          </w:p>
        </w:tc>
      </w:tr>
    </w:tbl>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4" name="Picture"/>
            <a:graphic>
              <a:graphicData uri="http://schemas.openxmlformats.org/drawingml/2006/picture">
                <pic:pic>
                  <pic:nvPicPr>
                    <pic:cNvPr descr="./images/fig3_shap_summary_notitle.png" id="4" name="Picture"/>
                    <pic:cNvPicPr>
                      <a:picLocks noChangeArrowheads="1" noChangeAspect="1"/>
                    </pic:cNvPicPr>
                  </pic:nvPicPr>
                  <pic:blipFill>
                    <a:blip r:embed="rId26"/>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SHAP值重要性图</w:t>
      </w:r>
    </w:p>
    <w:p>
      <w:pPr>
        <w:spacing w:line="312" w:lineRule="auto" w:before="0" w:after="0"/>
        <w:ind w:firstLine="420"/>
        <w:jc w:val="both"/>
      </w:pPr>
      <w:r>
        <w:rPr>
          <w:rFonts w:hint="eastAsia" w:ascii="Times New Roman" w:hAnsi="Times New Roman" w:eastAsia="宋体"/>
          <w:b w:val="0"/>
          <w:sz w:val="21"/>
        </w:rPr>
        <w:t xml:space="preserve">表4-9和图4-2显示，基于平均绝对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 xml:space="preserve">位列第4。换一个解释口径，排序仍未变化，说明财政补贴变量的重要性并非某一种指标偶然给出的结果。可以把这一结果理解为：财政补贴强度虽然不是树模型中最强的全局预测变量，但它对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 xml:space="preserve">的边际贡献仍处于前列，这与其作为基准回归核心解释变量的设定是一致的。</w:t>
      </w:r>
    </w:p>
    <w:bookmarkEnd w:id="54"/>
    <w:bookmarkStart w:id="58" w:name="lasso-系数保留与方向验证"/>
    <w:p>
      <w:pPr>
        <w:pStyle w:val="31"/>
        <w:spacing w:line="312" w:lineRule="auto" w:before="0" w:after="0"/>
        <w:ind w:firstLine="420"/>
        <w:jc w:val="left"/>
      </w:pPr>
      <w:r>
        <w:rPr>
          <w:rFonts w:ascii="Times New Roman" w:hAnsi="Times New Roman" w:eastAsia="宋体"/>
          <w:b w:val="0"/>
          <w:sz w:val="24"/>
        </w:rPr>
        <w:t xml:space="preserve">4.6.3 Lasso </w:t>
      </w:r>
      <w:r>
        <w:rPr>
          <w:rFonts w:hint="eastAsia" w:ascii="Times New Roman" w:hAnsi="Times New Roman" w:eastAsia="宋体"/>
          <w:b w:val="0"/>
          <w:sz w:val="24"/>
        </w:rPr>
        <w:t xml:space="preserve">系数保留与方向验证</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 xml:space="preserve">还能够部分缓解多重共线性带来的估计不稳定问题，因此适合用于检验财政补贴变量在更严格筛选条件下是否仍会被模型保留下来。</w:t>
      </w:r>
    </w:p>
    <w:p>
      <w:pPr>
        <w:spacing w:line="312" w:lineRule="auto" w:before="0" w:after="0"/>
        <w:ind w:firstLine="420"/>
        <w:jc w:val="both"/>
      </w:pPr>
      <w:r>
        <w:rPr>
          <w:rFonts w:hint="eastAsia" w:ascii="Times New Roman" w:hAnsi="Times New Roman" w:eastAsia="宋体"/>
          <w:b w:val="0"/>
          <w:sz w:val="21"/>
        </w:rPr>
        <w:t xml:space="preserve">在当前4变量设定下，最优惩罚参数约为</w:t>
      </w:r>
      <w:r>
        <w:rPr>
          <w:rFonts w:ascii="Times New Roman" w:hAnsi="Times New Roman" w:eastAsia="宋体"/>
          <w:b w:val="0"/>
          <w:sz w:val="21"/>
        </w:rPr>
        <w:t xml:space="preserve"> </w:t>
      </w:r>
      <m:oMath>
        <m:sSup>
          <m:e>
            <m:r>
              <m:t>λ</m:t>
            </m:r>
          </m:e>
          <m:sup>
            <m:r>
              <m:rPr>
                <m:sty m:val="p"/>
              </m:rPr>
              <m:t>*</m:t>
            </m:r>
          </m:sup>
        </m:sSup>
        <m:r>
          <m:rPr>
            <m:sty m:val="p"/>
          </m:rPr>
          <m:t>=</m:t>
        </m:r>
        <m:r>
          <m:t>0.000265</m:t>
        </m:r>
      </m:oMath>
      <w:r>
        <w:rPr>
          <w:rFonts w:hint="eastAsia" w:ascii="Times New Roman" w:hAnsi="Times New Roman" w:eastAsia="宋体"/>
          <w:b w:val="0"/>
          <w:sz w:val="21"/>
        </w:rPr>
        <w:t xml:space="preserve">。估计结果显示，4个候选特征均未被压缩为0，其中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Top1 </w:t>
      </w:r>
      <w:r>
        <w:rPr>
          <w:rFonts w:hint="eastAsia" w:ascii="Times New Roman" w:hAnsi="Times New Roman" w:eastAsia="宋体"/>
          <w:b w:val="0"/>
          <w:sz w:val="21"/>
        </w:rPr>
        <w:t xml:space="preserve">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 xml:space="preserve">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基准回归中的正向系数保持一致。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5" name="Picture"/>
            <a:graphic>
              <a:graphicData uri="http://schemas.openxmlformats.org/drawingml/2006/picture">
                <pic:pic>
                  <pic:nvPicPr>
                    <pic:cNvPr descr="./images/fig1_lasso_path_notitle.png" id="5" name="Picture"/>
                    <pic:cNvPicPr>
                      <a:picLocks noChangeArrowheads="1" noChangeAspect="1"/>
                    </pic:cNvPicPr>
                  </pic:nvPicPr>
                  <pic:blipFill>
                    <a:blip r:embed="rId27"/>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在最优参数附近仍保持正向系数，并未被压缩掉。也就是说，财政补贴变量没有在更严格的筛选下消失，仍保有稳定信息含量。</w:t>
      </w:r>
    </w:p>
    <w:bookmarkEnd w:id="55"/>
    <w:bookmarkStart w:id="59" w:name="xgboost-特征重要性与部分依赖验证"/>
    <w:p>
      <w:pPr>
        <w:pStyle w:val="31"/>
        <w:spacing w:line="312" w:lineRule="auto" w:before="0" w:after="0"/>
        <w:ind w:firstLine="420"/>
        <w:jc w:val="left"/>
      </w:pPr>
      <w:r>
        <w:rPr>
          <w:rFonts w:ascii="Times New Roman" w:hAnsi="Times New Roman" w:eastAsia="宋体"/>
          <w:b w:val="0"/>
          <w:sz w:val="24"/>
        </w:rPr>
        <w:t xml:space="preserve">4.6.4 XGBoost </w:t>
      </w:r>
      <w:r>
        <w:rPr>
          <w:rFonts w:hint="eastAsia" w:ascii="Times New Roman" w:hAnsi="Times New Roman" w:eastAsia="宋体"/>
          <w:b w:val="0"/>
          <w:sz w:val="24"/>
        </w:rPr>
        <w:t xml:space="preserve">特征重要性与部分依赖验证</w:t>
      </w:r>
    </w:p>
    <w:p>
      <w:pPr>
        <w:spacing w:line="312" w:lineRule="auto" w:before="0" w:after="0"/>
        <w:ind w:firstLine="420"/>
        <w:jc w:val="both"/>
      </w:pPr>
      <w:r>
        <w:rPr>
          <w:rFonts w:hint="eastAsia" w:ascii="Times New Roman" w:hAnsi="Times New Roman" w:eastAsia="宋体"/>
          <w:b w:val="0"/>
          <w:sz w:val="21"/>
        </w:rPr>
        <w:t xml:space="preserve">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模型开展两项补充检验：其一，考察财政补贴与控制变量在更灵活树模型中的特征重要性排序；其二，通过部分依赖图（Partial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PDP）刻画财政补贴对超额薪酬的局部关联趋势。</w:t>
      </w:r>
    </w:p>
    <w:p>
      <w:pPr>
        <w:spacing w:line="312" w:lineRule="auto" w:before="0" w:after="0"/>
        <w:ind w:firstLine="420"/>
        <w:jc w:val="both"/>
      </w:pPr>
      <w:r>
        <w:rPr>
          <w:rFonts w:hint="eastAsia" w:ascii="Times New Roman" w:hAnsi="Times New Roman" w:eastAsia="宋体"/>
          <w:b w:val="0"/>
          <w:sz w:val="21"/>
        </w:rPr>
        <w:t xml:space="preserve">从特征重要性排序结果来看，在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 xml:space="preserve">具有高贡献度的核心特征，其重要性排序与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基准回归的核心变量设定保持一致。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1785254"/>
            <wp:effectExtent b="0" l="0" r="0" t="0"/>
            <wp:docPr descr="" title="" id="6" name="Picture"/>
            <a:graphic>
              <a:graphicData uri="http://schemas.openxmlformats.org/drawingml/2006/picture">
                <pic:pic>
                  <pic:nvPicPr>
                    <pic:cNvPr descr="./images/fig4_shap_subsidy_notitle.png" id="6" name="Picture"/>
                    <pic:cNvPicPr>
                      <a:picLocks noChangeArrowheads="1" noChangeAspect="1"/>
                    </pic:cNvPicPr>
                  </pic:nvPicPr>
                  <pic:blipFill>
                    <a:blip r:embed="rId28"/>
                    <a:stretch>
                      <a:fillRect/>
                    </a:stretch>
                  </pic:blipFill>
                  <pic:spPr bwMode="auto">
                    <a:xfrm>
                      <a:off x="0" y="0"/>
                      <a:ext cx="5753100" cy="178525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图4-4</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图4-4右侧的部分依赖图显示的是：在控制其他变量平均作用后，财政补贴变化如何影响模型预测的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Overpay。它反映的是</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下的条件关联模式，不是计量经济学意义上的边际因果效应。从图形走势看，财政补贴的部分依赖关系呈现明显的非线性和非单调特征：低补贴区间内，曲线长期停留在负值附近并伴随小幅波动；进入较高补贴区间后，曲线由负转正并明显抬升，整体上是先平缓、后上升。这表明财政补贴对超额薪酬的影响并非线性均匀展开，在较高补贴区间会出现更明显的正向预测关联。</w:t>
      </w:r>
    </w:p>
    <w:p>
      <w:pPr>
        <w:spacing w:line="312" w:lineRule="auto" w:before="0" w:after="0"/>
        <w:ind w:firstLine="420"/>
        <w:jc w:val="both"/>
      </w:pPr>
      <w:r>
        <w:rPr>
          <w:rFonts w:hint="eastAsia" w:ascii="Times New Roman" w:hAnsi="Times New Roman" w:eastAsia="宋体"/>
          <w:b w:val="0"/>
          <w:sz w:val="21"/>
        </w:rPr>
        <w:t xml:space="preserve">综合随机森林、SHAP、Lasso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四项检验，可以把机器学习部分理解为对新基准回归的补充复核。它没有改变第四章已经写明的边界，也就是中介效应经济幅度有限、因果解释仍需谨慎；它提供的主要是四个层面的辅助线索：全局预测贡献、边际贡献排序、变量是否被保留以及非线性局部趋势。</w:t>
      </w:r>
    </w:p>
    <w:bookmarkEnd w:id="56"/>
    <w:bookmarkEnd w:id="57"/>
    <w:bookmarkStart w:id="60" w:name="中介效应分析"/>
    <w:p>
      <w:pPr>
        <w:pStyle w:val="2"/>
        <w:spacing w:line="312" w:lineRule="auto" w:before="0" w:after="0"/>
        <w:ind w:firstLine="0"/>
        <w:jc w:val="left"/>
      </w:pPr>
      <w:bookmarkStart w:id="93" w:name="_TocAuto0022"/>
      <w:r>
        <w:rPr>
          <w:rFonts w:ascii="Times New Roman" w:hAnsi="Times New Roman" w:eastAsia="黑体"/>
          <w:b w:val="0"/>
          <w:sz w:val="28"/>
        </w:rPr>
        <w:t xml:space="preserve">4.7 </w:t>
      </w:r>
      <w:r>
        <w:rPr>
          <w:rFonts w:hint="eastAsia" w:ascii="Times New Roman" w:hAnsi="Times New Roman" w:eastAsia="黑体"/>
          <w:b w:val="0"/>
          <w:sz w:val="28"/>
        </w:rPr>
        <w:t xml:space="preserve">中介效应分析</w:t>
      </w:r>
      <w:bookmarkEnd w:id="93"/>
    </w:p>
    <w:p>
      <w:pPr>
        <w:spacing w:line="312" w:lineRule="auto" w:before="0" w:after="0"/>
        <w:ind w:firstLine="420"/>
        <w:jc w:val="both"/>
      </w:pPr>
      <w:r>
        <w:rPr>
          <w:rFonts w:ascii="Times New Roman" w:hAnsi="Times New Roman" w:eastAsia="宋体"/>
          <w:b w:val="0"/>
          <w:sz w:val="21"/>
        </w:rPr>
        <w:t xml:space="preserve">Baron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的经典框架通常先观察总效应（其方法局限可参见</w:t>
      </w:r>
      <w:r>
        <w:rPr>
          <w:rFonts w:ascii="Times New Roman" w:hAnsi="Times New Roman" w:eastAsia="宋体"/>
          <w:b w:val="0"/>
          <w:sz w:val="21"/>
        </w:rPr>
        <w:t xml:space="preserve"> Zhao、Lynch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Chen（2010）</w:t>
      </w:r>
      <w:r>
        <w:rPr>
          <w:rFonts w:ascii="Times New Roman" w:hAnsi="Times New Roman" w:eastAsia="宋体"/>
          <w:b w:val="0"/>
          <w:sz w:val="21"/>
          <w:vertAlign w:val="superscript"/>
        </w:rPr>
        <w:t>[15]</w:t>
      </w:r>
      <w:r>
        <w:rPr>
          <w:rFonts w:hint="eastAsia" w:ascii="Times New Roman" w:hAnsi="Times New Roman" w:eastAsia="宋体"/>
          <w:b w:val="0"/>
          <w:sz w:val="21"/>
        </w:rPr>
        <w:t xml:space="preserve">的讨论），再讨论中介路径。尽管新的总效应已经显著，本节仍将相关证据定位为探索性路径检验，而非严格意义上的因果中介证据，因为管理层权力指标本身仍属于经验性综合测度。</w:t>
      </w:r>
    </w:p>
    <w:bookmarkStart w:id="61" w:name="中介变量构成与测度说明"/>
    <w:p>
      <w:pPr>
        <w:pStyle w:val="31"/>
        <w:spacing w:line="312" w:lineRule="auto" w:before="0" w:after="0"/>
        <w:ind w:firstLine="420"/>
        <w:jc w:val="left"/>
      </w:pPr>
      <w:r>
        <w:rPr>
          <w:rFonts w:ascii="Times New Roman" w:hAnsi="Times New Roman" w:eastAsia="宋体"/>
          <w:b w:val="0"/>
          <w:sz w:val="24"/>
        </w:rPr>
        <w:t xml:space="preserve">4.7.1 </w:t>
      </w:r>
      <w:r>
        <w:rPr>
          <w:rFonts w:hint="eastAsia" w:ascii="Times New Roman" w:hAnsi="Times New Roman" w:eastAsia="宋体"/>
          <w:b w:val="0"/>
          <w:sz w:val="24"/>
        </w:rPr>
        <w:t xml:space="preserve">中介变量构成与测度说明</w:t>
      </w:r>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在测度方法上，正文采用主成分分析法（PCA）提取前两个主成分，并按方差贡献率加权形成综合权力指数</w:t>
      </w:r>
      <w:r>
        <w:rPr>
          <w:rFonts w:ascii="Times New Roman" w:hAnsi="Times New Roman" w:eastAsia="宋体"/>
          <w:b w:val="0"/>
          <w:sz w:val="21"/>
        </w:rPr>
        <w:t xml:space="preserve"> Power。PCA </w:t>
      </w:r>
      <w:r>
        <w:rPr>
          <w:rFonts w:hint="eastAsia" w:ascii="Times New Roman" w:hAnsi="Times New Roman" w:eastAsia="宋体"/>
          <w:b w:val="0"/>
          <w:sz w:val="21"/>
        </w:rPr>
        <w:t xml:space="preserve">直接以四项治理指标的共同变异信息为基础提取综合得分，在不额外设定潜在结构的前提下压缩多维治理特征；按方差贡献率加权，则是为了让解释力更高的主成分在综合指数中占据更大权重，避免简单平均造成的信息损失。</w:t>
      </w:r>
    </w:p>
    <w:p>
      <w:pPr>
        <w:spacing w:line="312" w:lineRule="auto" w:before="0" w:after="0"/>
        <w:ind w:firstLine="420"/>
        <w:jc w:val="both"/>
      </w:pPr>
      <w:r>
        <w:rPr>
          <w:rFonts w:hint="eastAsia" w:ascii="Times New Roman" w:hAnsi="Times New Roman" w:eastAsia="宋体"/>
          <w:b w:val="0"/>
          <w:sz w:val="21"/>
        </w:rPr>
        <w:t xml:space="preserve">就统计支撑而言，PCA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约为0.565，前两个主成分累计方差解释率约为69.08%。PC1（43.0%）主要载荷于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Boardsize（0.615）与</w:t>
      </w:r>
      <w:r>
        <w:rPr>
          <w:rFonts w:ascii="Times New Roman" w:hAnsi="Times New Roman" w:eastAsia="宋体"/>
          <w:b w:val="0"/>
          <w:sz w:val="21"/>
        </w:rPr>
        <w:t xml:space="preserve"> </w:t>
      </w:r>
      <w:r>
        <w:rPr>
          <w:rFonts w:hint="eastAsia" w:ascii="Times New Roman" w:hAnsi="Times New Roman" w:eastAsia="宋体"/>
          <w:b w:val="0"/>
          <w:sz w:val="21"/>
        </w:rPr>
        <w:t xml:space="preserve">Insider（0.544），反映董事会结构权力维度；PC2（26.1%）主要载荷于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Mgshder（0.584）、Dual（0.554）和</w:t>
      </w:r>
      <w:r>
        <w:rPr>
          <w:rFonts w:ascii="Times New Roman" w:hAnsi="Times New Roman" w:eastAsia="宋体"/>
          <w:b w:val="0"/>
          <w:sz w:val="21"/>
        </w:rPr>
        <w:t xml:space="preserve"> </w:t>
      </w:r>
      <w:r>
        <w:rPr>
          <w:rFonts w:hint="eastAsia" w:ascii="Times New Roman" w:hAnsi="Times New Roman" w:eastAsia="宋体"/>
          <w:b w:val="0"/>
          <w:sz w:val="21"/>
        </w:rPr>
        <w:t xml:space="preserve">Insider（0.517），反映所有权与职位权力维度。四项指标在样本中呈现出可识别的结构分化。KMO</w:t>
      </w:r>
      <w:r>
        <w:rPr>
          <w:rFonts w:ascii="Times New Roman" w:hAnsi="Times New Roman" w:eastAsia="宋体"/>
          <w:b w:val="0"/>
          <w:sz w:val="21"/>
        </w:rPr>
        <w:t xml:space="preserve"> </w:t>
      </w:r>
      <w:r>
        <w:rPr>
          <w:rFonts w:hint="eastAsia" w:ascii="Times New Roman" w:hAnsi="Times New Roman" w:eastAsia="宋体"/>
          <w:b w:val="0"/>
          <w:sz w:val="21"/>
        </w:rPr>
        <w:t xml:space="preserve">偏低，说明四项指标的共同变异不算强，潜在结构也不算紧密；不过，PCA</w:t>
      </w:r>
      <w:r>
        <w:rPr>
          <w:rFonts w:ascii="Times New Roman" w:hAnsi="Times New Roman" w:eastAsia="宋体"/>
          <w:b w:val="0"/>
          <w:sz w:val="21"/>
        </w:rPr>
        <w:t xml:space="preserve"> </w:t>
      </w:r>
      <w:r>
        <w:rPr>
          <w:rFonts w:hint="eastAsia" w:ascii="Times New Roman" w:hAnsi="Times New Roman" w:eastAsia="宋体"/>
          <w:b w:val="0"/>
          <w:sz w:val="21"/>
        </w:rPr>
        <w:t xml:space="preserve">的重点在于降维和信息压缩，只要前几个主成分能够覆盖样本中的主要方差信息，这一综合口径仍可作为经验测度使用。就本文而言，69.08%的累计方差解释率已经覆盖了多数信息，因此仍将其作为管理层权力的经验性综合指标，并在结论解释中保持审慎。</w:t>
      </w:r>
    </w:p>
    <w:bookmarkEnd w:id="58"/>
    <w:bookmarkStart w:id="62" w:name="中介效应检验结果"/>
    <w:p>
      <w:pPr>
        <w:pStyle w:val="31"/>
        <w:spacing w:line="312" w:lineRule="auto" w:before="0" w:after="0"/>
        <w:ind w:firstLine="420"/>
        <w:jc w:val="left"/>
      </w:pPr>
      <w:r>
        <w:rPr>
          <w:rFonts w:ascii="Times New Roman" w:hAnsi="Times New Roman" w:eastAsia="宋体"/>
          <w:b w:val="0"/>
          <w:sz w:val="24"/>
        </w:rPr>
        <w:t xml:space="preserve">4.7.2 </w:t>
      </w:r>
      <w:r>
        <w:rPr>
          <w:rFonts w:hint="eastAsia" w:ascii="Times New Roman" w:hAnsi="Times New Roman" w:eastAsia="宋体"/>
          <w:b w:val="0"/>
          <w:sz w:val="24"/>
        </w:rPr>
        <w:t xml:space="preserve">中介效应检验结果</w:t>
      </w:r>
    </w:p>
    <w:p>
      <w:pPr>
        <w:spacing w:line="312" w:lineRule="auto" w:before="0" w:after="0"/>
        <w:ind w:firstLine="420"/>
        <w:jc w:val="both"/>
      </w:pPr>
      <w:r>
        <w:rPr>
          <w:rFonts w:hint="eastAsia" w:ascii="Times New Roman" w:hAnsi="Times New Roman" w:eastAsia="宋体"/>
          <w:b w:val="0"/>
          <w:sz w:val="21"/>
        </w:rPr>
        <w:t xml:space="preserve">在完成选择偏差校正后，将基于</w:t>
      </w:r>
      <w:r>
        <w:rPr>
          <w:rFonts w:ascii="Times New Roman" w:hAnsi="Times New Roman" w:eastAsia="宋体"/>
          <w:b w:val="0"/>
          <w:sz w:val="21"/>
        </w:rPr>
        <w:t xml:space="preserve"> PCA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信息的41,186个样本，结果见表4-10。需注意，由于统一样本（41,186条）少于基准回归样本（43,417条），模型3中的总效应系数与表4-5的基准回归系数略有差异，这一变化主要来自样本组成调整，而非模型设定改变。</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管理层权力的中介效应检验结果（模型3至模型5，PCA口径）</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0.0092***</w:t>
            </w:r>
          </w:p>
        </w:tc>
        <w:tc>
          <w:tcPr/>
          <w:p>
            <w:pPr>
              <w:pStyle w:val="Compact"/>
              <w:spacing w:line="240" w:lineRule="auto" w:before="0" w:after="0"/>
              <w:ind w:firstLine="0"/>
              <w:jc w:val="center"/>
            </w:pPr>
            <w:r>
              <w:rPr>
                <w:rFonts w:ascii="Times New Roman" w:hAnsi="Times New Roman" w:eastAsia="宋体"/>
                <w:sz w:val="18"/>
              </w:rPr>
              <w:t xml:space="preserve">2.7040</w:t>
            </w:r>
          </w:p>
        </w:tc>
        <w:tc>
          <w:tcPr/>
          <w:p>
            <w:pPr>
              <w:pStyle w:val="Compact"/>
              <w:spacing w:line="240" w:lineRule="auto" w:before="0" w:after="0"/>
              <w:ind w:firstLine="0"/>
              <w:jc w:val="center"/>
            </w:pPr>
            <w:r>
              <w:rPr>
                <w:rFonts w:ascii="Times New Roman" w:hAnsi="Times New Roman" w:eastAsia="宋体"/>
                <w:sz w:val="18"/>
              </w:rPr>
              <w:t xml:space="preserve">0.0069</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a：lnSubsidy_pos_l1</w:t>
            </w:r>
            <w:r>
              <w:rPr>
                <w:rFonts w:ascii="Times New Roman" w:hAnsi="Times New Roman" w:eastAsia="宋体"/>
                <w:sz w:val="18"/>
              </w:rPr>
              <w:t xml:space="preserve"> → </w:t>
            </w:r>
            <w:r>
              <w:rPr>
                <w:rFonts w:hint="eastAsia" w:ascii="Times New Roman" w:hAnsi="Times New Roman" w:eastAsia="宋体"/>
                <w:sz w:val="18"/>
              </w:rPr>
              <w:t xml:space="preserve">Power（PCA）</w:t>
            </w:r>
          </w:p>
        </w:tc>
        <w:tc>
          <w:tcPr/>
          <w:p>
            <w:pPr>
              <w:pStyle w:val="Compact"/>
              <w:spacing w:line="240" w:lineRule="auto" w:before="0" w:after="0"/>
              <w:ind w:firstLine="0"/>
              <w:jc w:val="center"/>
            </w:pPr>
            <w:r>
              <w:rPr>
                <w:rFonts w:ascii="Times New Roman" w:hAnsi="Times New Roman" w:eastAsia="宋体"/>
                <w:sz w:val="18"/>
              </w:rPr>
              <w:t xml:space="preserve">0.0146***</w:t>
            </w:r>
          </w:p>
        </w:tc>
        <w:tc>
          <w:tcPr/>
          <w:p>
            <w:pPr>
              <w:pStyle w:val="Compact"/>
              <w:spacing w:line="240" w:lineRule="auto" w:before="0" w:after="0"/>
              <w:ind w:firstLine="0"/>
              <w:jc w:val="center"/>
            </w:pPr>
            <w:r>
              <w:rPr>
                <w:rFonts w:ascii="Times New Roman" w:hAnsi="Times New Roman" w:eastAsia="宋体"/>
                <w:sz w:val="18"/>
              </w:rPr>
              <w:t xml:space="preserve">2.8165</w:t>
            </w:r>
          </w:p>
        </w:tc>
        <w:tc>
          <w:tcPr/>
          <w:p>
            <w:pPr>
              <w:pStyle w:val="Compact"/>
              <w:spacing w:line="240" w:lineRule="auto" w:before="0" w:after="0"/>
              <w:ind w:firstLine="0"/>
              <w:jc w:val="center"/>
            </w:pPr>
            <w:r>
              <w:rPr>
                <w:rFonts w:ascii="Times New Roman" w:hAnsi="Times New Roman" w:eastAsia="宋体"/>
                <w:sz w:val="18"/>
              </w:rPr>
              <w:t xml:space="preserve">0.0049</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b：Power（PCA）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0.0173**</w:t>
            </w:r>
          </w:p>
        </w:tc>
        <w:tc>
          <w:tcPr/>
          <w:p>
            <w:pPr>
              <w:pStyle w:val="Compact"/>
              <w:spacing w:line="240" w:lineRule="auto" w:before="0" w:after="0"/>
              <w:ind w:firstLine="0"/>
              <w:jc w:val="center"/>
            </w:pPr>
            <w:r>
              <w:rPr>
                <w:rFonts w:ascii="Times New Roman" w:hAnsi="Times New Roman" w:eastAsia="宋体"/>
                <w:sz w:val="18"/>
              </w:rPr>
              <w:t xml:space="preserve">2.5441</w:t>
            </w:r>
          </w:p>
        </w:tc>
        <w:tc>
          <w:tcPr/>
          <w:p>
            <w:pPr>
              <w:pStyle w:val="Compact"/>
              <w:spacing w:line="240" w:lineRule="auto" w:before="0" w:after="0"/>
              <w:ind w:firstLine="0"/>
              <w:jc w:val="center"/>
            </w:pPr>
            <w:r>
              <w:rPr>
                <w:rFonts w:ascii="Times New Roman" w:hAnsi="Times New Roman" w:eastAsia="宋体"/>
                <w:sz w:val="18"/>
              </w:rPr>
              <w:t xml:space="preserve">0.0110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2.6225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0.0087</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表4-10显示，PCA</w:t>
      </w:r>
      <w:r>
        <w:rPr>
          <w:rFonts w:ascii="Times New Roman" w:hAnsi="Times New Roman" w:eastAsia="宋体"/>
          <w:b w:val="0"/>
          <w:sz w:val="21"/>
        </w:rPr>
        <w:t xml:space="preserve"> </w:t>
      </w:r>
      <w:r>
        <w:rPr>
          <w:rFonts w:hint="eastAsia" w:ascii="Times New Roman" w:hAnsi="Times New Roman" w:eastAsia="宋体"/>
          <w:b w:val="0"/>
          <w:sz w:val="21"/>
        </w:rPr>
        <w:t xml:space="preserve">口径下中介链条的三步路径均达到显著水平。统一样本上的总效应（模型3）系数为0.0092，并在1%的统计意义上显著；路径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的系数为0.0146，也在1%的统计意义上显著（p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0.005），说明补贴强度上升与管理层权力抬升相伴随；模型5中，Power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的系数为0.0173，在5%的统计意义上显著（p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0.011），表明在控制补贴强度后，管理层权力仍与超额薪酬存在正向关联；补贴的直接效应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为0.0089，仍在1%的统计意义上显著（p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0.009），说明补贴对超额薪酬的影响有一部分经由管理层权力传导，另一部分仍保留在直接路径上。Bootstrap</w:t>
      </w:r>
      <w:r>
        <w:rPr>
          <w:rFonts w:ascii="Times New Roman" w:hAnsi="Times New Roman" w:eastAsia="宋体"/>
          <w:b w:val="0"/>
          <w:sz w:val="21"/>
        </w:rPr>
        <w:t xml:space="preserve"> </w:t>
      </w:r>
      <w:r>
        <w:rPr>
          <w:rFonts w:hint="eastAsia" w:ascii="Times New Roman" w:hAnsi="Times New Roman" w:eastAsia="宋体"/>
          <w:b w:val="0"/>
          <w:sz w:val="21"/>
        </w:rPr>
        <w:t xml:space="preserve">检验（300次重复抽样）的间接效应95%置信区间为[0.000034,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0.000609]，不包含零，对应</w:t>
      </w:r>
      <w:r>
        <w:rPr>
          <w:rFonts w:ascii="Times New Roman" w:hAnsi="Times New Roman" w:eastAsia="宋体"/>
          <w:b w:val="0"/>
          <w:sz w:val="21"/>
        </w:rPr>
        <w:t xml:space="preserve"> p = </w:t>
      </w:r>
      <w:r>
        <w:rPr>
          <w:rFonts w:hint="eastAsia" w:ascii="Times New Roman" w:hAnsi="Times New Roman" w:eastAsia="宋体"/>
          <w:b w:val="0"/>
          <w:sz w:val="21"/>
        </w:rPr>
        <w:t xml:space="preserve">0.007，与三步回归的方向一致。Sobel</w:t>
      </w:r>
      <w:r>
        <w:rPr>
          <w:rFonts w:ascii="Times New Roman" w:hAnsi="Times New Roman" w:eastAsia="宋体"/>
          <w:b w:val="0"/>
          <w:sz w:val="21"/>
        </w:rPr>
        <w:t xml:space="preserve"> </w:t>
      </w:r>
      <w:r>
        <w:rPr>
          <w:rFonts w:hint="eastAsia" w:ascii="Times New Roman" w:hAnsi="Times New Roman" w:eastAsia="宋体"/>
          <w:b w:val="0"/>
          <w:sz w:val="21"/>
        </w:rPr>
        <w:t xml:space="preserve">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值为0.059，仅处于边际显著水平。考虑到</w:t>
      </w:r>
      <w:r>
        <w:rPr>
          <w:rFonts w:ascii="Times New Roman" w:hAnsi="Times New Roman" w:eastAsia="宋体"/>
          <w:b w:val="0"/>
          <w:sz w:val="21"/>
        </w:rPr>
        <w:t xml:space="preserve"> Sobel </w:t>
      </w:r>
      <w:r>
        <w:rPr>
          <w:rFonts w:hint="eastAsia" w:ascii="Times New Roman" w:hAnsi="Times New Roman" w:eastAsia="宋体"/>
          <w:b w:val="0"/>
          <w:sz w:val="21"/>
        </w:rPr>
        <w:t xml:space="preserve">对间接效应正态性的假设更强，文中仍以</w:t>
      </w:r>
      <w:r>
        <w:rPr>
          <w:rFonts w:ascii="Times New Roman" w:hAnsi="Times New Roman" w:eastAsia="宋体"/>
          <w:b w:val="0"/>
          <w:sz w:val="21"/>
        </w:rPr>
        <w:t xml:space="preserve"> Bootstrap </w:t>
      </w:r>
      <w:r>
        <w:rPr>
          <w:rFonts w:hint="eastAsia" w:ascii="Times New Roman" w:hAnsi="Times New Roman" w:eastAsia="宋体"/>
          <w:b w:val="0"/>
          <w:sz w:val="21"/>
        </w:rPr>
        <w:t xml:space="preserve">结果作为主要参考。</w:t>
      </w:r>
    </w:p>
    <w:p>
      <w:pPr>
        <w:spacing w:line="312" w:lineRule="auto" w:before="0" w:after="0"/>
        <w:ind w:firstLine="420"/>
        <w:jc w:val="both"/>
      </w:pPr>
      <w:r>
        <w:rPr>
          <w:rFonts w:hint="eastAsia" w:ascii="Times New Roman" w:hAnsi="Times New Roman" w:eastAsia="宋体"/>
          <w:b w:val="0"/>
          <w:sz w:val="21"/>
        </w:rPr>
        <w:t xml:space="preserve">综合来看，PCA</w:t>
      </w:r>
      <w:r>
        <w:rPr>
          <w:rFonts w:ascii="Times New Roman" w:hAnsi="Times New Roman" w:eastAsia="宋体"/>
          <w:b w:val="0"/>
          <w:sz w:val="21"/>
        </w:rPr>
        <w:t xml:space="preserve"> </w:t>
      </w:r>
      <w:r>
        <w:rPr>
          <w:rFonts w:hint="eastAsia" w:ascii="Times New Roman" w:hAnsi="Times New Roman" w:eastAsia="宋体"/>
          <w:b w:val="0"/>
          <w:sz w:val="21"/>
        </w:rPr>
        <w:t xml:space="preserve">口径下管理层权力在补贴强度与超额薪酬之间发挥了部分中介作用，H2</w:t>
      </w:r>
      <w:r>
        <w:rPr>
          <w:rFonts w:ascii="Times New Roman" w:hAnsi="Times New Roman" w:eastAsia="宋体"/>
          <w:b w:val="0"/>
          <w:sz w:val="21"/>
        </w:rPr>
        <w:t xml:space="preserve"> </w:t>
      </w:r>
      <w:r>
        <w:rPr>
          <w:rFonts w:hint="eastAsia" w:ascii="Times New Roman" w:hAnsi="Times New Roman" w:eastAsia="宋体"/>
          <w:b w:val="0"/>
          <w:sz w:val="21"/>
        </w:rPr>
        <w:t xml:space="preserve">获得支持。Power</w:t>
      </w:r>
      <w:r>
        <w:rPr>
          <w:rFonts w:ascii="Times New Roman" w:hAnsi="Times New Roman" w:eastAsia="宋体"/>
          <w:b w:val="0"/>
          <w:sz w:val="21"/>
        </w:rPr>
        <w:t xml:space="preserve"> </w:t>
      </w:r>
      <w:r>
        <w:rPr>
          <w:rFonts w:hint="eastAsia" w:ascii="Times New Roman" w:hAnsi="Times New Roman" w:eastAsia="宋体"/>
          <w:b w:val="0"/>
          <w:sz w:val="21"/>
        </w:rPr>
        <w:t xml:space="preserve">仍然是基于可观测治理特征构造的经验性综合测度，中介效应的经济幅度较小（间接效应约占总效应的3%），相关证据更适合理解为“权力渠道存在，但传导力度有限”，不宜把管理层权力写成补贴推高薪酬的主要机制。</w:t>
      </w:r>
    </w:p>
    <w:bookmarkEnd w:id="59"/>
    <w:bookmarkEnd w:id="60"/>
    <w:bookmarkStart w:id="63" w:name="异质性分析"/>
    <w:p>
      <w:pPr>
        <w:pStyle w:val="2"/>
        <w:spacing w:line="312" w:lineRule="auto" w:before="0" w:after="0"/>
        <w:ind w:firstLine="0"/>
        <w:jc w:val="left"/>
      </w:pPr>
      <w:bookmarkStart w:id="94" w:name="_TocAuto0023"/>
      <w:r>
        <w:rPr>
          <w:rFonts w:ascii="Times New Roman" w:hAnsi="Times New Roman" w:eastAsia="黑体"/>
          <w:b w:val="0"/>
          <w:sz w:val="28"/>
        </w:rPr>
        <w:t xml:space="preserve">4.8 </w:t>
      </w:r>
      <w:r>
        <w:rPr>
          <w:rFonts w:hint="eastAsia" w:ascii="Times New Roman" w:hAnsi="Times New Roman" w:eastAsia="黑体"/>
          <w:b w:val="0"/>
          <w:sz w:val="28"/>
        </w:rPr>
        <w:t xml:space="preserve">异质性分析</w:t>
      </w:r>
      <w:bookmarkEnd w:id="94"/>
    </w:p>
    <w:bookmarkStart w:id="64" w:name="产权性质差异"/>
    <w:p>
      <w:pPr>
        <w:pStyle w:val="31"/>
        <w:spacing w:line="312" w:lineRule="auto" w:before="0" w:after="0"/>
        <w:ind w:firstLine="420"/>
        <w:jc w:val="left"/>
      </w:pPr>
      <w:r>
        <w:rPr>
          <w:rFonts w:ascii="Times New Roman" w:hAnsi="Times New Roman" w:eastAsia="宋体"/>
          <w:b w:val="0"/>
          <w:sz w:val="24"/>
        </w:rPr>
        <w:t xml:space="preserve">4.8.1 </w:t>
      </w:r>
      <w:r>
        <w:rPr>
          <w:rFonts w:hint="eastAsia" w:ascii="Times New Roman" w:hAnsi="Times New Roman" w:eastAsia="宋体"/>
          <w:b w:val="0"/>
          <w:sz w:val="24"/>
        </w:rPr>
        <w:t xml:space="preserve">产权性质差异</w:t>
      </w:r>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0.0046（1.04）</w:t>
            </w:r>
          </w:p>
        </w:tc>
        <w:tc>
          <w:tcPr/>
          <w:p>
            <w:pPr>
              <w:pStyle w:val="Compact"/>
              <w:spacing w:line="240" w:lineRule="auto" w:before="0" w:after="0"/>
              <w:ind w:firstLine="0"/>
              <w:jc w:val="center"/>
            </w:pPr>
            <w:r>
              <w:rPr>
                <w:rFonts w:hint="eastAsia" w:ascii="Times New Roman" w:hAnsi="Times New Roman" w:eastAsia="宋体"/>
                <w:sz w:val="18"/>
              </w:rPr>
              <w:t xml:space="preserve">0.0135***（2.91）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−0.3679***（−2.71）</w:t>
            </w:r>
          </w:p>
        </w:tc>
        <w:tc>
          <w:tcPr/>
          <w:p>
            <w:pPr>
              <w:pStyle w:val="Compact"/>
              <w:spacing w:line="240" w:lineRule="auto" w:before="0" w:after="0"/>
              <w:ind w:firstLine="0"/>
              <w:jc w:val="center"/>
            </w:pPr>
            <w:r>
              <w:rPr>
                <w:rFonts w:hint="eastAsia" w:ascii="Times New Roman" w:hAnsi="Times New Roman" w:eastAsia="宋体"/>
                <w:sz w:val="18"/>
              </w:rPr>
              <w:t xml:space="preserve">−1.2769***（−15.45）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−0.1945***（−2.74）</w:t>
            </w:r>
          </w:p>
        </w:tc>
        <w:tc>
          <w:tcPr/>
          <w:p>
            <w:pPr>
              <w:pStyle w:val="Compact"/>
              <w:spacing w:line="240" w:lineRule="auto" w:before="0" w:after="0"/>
              <w:ind w:firstLine="0"/>
              <w:jc w:val="center"/>
            </w:pPr>
            <w:r>
              <w:rPr>
                <w:rFonts w:hint="eastAsia" w:ascii="Times New Roman" w:hAnsi="Times New Roman" w:eastAsia="宋体"/>
                <w:sz w:val="18"/>
              </w:rPr>
              <w:t xml:space="preserve">−0.0960*（−1.81）</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−0.0012（−1.08）</w:t>
            </w:r>
          </w:p>
        </w:tc>
        <w:tc>
          <w:tcPr/>
          <w:p>
            <w:pPr>
              <w:pStyle w:val="Compact"/>
              <w:spacing w:line="240" w:lineRule="auto" w:before="0" w:after="0"/>
              <w:ind w:firstLine="0"/>
              <w:jc w:val="center"/>
            </w:pPr>
            <w:r>
              <w:rPr>
                <w:rFonts w:hint="eastAsia" w:ascii="Times New Roman" w:hAnsi="Times New Roman" w:eastAsia="宋体"/>
                <w:sz w:val="18"/>
              </w:rPr>
              <w:t xml:space="preserve">−0.0005（−0.44）</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16,014</w:t>
            </w:r>
          </w:p>
        </w:tc>
        <w:tc>
          <w:tcPr/>
          <w:p>
            <w:pPr>
              <w:pStyle w:val="Compact"/>
              <w:spacing w:line="240" w:lineRule="auto" w:before="0" w:after="0"/>
              <w:ind w:firstLine="0"/>
              <w:jc w:val="center"/>
            </w:pPr>
            <w:r>
              <w:rPr>
                <w:rFonts w:ascii="Times New Roman" w:hAnsi="Times New Roman" w:eastAsia="宋体"/>
                <w:sz w:val="18"/>
              </w:rPr>
              <w:t xml:space="preserve">23,335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0.0365</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产权性质分组的核心信息已经比较清楚：国有企业组的补贴强度系数虽为正，但未达到常见显著性标准；私营企业组的系数为0.0135，并在1%的统计意义上显著为正。这说明在新的基准回归口径下，补贴强度与超额薪酬之间的正向关联主要集中在私营企业，而在国有企业中并未形成稳健证据。结合制度背景看，行政限薪、审计约束和组织考核机制往往削弱补贴强度向高管超额薪酬的传导，因此产权性质差异在这里具有较强的解释力。此外，在国有企业内部进一步区分央企与地方国企后，两组补贴强度系数均未达到统计显著标准，说明产权差异主要停留在国有与私营这一层面，不存在央地国企之间的进一步分化。</w:t>
      </w:r>
    </w:p>
    <w:bookmarkEnd w:id="61"/>
    <w:bookmarkStart w:id="65" w:name="行业管制强度差异"/>
    <w:p>
      <w:pPr>
        <w:pStyle w:val="31"/>
        <w:spacing w:line="312" w:lineRule="auto" w:before="0" w:after="0"/>
        <w:ind w:firstLine="420"/>
        <w:jc w:val="left"/>
      </w:pPr>
      <w:r>
        <w:rPr>
          <w:rFonts w:ascii="Times New Roman" w:hAnsi="Times New Roman" w:eastAsia="宋体"/>
          <w:b w:val="0"/>
          <w:sz w:val="24"/>
        </w:rPr>
        <w:t xml:space="preserve">4.8.2 </w:t>
      </w:r>
      <w:r>
        <w:rPr>
          <w:rFonts w:hint="eastAsia" w:ascii="Times New Roman" w:hAnsi="Times New Roman" w:eastAsia="宋体"/>
          <w:b w:val="0"/>
          <w:sz w:val="24"/>
        </w:rPr>
        <w:t xml:space="preserve">行业管制强度差异</w:t>
      </w:r>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-12。</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−0.0020（−0.36）</w:t>
            </w:r>
          </w:p>
        </w:tc>
        <w:tc>
          <w:tcPr/>
          <w:p>
            <w:pPr>
              <w:pStyle w:val="Compact"/>
              <w:spacing w:line="240" w:lineRule="auto" w:before="0" w:after="0"/>
              <w:ind w:firstLine="0"/>
              <w:jc w:val="center"/>
            </w:pPr>
            <w:r>
              <w:rPr>
                <w:rFonts w:hint="eastAsia" w:ascii="Times New Roman" w:hAnsi="Times New Roman" w:eastAsia="宋体"/>
                <w:sz w:val="18"/>
              </w:rPr>
              <w:t xml:space="preserve">0.0110***（2.90）</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−1.5174***（−11.71）</w:t>
            </w:r>
          </w:p>
        </w:tc>
        <w:tc>
          <w:tcPr/>
          <w:p>
            <w:pPr>
              <w:pStyle w:val="Compact"/>
              <w:spacing w:line="240" w:lineRule="auto" w:before="0" w:after="0"/>
              <w:ind w:firstLine="0"/>
              <w:jc w:val="center"/>
            </w:pPr>
            <w:r>
              <w:rPr>
                <w:rFonts w:hint="eastAsia" w:ascii="Times New Roman" w:hAnsi="Times New Roman" w:eastAsia="宋体"/>
                <w:sz w:val="18"/>
              </w:rPr>
              <w:t xml:space="preserve">−0.9557***（−11.97）</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−0.1223*（−1.74）</w:t>
            </w:r>
          </w:p>
        </w:tc>
        <w:tc>
          <w:tcPr/>
          <w:p>
            <w:pPr>
              <w:pStyle w:val="Compact"/>
              <w:spacing w:line="240" w:lineRule="auto" w:before="0" w:after="0"/>
              <w:ind w:firstLine="0"/>
              <w:jc w:val="center"/>
            </w:pPr>
            <w:r>
              <w:rPr>
                <w:rFonts w:hint="eastAsia" w:ascii="Times New Roman" w:hAnsi="Times New Roman" w:eastAsia="宋体"/>
                <w:sz w:val="18"/>
              </w:rPr>
              <w:t xml:space="preserve">−0.0791*（−1.75）</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−0.0052***（−3.05）</w:t>
            </w:r>
          </w:p>
        </w:tc>
        <w:tc>
          <w:tcPr/>
          <w:p>
            <w:pPr>
              <w:pStyle w:val="Compact"/>
              <w:spacing w:line="240" w:lineRule="auto" w:before="0" w:after="0"/>
              <w:ind w:firstLine="0"/>
              <w:jc w:val="center"/>
            </w:pPr>
            <w:r>
              <w:rPr>
                <w:rFonts w:hint="eastAsia" w:ascii="Times New Roman" w:hAnsi="Times New Roman" w:eastAsia="宋体"/>
                <w:sz w:val="18"/>
              </w:rPr>
              <w:t xml:space="preserve">−0.0019**（−2.37）</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7,266</w:t>
            </w:r>
          </w:p>
        </w:tc>
        <w:tc>
          <w:tcPr/>
          <w:p>
            <w:pPr>
              <w:pStyle w:val="Compact"/>
              <w:spacing w:line="240" w:lineRule="auto" w:before="0" w:after="0"/>
              <w:ind w:firstLine="0"/>
              <w:jc w:val="center"/>
            </w:pPr>
            <w:r>
              <w:rPr>
                <w:rFonts w:ascii="Times New Roman" w:hAnsi="Times New Roman" w:eastAsia="宋体"/>
                <w:sz w:val="18"/>
              </w:rPr>
              <w:t xml:space="preserve">36,151</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0.0644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0.0184</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行业管制分组下，非管制行业组的补贴强度系数为0.0110，并在1%的统计意义上显著为正；管制行业组系数为负但不显著。这说明新的基准回归结果主要出现在非管制行业，而强监管行业中的补贴用途约束、薪酬审核或绩效考核要求，往往会削弱补贴强度向高管超额薪酬的传导。</w:t>
      </w:r>
    </w:p>
    <w:bookmarkEnd w:id="62"/>
    <w:bookmarkEnd w:id="63"/>
    <w:bookmarkEnd w:id="64"/>
    <w:bookmarkStart w:id="66" w:name="第五章-结论"/>
    <w:p>
      <w:pPr>
        <w:pStyle w:val="1"/>
        <w:pageBreakBefore/>
        <w:spacing w:line="312" w:lineRule="auto" w:before="0" w:after="0"/>
        <w:ind w:firstLine="0"/>
        <w:jc w:val="center"/>
      </w:pPr>
      <w:bookmarkStart w:id="95" w:name="_TocAuto0024"/>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95"/>
    </w:p>
    <w:bookmarkStart w:id="67" w:name="研究结论"/>
    <w:p>
      <w:pPr>
        <w:pStyle w:val="2"/>
        <w:spacing w:line="312" w:lineRule="auto" w:before="0" w:after="0"/>
        <w:ind w:firstLine="0"/>
        <w:jc w:val="left"/>
      </w:pPr>
      <w:bookmarkStart w:id="96" w:name="_TocAuto0025"/>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96"/>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与旧的全样本平均效应思路不同，本文将核心问题收束为“已获得财政补贴的上市公司内部，补贴强度是否伴随更高的高管超额薪酬”。全文大体形成五点认识。整体上，财政补贴与高管超额薪酬之间存在较一致的条件相关，现有证据仍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的系数为0.0094（p</w:t>
      </w:r>
      <w:r>
        <w:rPr>
          <w:rFonts w:ascii="Times New Roman" w:hAnsi="Times New Roman" w:eastAsia="宋体"/>
          <w:b w:val="0"/>
          <w:sz w:val="21"/>
        </w:rPr>
        <w:t xml:space="preserve"> = </w:t>
      </w:r>
      <w:r>
        <w:rPr>
          <w:rFonts w:hint="eastAsia" w:ascii="Times New Roman" w:hAnsi="Times New Roman" w:eastAsia="宋体"/>
          <w:b w:val="0"/>
          <w:sz w:val="21"/>
        </w:rPr>
        <w:t xml:space="preserve">0.005）。也就是说，在已获补贴企业内部，补贴拿得更多，后续超额薪酬也更高。与旧的全样本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基准回归把“是否获得补贴”和“获得补贴后的强弱差异”拆开处理，更贴近本文真正要回答的问题。从经济幅度看，该系数对应约0.016个标准差的残差变化，统计上稳健，经济规模有限。这与财政补贴作为条件性政策冲击的性质是一致的：补贴并非企业的主要收入来源，其对高管薪酬的边际效应通常小于企业盈利和规模等核心驱动力。</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基准回归在多种稳健性设定下保持正向显著，异质性结果也较为清晰。</w:t>
      </w:r>
      <w:r>
        <w:rPr>
          <w:rFonts w:ascii="Times New Roman" w:hAnsi="Times New Roman" w:eastAsia="宋体"/>
          <w:b w:val="0"/>
          <w:sz w:val="21"/>
        </w:rPr>
        <w:t xml:space="preserve"> </w:t>
      </w:r>
      <w:r>
        <w:rPr>
          <w:rFonts w:hint="eastAsia" w:ascii="Times New Roman" w:hAnsi="Times New Roman" w:eastAsia="宋体"/>
          <w:b w:val="0"/>
          <w:sz w:val="21"/>
        </w:rPr>
        <w:t xml:space="preserve">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 xml:space="preserve">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 xml:space="preserve">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 xml:space="preserve">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0.013）。产权与行业分组表明，正向关联主要集中在私营企业（0.0135，p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 xml:space="preserve">0.004）和非管制行业（0.0110，p</w:t>
      </w:r>
      <w:r>
        <w:rPr>
          <w:rFonts w:ascii="Times New Roman" w:hAnsi="Times New Roman" w:eastAsia="宋体"/>
          <w:b w:val="0"/>
          <w:sz w:val="21"/>
        </w:rPr>
        <w:t xml:space="preserve"> = </w:t>
      </w:r>
      <w:r>
        <w:rPr>
          <w:rFonts w:hint="eastAsia" w:ascii="Times New Roman" w:hAnsi="Times New Roman" w:eastAsia="宋体"/>
          <w:b w:val="0"/>
          <w:sz w:val="21"/>
        </w:rPr>
        <w:t xml:space="preserve">0.004），国有企业、管制行业以及央地国企内部都未形成稳健显著结果。这一格局与制度背景大体一致：国有企业受行政限薪和组织考核约束更强，管制行业也面临更多外部约束；私营企业和非管制行业的薪酬形成更依赖市场机制和内部谈判，补贴带来的资源扩张更容易转化为高管议价空间。</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选择偏差校正和事件研究式动态检验均未改变基准回归方向，因果解释仍需保持谨慎。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 xml:space="preserve">基准回归口径下，Heckman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 xml:space="preserve">0.008），说明主结果不宜简单归因于样本选择。进一步看，事件研究中的前趋势联合检验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 xml:space="preserve">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0.007），表明高补贴事件发生前未观察到显著预趋势，事件之后超额薪酬则出现持续上行。表4-5的正向结果在识别边界收紧后仍然存在，正文仍把它解释为较稳健的条件相关，而非无条件强因果效应。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PCA </w:t>
      </w:r>
      <w:r>
        <w:rPr>
          <w:rFonts w:hint="eastAsia" w:ascii="Times New Roman" w:hAnsi="Times New Roman" w:eastAsia="宋体"/>
          <w:b w:val="0"/>
          <w:bCs/>
          <w:sz w:val="21"/>
        </w:rPr>
        <w:t xml:space="preserve">口径下，管理层权力在补贴强度与超额薪酬之间发挥了部分中介作用，H2</w:t>
      </w:r>
      <w:r>
        <w:rPr>
          <w:rFonts w:ascii="Times New Roman" w:hAnsi="Times New Roman" w:eastAsia="宋体"/>
          <w:b w:val="0"/>
          <w:bCs/>
          <w:sz w:val="21"/>
        </w:rPr>
        <w:t xml:space="preserve"> </w:t>
      </w:r>
      <w:r>
        <w:rPr>
          <w:rFonts w:hint="eastAsia" w:ascii="Times New Roman" w:hAnsi="Times New Roman" w:eastAsia="宋体"/>
          <w:b w:val="0"/>
          <w:bCs/>
          <w:sz w:val="21"/>
        </w:rPr>
        <w:t xml:space="preserve">获得支持，经济幅度较小。</w:t>
      </w:r>
      <w:r>
        <w:rPr>
          <w:rFonts w:ascii="Times New Roman" w:hAnsi="Times New Roman" w:eastAsia="宋体"/>
          <w:b w:val="0"/>
          <w:sz w:val="21"/>
        </w:rPr>
        <w:t xml:space="preserve"> </w:t>
      </w:r>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管理层权力）为正且显著（0.0146，p</w:t>
      </w:r>
      <w:r>
        <w:rPr>
          <w:rFonts w:ascii="Times New Roman" w:hAnsi="Times New Roman" w:eastAsia="宋体"/>
          <w:b w:val="0"/>
          <w:sz w:val="21"/>
        </w:rPr>
        <w:t xml:space="preserve"> = </w:t>
      </w:r>
      <w:r>
        <w:rPr>
          <w:rFonts w:hint="eastAsia" w:ascii="Times New Roman" w:hAnsi="Times New Roman" w:eastAsia="宋体"/>
          <w:b w:val="0"/>
          <w:sz w:val="21"/>
        </w:rPr>
        <w:t xml:space="preserve">0.005），路径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超额薪酬）同样显著为正（0.0173，p</w:t>
      </w:r>
      <w:r>
        <w:rPr>
          <w:rFonts w:ascii="Times New Roman" w:hAnsi="Times New Roman" w:eastAsia="宋体"/>
          <w:b w:val="0"/>
          <w:sz w:val="21"/>
        </w:rPr>
        <w:t xml:space="preserve"> = </w:t>
      </w:r>
      <w:r>
        <w:rPr>
          <w:rFonts w:hint="eastAsia" w:ascii="Times New Roman" w:hAnsi="Times New Roman" w:eastAsia="宋体"/>
          <w:b w:val="0"/>
          <w:sz w:val="21"/>
        </w:rPr>
        <w:t xml:space="preserve">0.011），直接效应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仍在1%水平显著（0.0089，p</w:t>
      </w:r>
      <w:r>
        <w:rPr>
          <w:rFonts w:ascii="Times New Roman" w:hAnsi="Times New Roman" w:eastAsia="宋体"/>
          <w:b w:val="0"/>
          <w:sz w:val="21"/>
        </w:rPr>
        <w:t xml:space="preserve"> = </w:t>
      </w:r>
      <w:r>
        <w:rPr>
          <w:rFonts w:hint="eastAsia" w:ascii="Times New Roman" w:hAnsi="Times New Roman" w:eastAsia="宋体"/>
          <w:b w:val="0"/>
          <w:sz w:val="21"/>
        </w:rPr>
        <w:t xml:space="preserve">0.009）。Bootstrap</w:t>
      </w:r>
      <w:r>
        <w:rPr>
          <w:rFonts w:ascii="Times New Roman" w:hAnsi="Times New Roman" w:eastAsia="宋体"/>
          <w:b w:val="0"/>
          <w:sz w:val="21"/>
        </w:rPr>
        <w:t xml:space="preserve"> </w:t>
      </w:r>
      <w:r>
        <w:rPr>
          <w:rFonts w:hint="eastAsia" w:ascii="Times New Roman" w:hAnsi="Times New Roman" w:eastAsia="宋体"/>
          <w:b w:val="0"/>
          <w:sz w:val="21"/>
        </w:rPr>
        <w:t xml:space="preserve">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0.000609]，不包含零（p</w:t>
      </w:r>
      <w:r>
        <w:rPr>
          <w:rFonts w:ascii="Times New Roman" w:hAnsi="Times New Roman" w:eastAsia="宋体"/>
          <w:b w:val="0"/>
          <w:sz w:val="21"/>
        </w:rPr>
        <w:t xml:space="preserve"> = </w:t>
      </w:r>
      <w:r>
        <w:rPr>
          <w:rFonts w:hint="eastAsia" w:ascii="Times New Roman" w:hAnsi="Times New Roman" w:eastAsia="宋体"/>
          <w:b w:val="0"/>
          <w:sz w:val="21"/>
        </w:rPr>
        <w:t xml:space="preserve">0.007），说明经由管理层权力的间接传导路径在统计上成立。间接效应仅占总效应的约3%，因此相关证据更适合理解为“权力渠道存在，传导力度有限”。</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机器学习补充验证在与基准回归一致的43,417条样本上，为基准回归提供了辅助线索。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 xml:space="preserve">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同样排名第3；Lasso</w:t>
      </w:r>
      <w:r>
        <w:rPr>
          <w:rFonts w:ascii="Times New Roman" w:hAnsi="Times New Roman" w:eastAsia="宋体"/>
          <w:b w:val="0"/>
          <w:sz w:val="21"/>
        </w:rPr>
        <w:t xml:space="preserve"> </w:t>
      </w:r>
      <w:r>
        <w:rPr>
          <w:rFonts w:hint="eastAsia" w:ascii="Times New Roman" w:hAnsi="Times New Roman" w:eastAsia="宋体"/>
          <w:b w:val="0"/>
          <w:sz w:val="21"/>
        </w:rPr>
        <w:t xml:space="preserve">估计显示</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排名第2，财政补贴的部分依赖曲线整体呈上升趋势。这表明在严格匹配基准回归变量口径的前提下，财政补贴强度在预测层面的正向信息并未消失。机器学习检验本质上仍属于辅助验证，而非正式识别，不能替代计量回归中的显著性与因果识别结论。</w:t>
      </w:r>
    </w:p>
    <w:bookmarkEnd w:id="65"/>
    <w:bookmarkStart w:id="68" w:name="政策建议"/>
    <w:p>
      <w:pPr>
        <w:pStyle w:val="2"/>
        <w:spacing w:line="312" w:lineRule="auto" w:before="0" w:after="0"/>
        <w:ind w:firstLine="0"/>
        <w:jc w:val="left"/>
      </w:pPr>
      <w:bookmarkStart w:id="97" w:name="_TocAuto0026"/>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97"/>
    </w:p>
    <w:p>
      <w:pPr>
        <w:spacing w:line="312" w:lineRule="auto" w:before="0" w:after="0"/>
        <w:ind w:firstLine="420"/>
        <w:jc w:val="both"/>
      </w:pPr>
      <w:r>
        <w:rPr>
          <w:rFonts w:hint="eastAsia" w:ascii="Times New Roman" w:hAnsi="Times New Roman" w:eastAsia="宋体"/>
          <w:b w:val="0"/>
          <w:sz w:val="21"/>
        </w:rPr>
        <w:t xml:space="preserve">基于上述全文结论，从财政补贴监管以及薪酬治理与信息披露两个维度提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结果误用为可靠证据。</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针对产权性质和行业特征实施差异化监管。</w:t>
      </w:r>
      <w:r>
        <w:rPr>
          <w:rFonts w:ascii="Times New Roman" w:hAnsi="Times New Roman" w:eastAsia="宋体"/>
          <w:b w:val="0"/>
          <w:sz w:val="21"/>
        </w:rPr>
        <w:t xml:space="preserve"> </w:t>
      </w:r>
      <w:r>
        <w:rPr>
          <w:rFonts w:hint="eastAsia" w:ascii="Times New Roman" w:hAnsi="Times New Roman" w:eastAsia="宋体"/>
          <w:b w:val="0"/>
          <w:sz w:val="21"/>
        </w:rPr>
        <w:t xml:space="preserve">异质性分析表明，补贴强度与超额薪酬的正向关联主要集中在私营企业和非管制行业，国有企业和管制行业则不显著。据此，监管部门在设计补贴后续监督机制时，可对私营企业和非管制行业适当加强薪酬信息披露要求和补贴使用核查力度；对国有企业，则可继续完善现有限薪框架下的补贴绩效对表机制，确保行政约束与市场激励协调互补。</w:t>
      </w:r>
    </w:p>
    <w:bookmarkEnd w:id="66"/>
    <w:bookmarkStart w:id="69" w:name="研究局限与展望"/>
    <w:p>
      <w:pPr>
        <w:pStyle w:val="2"/>
        <w:spacing w:line="312" w:lineRule="auto" w:before="0" w:after="0"/>
        <w:ind w:firstLine="0"/>
        <w:jc w:val="left"/>
      </w:pPr>
      <w:bookmarkStart w:id="98" w:name="_TocAuto0027"/>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98"/>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本文借助公司固定效应、行业×年份固定效应、事件研究式动态检验以及针对正补助样本的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这些方法更多是在当前样本边界内收紧识别，而非提供完全外生的政策冲击；而围绕当前基准样本统一重跑的传统留一法工具变量也未能提供稳定的一阶段支撑。未来研究仍有必要结合更具外生性的政策冲击，采用双重差分（DID）、断点回归（RDD）或其他准自然实验设计，以进一步提升因果识别的严谨性。此外，事件研究中高补贴事件的阈值目前固定为上四分位数，未来可检验替代阈值下动态检验结论的敏感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主问题聚焦于已获补贴企业内部的补贴强度差异，并主要依据可观测的治理特征刻画管理层权力，这有助于建立统一的实证框架，但对补贴类型差异、补贴进入样本之前的选择机制以及隐性权力来源的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部分虽然已经采用建模样本与保留样本划分，并结合按公司分组的交叉验证，但总体上仍局限于当前样本框架，年报、社会责任报告和媒体报道等文本信息的利用也相对有限，相关发现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67"/>
    <w:bookmarkEnd w:id="68"/>
    <w:bookmarkStart w:id="70" w:name="参考文献"/>
    <w:p>
      <w:pPr>
        <w:pStyle w:val="1"/>
        <w:pageBreakBefore/>
        <w:spacing w:line="312" w:lineRule="auto" w:before="0" w:after="0"/>
        <w:ind w:firstLine="0"/>
        <w:jc w:val="center"/>
      </w:pPr>
      <w:bookmarkStart w:id="99" w:name="_TocAuto0028"/>
      <w:r>
        <w:rPr>
          <w:rFonts w:hint="eastAsia" w:ascii="Times New Roman" w:hAnsi="Times New Roman" w:eastAsia="黑体"/>
          <w:b/>
          <w:sz w:val="32"/>
        </w:rPr>
        <w:t xml:space="preserve">参考文献</w:t>
      </w:r>
      <w:bookmarkEnd w:id="99"/>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[7]GU S, KELLY B, XIU D. Empirical asset pricing via machine learning[J]. The Review of Financial Studies, 2020, 33(5): 2223–2273.</w:t>
      </w:r>
    </w:p>
    <w:p>
      <w:pPr>
        <w:spacing w:line="312" w:lineRule="auto" w:before="0" w:after="0"/>
        <w:ind w:firstLine="0"/>
        <w:jc w:val="both"/>
      </w:pPr>
      <w:r>
        <w:rPr>
          <w:rFonts w:ascii="Times New Roman" w:hAnsi="Times New Roman" w:eastAsia="宋体"/>
          <w:b w:val="0"/>
          <w:sz w:val="21"/>
        </w:rPr>
        <w:t xml:space="preserve">[8]JENSEN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[9]JIANG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[10]KETELAAR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[11]LI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[12]PEROLS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[13]RJIBA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[14]SPENCE M. Job market signaling[J]. The Quarterly Journal of Economics, 1973, 87(3): 355–374.</w:t>
      </w:r>
    </w:p>
    <w:p>
      <w:pPr>
        <w:spacing w:line="312" w:lineRule="auto" w:before="0" w:after="0"/>
        <w:ind w:firstLine="0"/>
        <w:jc w:val="both"/>
      </w:pPr>
      <w:r>
        <w:rPr>
          <w:rFonts w:ascii="Times New Roman" w:hAnsi="Times New Roman" w:eastAsia="宋体"/>
          <w:b w:val="0"/>
          <w:sz w:val="21"/>
        </w:rPr>
        <w:t xml:space="preserve">[15]ZHAO Y, LYNCH J G, CHEN Q. Reconsidering Baron and Kenny: Myths and truths about mediation analysis[J]. Journal of Consumer Research, 2010, 37(2): 197–206.</w:t>
      </w:r>
    </w:p>
    <w:p>
      <w:pPr>
        <w:spacing w:line="312" w:lineRule="auto" w:before="0" w:after="0"/>
        <w:ind w:firstLine="0"/>
        <w:jc w:val="both"/>
      </w:pPr>
      <w:r>
        <w:rPr>
          <w:rFonts w:hint="eastAsia" w:ascii="Times New Roman" w:hAnsi="Times New Roman" w:eastAsia="宋体"/>
          <w:b w:val="0"/>
          <w:sz w:val="21"/>
        </w:rPr>
        <w:t xml:space="preserve">[16]步丹璐，王晓艳.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[17]陈冬华，陈信元，万华林.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[18]方军雄.</w:t>
      </w:r>
      <w:r>
        <w:rPr>
          <w:rFonts w:ascii="Times New Roman" w:hAnsi="Times New Roman" w:eastAsia="宋体"/>
          <w:b w:val="0"/>
          <w:sz w:val="21"/>
        </w:rPr>
        <w:t xml:space="preserve"> </w:t>
      </w:r>
      <w:r>
        <w:rPr>
          <w:rFonts w:hint="eastAsia" w:ascii="Times New Roman" w:hAnsi="Times New Roman" w:eastAsia="宋体"/>
          <w:b w:val="0"/>
          <w:sz w:val="21"/>
        </w:rPr>
        <w:t xml:space="preserve">我国上市公司高管薪酬存在粘性吗？[J].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经济研究，2009，44(3):</w:t>
      </w:r>
      <w:r>
        <w:rPr>
          <w:rFonts w:ascii="Times New Roman" w:hAnsi="Times New Roman" w:eastAsia="宋体"/>
          <w:b w:val="0"/>
          <w:sz w:val="21"/>
        </w:rPr>
        <w:t xml:space="preserve"> 110–124.</w:t>
      </w:r>
    </w:p>
    <w:p>
      <w:pPr>
        <w:spacing w:line="312" w:lineRule="auto" w:before="0" w:after="0"/>
        <w:ind w:firstLine="0"/>
        <w:jc w:val="both"/>
      </w:pPr>
      <w:r>
        <w:rPr>
          <w:rFonts w:hint="eastAsia" w:ascii="Times New Roman" w:hAnsi="Times New Roman" w:eastAsia="宋体"/>
          <w:b w:val="0"/>
          <w:sz w:val="21"/>
        </w:rPr>
        <w:t xml:space="preserve">[19]李哲，王文翰，王遥.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[20]连君莎.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[21]卢锐，柳建华，许宁.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[22]陆瑶，张叶青，黎波，等.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[23]罗进辉.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[24]罗昆，曹光宇.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[25]马长峰，陈志娟，张顺明.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[26]潘红波，夏新平，余明桂.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[27]唐清泉，罗党论.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[28]王克敏，王华杰，李栋栋，等.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[29]吴妍.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[30]徐坤.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[31]章海浪.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[32]张莉莉.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69"/>
    <w:bookmarkStart w:id="71" w:name="致谢"/>
    <w:p>
      <w:pPr>
        <w:pStyle w:val="1"/>
        <w:pageBreakBefore/>
        <w:spacing w:line="312" w:lineRule="auto" w:before="0" w:after="0"/>
        <w:ind w:firstLine="0"/>
        <w:jc w:val="center"/>
      </w:pPr>
      <w:bookmarkStart w:id="100" w:name="_TocAuto0029"/>
      <w:r>
        <w:rPr>
          <w:rFonts w:hint="eastAsia" w:ascii="Times New Roman" w:hAnsi="Times New Roman" w:eastAsia="黑体"/>
          <w:b/>
          <w:sz w:val="32"/>
        </w:rPr>
        <w:t xml:space="preserve">致谢</w:t>
      </w:r>
      <w:bookmarkEnd w:id="100"/>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p>
    <w:bookmarkEnd w:id="70"/>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