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312" w:lineRule="auto"/>
              <w:ind w:firstLine="0"/>
              <w:jc w:val="left"/>
              <w:rPr>
                <w:rFonts w:ascii="楷体" w:eastAsia="楷体" w:hAnsi="楷体"/>
                <w:color w:val="000000"/>
                <w:kern w:val="0"/>
                <w:sz w:val="28"/>
                <w:szCs w:val="28"/>
              </w:rPr>
            </w:pPr>
            <w:r>
              <w:rPr>
                <w:rFonts w:ascii="楷体" w:hAnsi="楷体" w:eastAsia="楷体"/>
                <w:sz w:val="24"/>
              </w:rPr>
              <w:t>基于数据挖掘的上市公司财政补贴</w:t>
              <w:br/>
              <w:t>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both"/>
      </w:pPr>
      <w:r>
        <w:rPr>
          <w:rFonts w:hint="eastAsia" w:ascii="Times New Roman" w:hAnsi="Times New Roman" w:eastAsia="宋体"/>
          <w:sz w:val="21"/>
        </w:rPr>
        <w:t xml:space="preserve">本文以2003—2024年沪深A股非金融上市公司为样本，考察财政补贴与高管超额薪酬之间的关系。结果显示，全样本固定效应下滞后一期财政补贴系数为正但不显著，多种工具变量、安慰剂和事件研究给出的识别结果仍较为敏感；仅正补助口径与</w:t>
      </w:r>
      <w:r>
        <w:rPr>
          <w:rFonts w:ascii="Times New Roman" w:hAnsi="Times New Roman" w:eastAsia="宋体"/>
          <w:sz w:val="21"/>
        </w:rPr>
        <w:t xml:space="preserve"> Heckman </w:t>
      </w:r>
      <w:r>
        <w:rPr>
          <w:rFonts w:hint="eastAsia" w:ascii="Times New Roman" w:hAnsi="Times New Roman" w:eastAsia="宋体"/>
          <w:sz w:val="21"/>
        </w:rPr>
        <w:t xml:space="preserve">校正则提供了正向证据。管理层权力中介效应未获稳健支持。作为对</w:t>
      </w:r>
      <w:r>
        <w:rPr>
          <w:rFonts w:ascii="Times New Roman" w:hAnsi="Times New Roman" w:eastAsia="宋体"/>
          <w:sz w:val="21"/>
        </w:rPr>
        <w:t xml:space="preserve"> OLS </w:t>
      </w:r>
      <w:r>
        <w:rPr>
          <w:rFonts w:hint="eastAsia" w:ascii="Times New Roman" w:hAnsi="Times New Roman" w:eastAsia="宋体"/>
          <w:sz w:val="21"/>
        </w:rPr>
        <w:t xml:space="preserve">主回归的机器学习稳健性检验，本文在与机制检验一致的统一样本上，仅纳入滞后一期财政补贴、管理层权力（FA）、Roa、Lever</w:t>
      </w:r>
      <w:r>
        <w:rPr>
          <w:rFonts w:ascii="Times New Roman" w:hAnsi="Times New Roman" w:eastAsia="宋体"/>
          <w:sz w:val="21"/>
        </w:rPr>
        <w:t xml:space="preserve"> </w:t>
      </w:r>
      <w:r>
        <w:rPr>
          <w:rFonts w:hint="eastAsia" w:ascii="Times New Roman" w:hAnsi="Times New Roman" w:eastAsia="宋体"/>
          <w:sz w:val="21"/>
        </w:rPr>
        <w:t xml:space="preserve">和</w:t>
      </w:r>
      <w:r>
        <w:rPr>
          <w:rFonts w:ascii="Times New Roman" w:hAnsi="Times New Roman" w:eastAsia="宋体"/>
          <w:sz w:val="21"/>
        </w:rPr>
        <w:t xml:space="preserve"> Top1 </w:t>
      </w:r>
      <w:r>
        <w:rPr>
          <w:rFonts w:hint="eastAsia" w:ascii="Times New Roman" w:hAnsi="Times New Roman" w:eastAsia="宋体"/>
          <w:sz w:val="21"/>
        </w:rPr>
        <w:t xml:space="preserve">五个变量。结果表明，Lasso</w:t>
      </w:r>
      <w:r>
        <w:rPr>
          <w:rFonts w:ascii="Times New Roman" w:hAnsi="Times New Roman" w:eastAsia="宋体"/>
          <w:sz w:val="21"/>
        </w:rPr>
        <w:t xml:space="preserve"> </w:t>
      </w:r>
      <w:r>
        <w:rPr>
          <w:rFonts w:hint="eastAsia" w:ascii="Times New Roman" w:hAnsi="Times New Roman" w:eastAsia="宋体"/>
          <w:sz w:val="21"/>
        </w:rPr>
        <w:t xml:space="preserve">同时保留了财政补贴与管理层权力，且系数均为正；随机森林中财政补贴排名第3、管理层权力排名第5；XGBoost</w:t>
      </w:r>
      <w:r>
        <w:rPr>
          <w:rFonts w:ascii="Times New Roman" w:hAnsi="Times New Roman" w:eastAsia="宋体"/>
          <w:sz w:val="21"/>
        </w:rPr>
        <w:t xml:space="preserve"> </w:t>
      </w:r>
      <w:r>
        <w:rPr>
          <w:rFonts w:hint="eastAsia" w:ascii="Times New Roman" w:hAnsi="Times New Roman" w:eastAsia="宋体"/>
          <w:sz w:val="21"/>
        </w:rPr>
        <w:t xml:space="preserve">中财政补贴排名第2、管理层权力排名第5，且财政补贴的部分依赖图整体呈上升趋势。总体而言，财政补贴与高管超额薪酬之间存在一定关联，但现有证据仍不足以支持无条件的强因果结论。</w:t>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312" w:lineRule="auto" w:before="0" w:after="0"/>
        <w:ind w:firstLine="0"/>
        <w:jc w:val="center"/>
      </w:pPr>
      <w:r>
        <w:rPr>
          <w:rFonts w:ascii="Times New Roman" w:hAnsi="Times New Roman" w:eastAsia="Times New Roman"/>
          <w:b/>
          <w:sz w:val="32"/>
        </w:rPr>
        <w:t xml:space="preserve">RESEARCH ON FISCAL SUBSIDIES AND EXECUTIVE EXCESS COMPENSATION OF LISTED COMPANIES BASED ON DATA MINING</w:t>
      </w:r>
    </w:p>
    <w:p>
      <w:pPr>
        <w:spacing w:line="312" w:lineRule="auto" w:before="0" w:after="0"/>
        <w:ind w:firstLine="0"/>
        <w:jc w:val="center"/>
      </w:pPr>
      <w:r>
        <w:rPr>
          <w:rFonts w:ascii="Times New Roman" w:hAnsi="Times New Roman" w:eastAsia="Times New Roman"/>
          <w:b/>
          <w:sz w:val="28"/>
        </w:rPr>
        <w:t xml:space="preserve">ABSTRACT</w:t>
      </w:r>
    </w:p>
    <w:p>
      <w:pPr>
        <w:spacing w:line="312" w:lineRule="auto" w:before="0" w:after="0"/>
        <w:ind w:firstLine="420"/>
        <w:jc w:val="both"/>
      </w:pPr>
      <w:r>
        <w:rPr>
          <w:rFonts w:ascii="Times New Roman" w:hAnsi="Times New Roman" w:eastAsia="Times New Roman"/>
          <w:sz w:val="21"/>
        </w:rPr>
        <w:t xml:space="preserve">Using non-financial A-share listed firms from 2003 to 2024, this thesis examines the relationship between fiscal subsidies and executive excess compensation. In the full-sample fixed-effects specification, the coefficient on lagged fiscal subsidies is positive but insignificant, and the results from instrumental-variable, placebo, and event-study designs remain sensitive across specifications; the positive-subsidy specification and Heckman correction, however, still provide supportive positive evidence. The mediating effect of managerial power is not robustly supported. As a machine-learning-based robustness check on the OLS baseline, this thesis uses the same unified sample as the mediation analysis and includes only five variables: lagged fiscal subsidies, managerial power (FA), Roa, Lever, and Top1. Lasso retains both fiscal subsidies and managerial power with positive coefficients; in the random forest, fiscal subsidies rank third and managerial power ranks fifth; in XGBoost, fiscal subsidies rank second and managerial power ranks fifth, while the partial-dependence curve for fiscal subsidies is upward overall. Overall, fiscal subsidies are associated with executive excess compensation to some extent, yet the current evidence still falls short of supporting an unconditional strong causal conclusion.</w:t>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r>
        <w:rPr>
          <w:noProof/>
          <w:webHidden/>
        </w:rPr>
        <w:fldChar w:fldCharType="begin"/>
      </w:r>
      <w:r>
        <w:rPr>
          <w:noProof/>
          <w:webHidden/>
        </w:rPr>
        <w:instrText xml:space="preserve"> TOC \o "1-3" \h \z \u </w:instrText>
      </w:r>
      <w:r>
        <w:rPr>
          <w:noProof/>
          <w:webHidden/>
        </w:rPr>
        <w:fldChar w:fldCharType="separate"/>
      </w:r>
      <w:r>
        <w:rPr>
          <w:noProof/>
          <w:webHidden/>
        </w:rPr>
        <w:fldChar w:fldCharType="end"/>
      </w: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3"/>
      </w:pPr>
      <w:hyperlink w:anchor="_TocAuto0005" w:history="1">
        <w:r>
          <w:rPr>
            <w:rStyle w:val="af"/>
            <w:noProof/>
          </w:rPr>
          <w:t>1.3.1</w:t>
        </w:r>
        <w:r>
          <w:rPr>
            <w:rStyle w:val="af"/>
            <w:noProof/>
          </w:rPr>
          <w:t xml:space="preserve"> </w:t>
        </w:r>
        <w:r>
          <w:rPr>
            <w:rStyle w:val="af"/>
            <w:noProof/>
          </w:rPr>
          <w:t>高管超额薪酬的界定与测量方法</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3"/>
      </w:pPr>
      <w:hyperlink w:anchor="_TocAuto0006" w:history="1">
        <w:r>
          <w:rPr>
            <w:rStyle w:val="af"/>
            <w:noProof/>
          </w:rPr>
          <w:t>1.3.2</w:t>
        </w:r>
        <w:r>
          <w:rPr>
            <w:rStyle w:val="af"/>
            <w:noProof/>
          </w:rPr>
          <w:t xml:space="preserve"> </w:t>
        </w:r>
        <w:r>
          <w:rPr>
            <w:rStyle w:val="af"/>
            <w:noProof/>
          </w:rPr>
          <w:t>财政补贴的分配逻辑与公司行为效应</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3"/>
      </w:pPr>
      <w:hyperlink w:anchor="_TocAuto0007" w:history="1">
        <w:r>
          <w:rPr>
            <w:rStyle w:val="af"/>
            <w:noProof/>
          </w:rPr>
          <w:t>1.3.3</w:t>
        </w:r>
        <w:r>
          <w:rPr>
            <w:rStyle w:val="af"/>
            <w:noProof/>
          </w:rPr>
          <w:t xml:space="preserve"> </w:t>
        </w:r>
        <w:r>
          <w:rPr>
            <w:rStyle w:val="af"/>
            <w:noProof/>
          </w:rPr>
          <w:t>内部治理机制对补贴—薪酬关联的调节</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3"/>
      </w:pPr>
      <w:hyperlink w:anchor="_TocAuto0008" w:history="1">
        <w:r>
          <w:rPr>
            <w:rStyle w:val="af"/>
            <w:noProof/>
          </w:rPr>
          <w:t>1.3.4</w:t>
        </w:r>
        <w:r>
          <w:rPr>
            <w:rStyle w:val="af"/>
            <w:noProof/>
          </w:rPr>
          <w:t xml:space="preserve"> </w:t>
        </w:r>
        <w:r>
          <w:rPr>
            <w:rStyle w:val="af"/>
            <w:noProof/>
          </w:rPr>
          <w:t>机器学习与数据挖掘方法在会计金融研究中的应用</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3"/>
      </w:pPr>
      <w:hyperlink w:anchor="_TocAuto0009" w:history="1">
        <w:r>
          <w:rPr>
            <w:rStyle w:val="af"/>
            <w:noProof/>
          </w:rPr>
          <w:t>1.3.5</w:t>
        </w:r>
        <w:r>
          <w:rPr>
            <w:rStyle w:val="af"/>
            <w:noProof/>
          </w:rPr>
          <w:t xml:space="preserve"> </w:t>
        </w:r>
        <w:r>
          <w:rPr>
            <w:rStyle w:val="af"/>
            <w:noProof/>
          </w:rPr>
          <w:t>研究述评与现有文献的局限</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2"/>
      </w:pPr>
      <w:hyperlink w:anchor="_TocAuto0010"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1"/>
      </w:pPr>
      <w:hyperlink w:anchor="_TocAuto0011"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3"/>
      </w:pPr>
      <w:hyperlink w:anchor="_TocAuto0013" w:history="1">
        <w:r>
          <w:rPr>
            <w:rStyle w:val="af"/>
            <w:noProof/>
          </w:rPr>
          <w:t>2.1.1</w:t>
        </w:r>
        <w:r>
          <w:rPr>
            <w:rStyle w:val="af"/>
            <w:noProof/>
          </w:rPr>
          <w:t xml:space="preserve"> </w:t>
        </w:r>
        <w:r>
          <w:rPr>
            <w:rStyle w:val="af"/>
            <w:noProof/>
          </w:rPr>
          <w:t>财政补贴</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3"/>
      </w:pPr>
      <w:hyperlink w:anchor="_TocAuto0014" w:history="1">
        <w:r>
          <w:rPr>
            <w:rStyle w:val="af"/>
            <w:noProof/>
          </w:rPr>
          <w:t>2.1.2</w:t>
        </w:r>
        <w:r>
          <w:rPr>
            <w:rStyle w:val="af"/>
            <w:noProof/>
          </w:rPr>
          <w:t xml:space="preserve"> </w:t>
        </w:r>
        <w:r>
          <w:rPr>
            <w:rStyle w:val="af"/>
            <w:noProof/>
          </w:rPr>
          <w:t>高管超额薪酬</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3"/>
      </w:pPr>
      <w:hyperlink w:anchor="_TocAuto0015" w:history="1">
        <w:r>
          <w:rPr>
            <w:rStyle w:val="af"/>
            <w:noProof/>
          </w:rPr>
          <w:t>2.1.3</w:t>
        </w:r>
        <w:r>
          <w:rPr>
            <w:rStyle w:val="af"/>
            <w:noProof/>
          </w:rPr>
          <w:t xml:space="preserve"> </w:t>
        </w:r>
        <w:r>
          <w:rPr>
            <w:rStyle w:val="af"/>
            <w:noProof/>
          </w:rPr>
          <w:t>管理层权力</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2"/>
      </w:pPr>
      <w:hyperlink w:anchor="_TocAuto0016"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3"/>
      </w:pPr>
      <w:hyperlink w:anchor="_TocAuto0017" w:history="1">
        <w:r>
          <w:rPr>
            <w:rStyle w:val="af"/>
            <w:noProof/>
          </w:rPr>
          <w:t>2.2.1</w:t>
        </w:r>
        <w:r>
          <w:rPr>
            <w:rStyle w:val="af"/>
            <w:noProof/>
          </w:rPr>
          <w:t xml:space="preserve"> </w:t>
        </w:r>
        <w:r>
          <w:rPr>
            <w:rStyle w:val="af"/>
            <w:noProof/>
          </w:rPr>
          <w:t>管理者权力理论</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3"/>
      </w:pPr>
      <w:hyperlink w:anchor="_TocAuto0018" w:history="1">
        <w:r>
          <w:rPr>
            <w:rStyle w:val="af"/>
            <w:noProof/>
          </w:rPr>
          <w:t>2.2.2</w:t>
        </w:r>
        <w:r>
          <w:rPr>
            <w:rStyle w:val="af"/>
            <w:noProof/>
          </w:rPr>
          <w:t xml:space="preserve"> </w:t>
        </w:r>
        <w:r>
          <w:rPr>
            <w:rStyle w:val="af"/>
            <w:noProof/>
          </w:rPr>
          <w:t>代理理论</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3"/>
      </w:pPr>
      <w:hyperlink w:anchor="_TocAuto0019" w:history="1">
        <w:r>
          <w:rPr>
            <w:rStyle w:val="af"/>
            <w:noProof/>
          </w:rPr>
          <w:t>2.2.3</w:t>
        </w:r>
        <w:r>
          <w:rPr>
            <w:rStyle w:val="af"/>
            <w:noProof/>
          </w:rPr>
          <w:t xml:space="preserve"> </w:t>
        </w:r>
        <w:r>
          <w:rPr>
            <w:rStyle w:val="af"/>
            <w:noProof/>
          </w:rPr>
          <w:t>信号传递理论</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3"/>
      </w:pPr>
      <w:hyperlink w:anchor="_TocAuto0020" w:history="1">
        <w:r>
          <w:rPr>
            <w:rStyle w:val="af"/>
            <w:noProof/>
          </w:rPr>
          <w:t>2.2.4</w:t>
        </w:r>
        <w:r>
          <w:rPr>
            <w:rStyle w:val="af"/>
            <w:noProof/>
          </w:rPr>
          <w:t xml:space="preserve"> </w:t>
        </w:r>
        <w:r>
          <w:rPr>
            <w:rStyle w:val="af"/>
            <w:noProof/>
          </w:rPr>
          <w:t>三种理论视角的比较与内在张力</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3"/>
      </w:pPr>
      <w:hyperlink w:anchor="_TocAuto0021" w:history="1">
        <w:r>
          <w:rPr>
            <w:rStyle w:val="af"/>
            <w:noProof/>
          </w:rPr>
          <w:t>2.2.5</w:t>
        </w:r>
        <w:r>
          <w:rPr>
            <w:rStyle w:val="af"/>
            <w:noProof/>
          </w:rPr>
          <w:t xml:space="preserve"> </w:t>
        </w:r>
        <w:r>
          <w:rPr>
            <w:rStyle w:val="af"/>
            <w:noProof/>
          </w:rPr>
          <w:t>中国制度情境下的理论延展</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1"/>
      </w:pPr>
      <w:hyperlink w:anchor="_TocAuto0023"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2"/>
      </w:pPr>
      <w:hyperlink w:anchor="_TocAuto0024"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2"/>
      </w:pPr>
      <w:hyperlink w:anchor="_TocAuto0025"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3"/>
      </w:pPr>
      <w:hyperlink w:anchor="_TocAuto0027" w:history="1">
        <w:r>
          <w:rPr>
            <w:rStyle w:val="af"/>
            <w:noProof/>
          </w:rPr>
          <w:t>3.3.1</w:t>
        </w:r>
        <w:r>
          <w:rPr>
            <w:rStyle w:val="af"/>
            <w:noProof/>
          </w:rPr>
          <w:t xml:space="preserve"> </w:t>
        </w:r>
        <w:r>
          <w:rPr>
            <w:rStyle w:val="af"/>
            <w:noProof/>
          </w:rPr>
          <w:t>被解释变量：高管超额薪酬（Overpay）</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3"/>
      </w:pPr>
      <w:hyperlink w:anchor="_TocAuto0028" w:history="1">
        <w:r>
          <w:rPr>
            <w:rStyle w:val="af"/>
            <w:noProof/>
          </w:rPr>
          <w:t>3.3.2</w:t>
        </w:r>
        <w:r>
          <w:rPr>
            <w:rStyle w:val="af"/>
            <w:noProof/>
          </w:rPr>
          <w:t xml:space="preserve"> </w:t>
        </w:r>
        <w:r>
          <w:rPr>
            <w:rStyle w:val="af"/>
            <w:noProof/>
          </w:rPr>
          <w:t>核心解释变量：财政补贴强度（lnSubsidy）</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3"/>
      </w:pPr>
      <w:hyperlink w:anchor="_TocAuto0029" w:history="1">
        <w:r>
          <w:rPr>
            <w:rStyle w:val="af"/>
            <w:noProof/>
          </w:rPr>
          <w:t>3.3.3</w:t>
        </w:r>
        <w:r>
          <w:rPr>
            <w:rStyle w:val="af"/>
            <w:noProof/>
          </w:rPr>
          <w:t xml:space="preserve"> </w:t>
        </w:r>
        <w:r>
          <w:rPr>
            <w:rStyle w:val="af"/>
            <w:noProof/>
          </w:rPr>
          <w:t>控制变量</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pPr>
        <w:pStyle w:val="TOC3"/>
      </w:pPr>
      <w:hyperlink w:anchor="_TocAuto0030" w:history="1">
        <w:r>
          <w:rPr>
            <w:rStyle w:val="af"/>
            <w:noProof/>
          </w:rPr>
          <w:t>3.3.4</w:t>
        </w:r>
        <w:r>
          <w:rPr>
            <w:rStyle w:val="af"/>
            <w:noProof/>
          </w:rPr>
          <w:t xml:space="preserve"> </w:t>
        </w:r>
        <w:r>
          <w:rPr>
            <w:rStyle w:val="af"/>
            <w:noProof/>
          </w:rPr>
          <w:t>路径变量：管理层权力（Power）</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w:t>
        </w:r>
        <w:r>
          <w:rPr>
            <w:noProof/>
            <w:webHidden/>
          </w:rPr>
          <w:fldChar w:fldCharType="end"/>
        </w:r>
      </w:hyperlink>
    </w:p>
    <w:p>
      <w:pPr>
        <w:pStyle w:val="TOC2"/>
      </w:pPr>
      <w:hyperlink w:anchor="_TocAuto0031"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_TocAuto0031 \h </w:instrText>
        </w:r>
        <w:r>
          <w:rPr>
            <w:noProof/>
            <w:webHidden/>
          </w:rPr>
          <w:fldChar w:fldCharType="separate"/>
        </w:r>
        <w:r>
          <w:rPr>
            <w:noProof/>
            <w:webHidden/>
          </w:rPr>
          <w:t>1</w:t>
        </w:r>
        <w:r>
          <w:rPr>
            <w:noProof/>
            <w:webHidden/>
          </w:rPr>
          <w:fldChar w:fldCharType="end"/>
        </w:r>
      </w:hyperlink>
    </w:p>
    <w:p>
      <w:pPr>
        <w:pStyle w:val="TOC3"/>
      </w:pPr>
      <w:hyperlink w:anchor="_TocAuto0032" w:history="1">
        <w:r>
          <w:rPr>
            <w:rStyle w:val="af"/>
            <w:noProof/>
          </w:rPr>
          <w:t>3.4.1</w:t>
        </w:r>
        <w:r>
          <w:rPr>
            <w:rStyle w:val="af"/>
            <w:noProof/>
          </w:rPr>
          <w:t xml:space="preserve"> </w:t>
        </w:r>
        <w:r>
          <w:rPr>
            <w:rStyle w:val="af"/>
            <w:noProof/>
          </w:rPr>
          <w:t>第一阶段：期望薪酬模型</w:t>
        </w:r>
        <w:r>
          <w:rPr>
            <w:noProof/>
            <w:webHidden/>
          </w:rPr>
          <w:tab/>
        </w:r>
        <w:r>
          <w:rPr>
            <w:noProof/>
            <w:webHidden/>
          </w:rPr>
          <w:fldChar w:fldCharType="begin"/>
        </w:r>
        <w:r>
          <w:rPr>
            <w:noProof/>
            <w:webHidden/>
          </w:rPr>
          <w:instrText xml:space="preserve"> PAGEREF _TocAuto0032 \h </w:instrText>
        </w:r>
        <w:r>
          <w:rPr>
            <w:noProof/>
            <w:webHidden/>
          </w:rPr>
          <w:fldChar w:fldCharType="separate"/>
        </w:r>
        <w:r>
          <w:rPr>
            <w:noProof/>
            <w:webHidden/>
          </w:rPr>
          <w:t>1</w:t>
        </w:r>
        <w:r>
          <w:rPr>
            <w:noProof/>
            <w:webHidden/>
          </w:rPr>
          <w:fldChar w:fldCharType="end"/>
        </w:r>
      </w:hyperlink>
    </w:p>
    <w:p>
      <w:pPr>
        <w:pStyle w:val="TOC3"/>
      </w:pPr>
      <w:hyperlink w:anchor="_TocAuto0033" w:history="1">
        <w:r>
          <w:rPr>
            <w:rStyle w:val="af"/>
            <w:noProof/>
          </w:rPr>
          <w:t>3.4.2</w:t>
        </w:r>
        <w:r>
          <w:rPr>
            <w:rStyle w:val="af"/>
            <w:noProof/>
          </w:rPr>
          <w:t xml:space="preserve"> </w:t>
        </w:r>
        <w:r>
          <w:rPr>
            <w:rStyle w:val="af"/>
            <w:noProof/>
          </w:rPr>
          <w:t>第二阶段：基准回归模型</w:t>
        </w:r>
        <w:r>
          <w:rPr>
            <w:noProof/>
            <w:webHidden/>
          </w:rPr>
          <w:tab/>
        </w:r>
        <w:r>
          <w:rPr>
            <w:noProof/>
            <w:webHidden/>
          </w:rPr>
          <w:fldChar w:fldCharType="begin"/>
        </w:r>
        <w:r>
          <w:rPr>
            <w:noProof/>
            <w:webHidden/>
          </w:rPr>
          <w:instrText xml:space="preserve"> PAGEREF _TocAuto0033 \h </w:instrText>
        </w:r>
        <w:r>
          <w:rPr>
            <w:noProof/>
            <w:webHidden/>
          </w:rPr>
          <w:fldChar w:fldCharType="separate"/>
        </w:r>
        <w:r>
          <w:rPr>
            <w:noProof/>
            <w:webHidden/>
          </w:rPr>
          <w:t>1</w:t>
        </w:r>
        <w:r>
          <w:rPr>
            <w:noProof/>
            <w:webHidden/>
          </w:rPr>
          <w:fldChar w:fldCharType="end"/>
        </w:r>
      </w:hyperlink>
    </w:p>
    <w:p>
      <w:pPr>
        <w:pStyle w:val="TOC3"/>
      </w:pPr>
      <w:hyperlink w:anchor="_TocAuto0034" w:history="1">
        <w:r>
          <w:rPr>
            <w:rStyle w:val="af"/>
            <w:noProof/>
          </w:rPr>
          <w:t>3.4.3</w:t>
        </w:r>
        <w:r>
          <w:rPr>
            <w:rStyle w:val="af"/>
            <w:noProof/>
          </w:rPr>
          <w:t xml:space="preserve"> </w:t>
        </w:r>
        <w:r>
          <w:rPr>
            <w:rStyle w:val="af"/>
            <w:noProof/>
          </w:rPr>
          <w:t>工具变量模型</w:t>
        </w:r>
        <w:r>
          <w:rPr>
            <w:noProof/>
            <w:webHidden/>
          </w:rPr>
          <w:tab/>
        </w:r>
        <w:r>
          <w:rPr>
            <w:noProof/>
            <w:webHidden/>
          </w:rPr>
          <w:fldChar w:fldCharType="begin"/>
        </w:r>
        <w:r>
          <w:rPr>
            <w:noProof/>
            <w:webHidden/>
          </w:rPr>
          <w:instrText xml:space="preserve"> PAGEREF _TocAuto0034 \h </w:instrText>
        </w:r>
        <w:r>
          <w:rPr>
            <w:noProof/>
            <w:webHidden/>
          </w:rPr>
          <w:fldChar w:fldCharType="separate"/>
        </w:r>
        <w:r>
          <w:rPr>
            <w:noProof/>
            <w:webHidden/>
          </w:rPr>
          <w:t>1</w:t>
        </w:r>
        <w:r>
          <w:rPr>
            <w:noProof/>
            <w:webHidden/>
          </w:rPr>
          <w:fldChar w:fldCharType="end"/>
        </w:r>
      </w:hyperlink>
    </w:p>
    <w:p>
      <w:pPr>
        <w:pStyle w:val="TOC3"/>
      </w:pPr>
      <w:hyperlink w:anchor="_TocAuto0035" w:history="1">
        <w:r>
          <w:rPr>
            <w:rStyle w:val="af"/>
            <w:noProof/>
          </w:rPr>
          <w:t>3.4.4</w:t>
        </w:r>
        <w:r>
          <w:rPr>
            <w:rStyle w:val="af"/>
            <w:noProof/>
          </w:rPr>
          <w:t xml:space="preserve"> </w:t>
        </w:r>
        <w:r>
          <w:rPr>
            <w:rStyle w:val="af"/>
            <w:noProof/>
          </w:rPr>
          <w:t>基于管理层权力的机制检验</w:t>
        </w:r>
        <w:r>
          <w:rPr>
            <w:noProof/>
            <w:webHidden/>
          </w:rPr>
          <w:tab/>
        </w:r>
        <w:r>
          <w:rPr>
            <w:noProof/>
            <w:webHidden/>
          </w:rPr>
          <w:fldChar w:fldCharType="begin"/>
        </w:r>
        <w:r>
          <w:rPr>
            <w:noProof/>
            <w:webHidden/>
          </w:rPr>
          <w:instrText xml:space="preserve"> PAGEREF _TocAuto0035 \h </w:instrText>
        </w:r>
        <w:r>
          <w:rPr>
            <w:noProof/>
            <w:webHidden/>
          </w:rPr>
          <w:fldChar w:fldCharType="separate"/>
        </w:r>
        <w:r>
          <w:rPr>
            <w:noProof/>
            <w:webHidden/>
          </w:rPr>
          <w:t>1</w:t>
        </w:r>
        <w:r>
          <w:rPr>
            <w:noProof/>
            <w:webHidden/>
          </w:rPr>
          <w:fldChar w:fldCharType="end"/>
        </w:r>
      </w:hyperlink>
    </w:p>
    <w:p>
      <w:pPr>
        <w:pStyle w:val="TOC2"/>
      </w:pPr>
      <w:hyperlink w:anchor="_TocAuto0036"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_TocAuto0036 \h </w:instrText>
        </w:r>
        <w:r>
          <w:rPr>
            <w:noProof/>
            <w:webHidden/>
          </w:rPr>
          <w:fldChar w:fldCharType="separate"/>
        </w:r>
        <w:r>
          <w:rPr>
            <w:noProof/>
            <w:webHidden/>
          </w:rPr>
          <w:t>1</w:t>
        </w:r>
        <w:r>
          <w:rPr>
            <w:noProof/>
            <w:webHidden/>
          </w:rPr>
          <w:fldChar w:fldCharType="end"/>
        </w:r>
      </w:hyperlink>
    </w:p>
    <w:p>
      <w:pPr>
        <w:pStyle w:val="TOC3"/>
      </w:pPr>
      <w:hyperlink w:anchor="_TocAuto0037" w:history="1">
        <w:r>
          <w:rPr>
            <w:rStyle w:val="af"/>
            <w:noProof/>
          </w:rPr>
          <w:t>3.5.1</w:t>
        </w:r>
        <w:r>
          <w:rPr>
            <w:rStyle w:val="af"/>
            <w:noProof/>
          </w:rPr>
          <w:t xml:space="preserve"> </w:t>
        </w:r>
        <w:r>
          <w:rPr>
            <w:rStyle w:val="af"/>
            <w:noProof/>
          </w:rPr>
          <w:t>数据划分、预处理与评价指标</w:t>
        </w:r>
        <w:r>
          <w:rPr>
            <w:noProof/>
            <w:webHidden/>
          </w:rPr>
          <w:tab/>
        </w:r>
        <w:r>
          <w:rPr>
            <w:noProof/>
            <w:webHidden/>
          </w:rPr>
          <w:fldChar w:fldCharType="begin"/>
        </w:r>
        <w:r>
          <w:rPr>
            <w:noProof/>
            <w:webHidden/>
          </w:rPr>
          <w:instrText xml:space="preserve"> PAGEREF _TocAuto0037 \h </w:instrText>
        </w:r>
        <w:r>
          <w:rPr>
            <w:noProof/>
            <w:webHidden/>
          </w:rPr>
          <w:fldChar w:fldCharType="separate"/>
        </w:r>
        <w:r>
          <w:rPr>
            <w:noProof/>
            <w:webHidden/>
          </w:rPr>
          <w:t>1</w:t>
        </w:r>
        <w:r>
          <w:rPr>
            <w:noProof/>
            <w:webHidden/>
          </w:rPr>
          <w:fldChar w:fldCharType="end"/>
        </w:r>
      </w:hyperlink>
    </w:p>
    <w:p>
      <w:pPr>
        <w:pStyle w:val="TOC3"/>
      </w:pPr>
      <w:hyperlink w:anchor="_TocAuto0038" w:history="1">
        <w:r>
          <w:rPr>
            <w:rStyle w:val="af"/>
            <w:noProof/>
          </w:rPr>
          <w:t>3.5.2</w:t>
        </w:r>
        <w:r>
          <w:rPr>
            <w:rStyle w:val="af"/>
            <w:noProof/>
          </w:rPr>
          <w:t xml:space="preserve"> </w:t>
        </w:r>
        <w:r>
          <w:rPr>
            <w:rStyle w:val="af"/>
            <w:noProof/>
          </w:rPr>
          <w:t>随机森林方法</w:t>
        </w:r>
        <w:r>
          <w:rPr>
            <w:noProof/>
            <w:webHidden/>
          </w:rPr>
          <w:tab/>
        </w:r>
        <w:r>
          <w:rPr>
            <w:noProof/>
            <w:webHidden/>
          </w:rPr>
          <w:fldChar w:fldCharType="begin"/>
        </w:r>
        <w:r>
          <w:rPr>
            <w:noProof/>
            <w:webHidden/>
          </w:rPr>
          <w:instrText xml:space="preserve"> PAGEREF _TocAuto0038 \h </w:instrText>
        </w:r>
        <w:r>
          <w:rPr>
            <w:noProof/>
            <w:webHidden/>
          </w:rPr>
          <w:fldChar w:fldCharType="separate"/>
        </w:r>
        <w:r>
          <w:rPr>
            <w:noProof/>
            <w:webHidden/>
          </w:rPr>
          <w:t>1</w:t>
        </w:r>
        <w:r>
          <w:rPr>
            <w:noProof/>
            <w:webHidden/>
          </w:rPr>
          <w:fldChar w:fldCharType="end"/>
        </w:r>
      </w:hyperlink>
    </w:p>
    <w:p>
      <w:pPr>
        <w:pStyle w:val="TOC3"/>
      </w:pPr>
      <w:hyperlink w:anchor="_TocAuto0039" w:history="1">
        <w:r>
          <w:rPr>
            <w:rStyle w:val="af"/>
            <w:noProof/>
          </w:rPr>
          <w:t>3.5.3</w:t>
        </w:r>
        <w:r>
          <w:rPr>
            <w:rStyle w:val="af"/>
            <w:noProof/>
          </w:rPr>
          <w:t xml:space="preserve"> </w:t>
        </w:r>
        <w:r>
          <w:rPr>
            <w:rStyle w:val="af"/>
            <w:noProof/>
          </w:rPr>
          <w:t>Lasso回归方法</w:t>
        </w:r>
        <w:r>
          <w:rPr>
            <w:noProof/>
            <w:webHidden/>
          </w:rPr>
          <w:tab/>
        </w:r>
        <w:r>
          <w:rPr>
            <w:noProof/>
            <w:webHidden/>
          </w:rPr>
          <w:fldChar w:fldCharType="begin"/>
        </w:r>
        <w:r>
          <w:rPr>
            <w:noProof/>
            <w:webHidden/>
          </w:rPr>
          <w:instrText xml:space="preserve"> PAGEREF _TocAuto0039 \h </w:instrText>
        </w:r>
        <w:r>
          <w:rPr>
            <w:noProof/>
            <w:webHidden/>
          </w:rPr>
          <w:fldChar w:fldCharType="separate"/>
        </w:r>
        <w:r>
          <w:rPr>
            <w:noProof/>
            <w:webHidden/>
          </w:rPr>
          <w:t>1</w:t>
        </w:r>
        <w:r>
          <w:rPr>
            <w:noProof/>
            <w:webHidden/>
          </w:rPr>
          <w:fldChar w:fldCharType="end"/>
        </w:r>
      </w:hyperlink>
    </w:p>
    <w:p>
      <w:pPr>
        <w:pStyle w:val="TOC3"/>
      </w:pPr>
      <w:hyperlink w:anchor="_TocAuto0040" w:history="1">
        <w:r>
          <w:rPr>
            <w:rStyle w:val="af"/>
            <w:noProof/>
          </w:rPr>
          <w:t>3.5.4</w:t>
        </w:r>
        <w:r>
          <w:rPr>
            <w:rStyle w:val="af"/>
            <w:noProof/>
          </w:rPr>
          <w:t xml:space="preserve"> </w:t>
        </w:r>
        <w:r>
          <w:rPr>
            <w:rStyle w:val="af"/>
            <w:noProof/>
          </w:rPr>
          <w:t>XGBoost方法</w:t>
        </w:r>
        <w:r>
          <w:rPr>
            <w:noProof/>
            <w:webHidden/>
          </w:rPr>
          <w:tab/>
        </w:r>
        <w:r>
          <w:rPr>
            <w:noProof/>
            <w:webHidden/>
          </w:rPr>
          <w:fldChar w:fldCharType="begin"/>
        </w:r>
        <w:r>
          <w:rPr>
            <w:noProof/>
            <w:webHidden/>
          </w:rPr>
          <w:instrText xml:space="preserve"> PAGEREF _TocAuto0040 \h </w:instrText>
        </w:r>
        <w:r>
          <w:rPr>
            <w:noProof/>
            <w:webHidden/>
          </w:rPr>
          <w:fldChar w:fldCharType="separate"/>
        </w:r>
        <w:r>
          <w:rPr>
            <w:noProof/>
            <w:webHidden/>
          </w:rPr>
          <w:t>1</w:t>
        </w:r>
        <w:r>
          <w:rPr>
            <w:noProof/>
            <w:webHidden/>
          </w:rPr>
          <w:fldChar w:fldCharType="end"/>
        </w:r>
      </w:hyperlink>
    </w:p>
    <w:p>
      <w:pPr>
        <w:pStyle w:val="TOC1"/>
      </w:pPr>
      <w:hyperlink w:anchor="_TocAuto0041"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_TocAuto0041 \h </w:instrText>
        </w:r>
        <w:r>
          <w:rPr>
            <w:noProof/>
            <w:webHidden/>
          </w:rPr>
          <w:fldChar w:fldCharType="separate"/>
        </w:r>
        <w:r>
          <w:rPr>
            <w:noProof/>
            <w:webHidden/>
          </w:rPr>
          <w:t>1</w:t>
        </w:r>
        <w:r>
          <w:rPr>
            <w:noProof/>
            <w:webHidden/>
          </w:rPr>
          <w:fldChar w:fldCharType="end"/>
        </w:r>
      </w:hyperlink>
    </w:p>
    <w:p>
      <w:pPr>
        <w:pStyle w:val="TOC2"/>
      </w:pPr>
      <w:hyperlink w:anchor="_TocAuto0042"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_TocAuto0042 \h </w:instrText>
        </w:r>
        <w:r>
          <w:rPr>
            <w:noProof/>
            <w:webHidden/>
          </w:rPr>
          <w:fldChar w:fldCharType="separate"/>
        </w:r>
        <w:r>
          <w:rPr>
            <w:noProof/>
            <w:webHidden/>
          </w:rPr>
          <w:t>1</w:t>
        </w:r>
        <w:r>
          <w:rPr>
            <w:noProof/>
            <w:webHidden/>
          </w:rPr>
          <w:fldChar w:fldCharType="end"/>
        </w:r>
      </w:hyperlink>
    </w:p>
    <w:p>
      <w:pPr>
        <w:pStyle w:val="TOC2"/>
      </w:pPr>
      <w:hyperlink w:anchor="_TocAuto0043"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_TocAuto0043 \h </w:instrText>
        </w:r>
        <w:r>
          <w:rPr>
            <w:noProof/>
            <w:webHidden/>
          </w:rPr>
          <w:fldChar w:fldCharType="separate"/>
        </w:r>
        <w:r>
          <w:rPr>
            <w:noProof/>
            <w:webHidden/>
          </w:rPr>
          <w:t>1</w:t>
        </w:r>
        <w:r>
          <w:rPr>
            <w:noProof/>
            <w:webHidden/>
          </w:rPr>
          <w:fldChar w:fldCharType="end"/>
        </w:r>
      </w:hyperlink>
    </w:p>
    <w:p>
      <w:pPr>
        <w:pStyle w:val="TOC2"/>
      </w:pPr>
      <w:hyperlink w:anchor="_TocAuto0044"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_TocAuto0044 \h </w:instrText>
        </w:r>
        <w:r>
          <w:rPr>
            <w:noProof/>
            <w:webHidden/>
          </w:rPr>
          <w:fldChar w:fldCharType="separate"/>
        </w:r>
        <w:r>
          <w:rPr>
            <w:noProof/>
            <w:webHidden/>
          </w:rPr>
          <w:t>1</w:t>
        </w:r>
        <w:r>
          <w:rPr>
            <w:noProof/>
            <w:webHidden/>
          </w:rPr>
          <w:fldChar w:fldCharType="end"/>
        </w:r>
      </w:hyperlink>
    </w:p>
    <w:p>
      <w:pPr>
        <w:pStyle w:val="TOC3"/>
      </w:pPr>
      <w:hyperlink w:anchor="_TocAuto0045" w:history="1">
        <w:r>
          <w:rPr>
            <w:rStyle w:val="af"/>
            <w:noProof/>
          </w:rPr>
          <w:t>4.3.1</w:t>
        </w:r>
        <w:r>
          <w:rPr>
            <w:rStyle w:val="af"/>
            <w:noProof/>
          </w:rPr>
          <w:t xml:space="preserve"> </w:t>
        </w:r>
        <w:r>
          <w:rPr>
            <w:rStyle w:val="af"/>
            <w:noProof/>
          </w:rPr>
          <w:t>期望薪酬模型估计</w:t>
        </w:r>
        <w:r>
          <w:rPr>
            <w:noProof/>
            <w:webHidden/>
          </w:rPr>
          <w:tab/>
        </w:r>
        <w:r>
          <w:rPr>
            <w:noProof/>
            <w:webHidden/>
          </w:rPr>
          <w:fldChar w:fldCharType="begin"/>
        </w:r>
        <w:r>
          <w:rPr>
            <w:noProof/>
            <w:webHidden/>
          </w:rPr>
          <w:instrText xml:space="preserve"> PAGEREF _TocAuto0045 \h </w:instrText>
        </w:r>
        <w:r>
          <w:rPr>
            <w:noProof/>
            <w:webHidden/>
          </w:rPr>
          <w:fldChar w:fldCharType="separate"/>
        </w:r>
        <w:r>
          <w:rPr>
            <w:noProof/>
            <w:webHidden/>
          </w:rPr>
          <w:t>1</w:t>
        </w:r>
        <w:r>
          <w:rPr>
            <w:noProof/>
            <w:webHidden/>
          </w:rPr>
          <w:fldChar w:fldCharType="end"/>
        </w:r>
      </w:hyperlink>
    </w:p>
    <w:p>
      <w:pPr>
        <w:pStyle w:val="TOC3"/>
      </w:pPr>
      <w:hyperlink w:anchor="_TocAuto0046" w:history="1">
        <w:r>
          <w:rPr>
            <w:rStyle w:val="af"/>
            <w:noProof/>
          </w:rPr>
          <w:t>4.3.2</w:t>
        </w:r>
        <w:r>
          <w:rPr>
            <w:rStyle w:val="af"/>
            <w:noProof/>
          </w:rPr>
          <w:t xml:space="preserve"> </w:t>
        </w:r>
        <w:r>
          <w:rPr>
            <w:rStyle w:val="af"/>
            <w:noProof/>
          </w:rPr>
          <w:t>基准回归结果</w:t>
        </w:r>
        <w:r>
          <w:rPr>
            <w:noProof/>
            <w:webHidden/>
          </w:rPr>
          <w:tab/>
        </w:r>
        <w:r>
          <w:rPr>
            <w:noProof/>
            <w:webHidden/>
          </w:rPr>
          <w:fldChar w:fldCharType="begin"/>
        </w:r>
        <w:r>
          <w:rPr>
            <w:noProof/>
            <w:webHidden/>
          </w:rPr>
          <w:instrText xml:space="preserve"> PAGEREF _TocAuto0046 \h </w:instrText>
        </w:r>
        <w:r>
          <w:rPr>
            <w:noProof/>
            <w:webHidden/>
          </w:rPr>
          <w:fldChar w:fldCharType="separate"/>
        </w:r>
        <w:r>
          <w:rPr>
            <w:noProof/>
            <w:webHidden/>
          </w:rPr>
          <w:t>1</w:t>
        </w:r>
        <w:r>
          <w:rPr>
            <w:noProof/>
            <w:webHidden/>
          </w:rPr>
          <w:fldChar w:fldCharType="end"/>
        </w:r>
      </w:hyperlink>
    </w:p>
    <w:p>
      <w:pPr>
        <w:pStyle w:val="TOC2"/>
      </w:pPr>
      <w:hyperlink w:anchor="_TocAuto0047"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_TocAuto0047 \h </w:instrText>
        </w:r>
        <w:r>
          <w:rPr>
            <w:noProof/>
            <w:webHidden/>
          </w:rPr>
          <w:fldChar w:fldCharType="separate"/>
        </w:r>
        <w:r>
          <w:rPr>
            <w:noProof/>
            <w:webHidden/>
          </w:rPr>
          <w:t>1</w:t>
        </w:r>
        <w:r>
          <w:rPr>
            <w:noProof/>
            <w:webHidden/>
          </w:rPr>
          <w:fldChar w:fldCharType="end"/>
        </w:r>
      </w:hyperlink>
    </w:p>
    <w:p>
      <w:pPr>
        <w:pStyle w:val="TOC3"/>
      </w:pPr>
      <w:hyperlink w:anchor="_TocAuto0048" w:history="1">
        <w:r>
          <w:rPr>
            <w:rStyle w:val="af"/>
            <w:noProof/>
          </w:rPr>
          <w:t>4.4.1</w:t>
        </w:r>
        <w:r>
          <w:rPr>
            <w:rStyle w:val="af"/>
            <w:noProof/>
          </w:rPr>
          <w:t xml:space="preserve"> </w:t>
        </w:r>
        <w:r>
          <w:rPr>
            <w:rStyle w:val="af"/>
            <w:noProof/>
          </w:rPr>
          <w:t>内生性来源与识别局限</w:t>
        </w:r>
        <w:r>
          <w:rPr>
            <w:noProof/>
            <w:webHidden/>
          </w:rPr>
          <w:tab/>
        </w:r>
        <w:r>
          <w:rPr>
            <w:noProof/>
            <w:webHidden/>
          </w:rPr>
          <w:fldChar w:fldCharType="begin"/>
        </w:r>
        <w:r>
          <w:rPr>
            <w:noProof/>
            <w:webHidden/>
          </w:rPr>
          <w:instrText xml:space="preserve"> PAGEREF _TocAuto0048 \h </w:instrText>
        </w:r>
        <w:r>
          <w:rPr>
            <w:noProof/>
            <w:webHidden/>
          </w:rPr>
          <w:fldChar w:fldCharType="separate"/>
        </w:r>
        <w:r>
          <w:rPr>
            <w:noProof/>
            <w:webHidden/>
          </w:rPr>
          <w:t>1</w:t>
        </w:r>
        <w:r>
          <w:rPr>
            <w:noProof/>
            <w:webHidden/>
          </w:rPr>
          <w:fldChar w:fldCharType="end"/>
        </w:r>
      </w:hyperlink>
    </w:p>
    <w:p>
      <w:pPr>
        <w:pStyle w:val="TOC3"/>
      </w:pPr>
      <w:hyperlink w:anchor="_TocAuto0049" w:history="1">
        <w:r>
          <w:rPr>
            <w:rStyle w:val="af"/>
            <w:noProof/>
          </w:rPr>
          <w:t>4.4.2</w:t>
        </w:r>
        <w:r>
          <w:rPr>
            <w:rStyle w:val="af"/>
            <w:noProof/>
          </w:rPr>
          <w:t xml:space="preserve"> </w:t>
        </w:r>
        <w:r>
          <w:rPr>
            <w:rStyle w:val="af"/>
            <w:noProof/>
          </w:rPr>
          <w:t>工具变量检验</w:t>
        </w:r>
        <w:r>
          <w:rPr>
            <w:noProof/>
            <w:webHidden/>
          </w:rPr>
          <w:tab/>
        </w:r>
        <w:r>
          <w:rPr>
            <w:noProof/>
            <w:webHidden/>
          </w:rPr>
          <w:fldChar w:fldCharType="begin"/>
        </w:r>
        <w:r>
          <w:rPr>
            <w:noProof/>
            <w:webHidden/>
          </w:rPr>
          <w:instrText xml:space="preserve"> PAGEREF _TocAuto0049 \h </w:instrText>
        </w:r>
        <w:r>
          <w:rPr>
            <w:noProof/>
            <w:webHidden/>
          </w:rPr>
          <w:fldChar w:fldCharType="separate"/>
        </w:r>
        <w:r>
          <w:rPr>
            <w:noProof/>
            <w:webHidden/>
          </w:rPr>
          <w:t>1</w:t>
        </w:r>
        <w:r>
          <w:rPr>
            <w:noProof/>
            <w:webHidden/>
          </w:rPr>
          <w:fldChar w:fldCharType="end"/>
        </w:r>
      </w:hyperlink>
    </w:p>
    <w:p>
      <w:pPr>
        <w:pStyle w:val="TOC3"/>
      </w:pPr>
      <w:hyperlink w:anchor="_TocAuto0050" w:history="1">
        <w:r>
          <w:rPr>
            <w:rStyle w:val="af"/>
            <w:noProof/>
          </w:rPr>
          <w:t>4.4.3</w:t>
        </w:r>
        <w:r>
          <w:rPr>
            <w:rStyle w:val="af"/>
            <w:noProof/>
          </w:rPr>
          <w:t xml:space="preserve"> </w:t>
        </w:r>
        <w:r>
          <w:rPr>
            <w:rStyle w:val="af"/>
            <w:noProof/>
          </w:rPr>
          <w:t>安慰剂检验与事件研究补充</w:t>
        </w:r>
        <w:r>
          <w:rPr>
            <w:noProof/>
            <w:webHidden/>
          </w:rPr>
          <w:tab/>
        </w:r>
        <w:r>
          <w:rPr>
            <w:noProof/>
            <w:webHidden/>
          </w:rPr>
          <w:fldChar w:fldCharType="begin"/>
        </w:r>
        <w:r>
          <w:rPr>
            <w:noProof/>
            <w:webHidden/>
          </w:rPr>
          <w:instrText xml:space="preserve"> PAGEREF _TocAuto0050 \h </w:instrText>
        </w:r>
        <w:r>
          <w:rPr>
            <w:noProof/>
            <w:webHidden/>
          </w:rPr>
          <w:fldChar w:fldCharType="separate"/>
        </w:r>
        <w:r>
          <w:rPr>
            <w:noProof/>
            <w:webHidden/>
          </w:rPr>
          <w:t>1</w:t>
        </w:r>
        <w:r>
          <w:rPr>
            <w:noProof/>
            <w:webHidden/>
          </w:rPr>
          <w:fldChar w:fldCharType="end"/>
        </w:r>
      </w:hyperlink>
    </w:p>
    <w:p>
      <w:pPr>
        <w:pStyle w:val="TOC2"/>
      </w:pPr>
      <w:hyperlink w:anchor="_TocAuto005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_TocAuto0051 \h </w:instrText>
        </w:r>
        <w:r>
          <w:rPr>
            <w:noProof/>
            <w:webHidden/>
          </w:rPr>
          <w:fldChar w:fldCharType="separate"/>
        </w:r>
        <w:r>
          <w:rPr>
            <w:noProof/>
            <w:webHidden/>
          </w:rPr>
          <w:t>1</w:t>
        </w:r>
        <w:r>
          <w:rPr>
            <w:noProof/>
            <w:webHidden/>
          </w:rPr>
          <w:fldChar w:fldCharType="end"/>
        </w:r>
      </w:hyperlink>
    </w:p>
    <w:p>
      <w:pPr>
        <w:pStyle w:val="TOC3"/>
      </w:pPr>
      <w:hyperlink w:anchor="_TocAuto0052" w:history="1">
        <w:r>
          <w:rPr>
            <w:rStyle w:val="af"/>
            <w:noProof/>
          </w:rPr>
          <w:t>4.5.1</w:t>
        </w:r>
        <w:r>
          <w:rPr>
            <w:rStyle w:val="af"/>
            <w:noProof/>
          </w:rPr>
          <w:t xml:space="preserve"> </w:t>
        </w:r>
        <w:r>
          <w:rPr>
            <w:rStyle w:val="af"/>
            <w:noProof/>
          </w:rPr>
          <w:t>替换被解释变量</w:t>
        </w:r>
        <w:r>
          <w:rPr>
            <w:noProof/>
            <w:webHidden/>
          </w:rPr>
          <w:tab/>
        </w:r>
        <w:r>
          <w:rPr>
            <w:noProof/>
            <w:webHidden/>
          </w:rPr>
          <w:fldChar w:fldCharType="begin"/>
        </w:r>
        <w:r>
          <w:rPr>
            <w:noProof/>
            <w:webHidden/>
          </w:rPr>
          <w:instrText xml:space="preserve"> PAGEREF _TocAuto0052 \h </w:instrText>
        </w:r>
        <w:r>
          <w:rPr>
            <w:noProof/>
            <w:webHidden/>
          </w:rPr>
          <w:fldChar w:fldCharType="separate"/>
        </w:r>
        <w:r>
          <w:rPr>
            <w:noProof/>
            <w:webHidden/>
          </w:rPr>
          <w:t>1</w:t>
        </w:r>
        <w:r>
          <w:rPr>
            <w:noProof/>
            <w:webHidden/>
          </w:rPr>
          <w:fldChar w:fldCharType="end"/>
        </w:r>
      </w:hyperlink>
    </w:p>
    <w:p>
      <w:pPr>
        <w:pStyle w:val="TOC3"/>
      </w:pPr>
      <w:hyperlink w:anchor="_TocAuto0053" w:history="1">
        <w:r>
          <w:rPr>
            <w:rStyle w:val="af"/>
            <w:noProof/>
          </w:rPr>
          <w:t>4.5.2</w:t>
        </w:r>
        <w:r>
          <w:rPr>
            <w:rStyle w:val="af"/>
            <w:noProof/>
          </w:rPr>
          <w:t xml:space="preserve"> </w:t>
        </w:r>
        <w:r>
          <w:rPr>
            <w:rStyle w:val="af"/>
            <w:noProof/>
          </w:rPr>
          <w:t>缩小样本期</w:t>
        </w:r>
        <w:r>
          <w:rPr>
            <w:noProof/>
            <w:webHidden/>
          </w:rPr>
          <w:tab/>
        </w:r>
        <w:r>
          <w:rPr>
            <w:noProof/>
            <w:webHidden/>
          </w:rPr>
          <w:fldChar w:fldCharType="begin"/>
        </w:r>
        <w:r>
          <w:rPr>
            <w:noProof/>
            <w:webHidden/>
          </w:rPr>
          <w:instrText xml:space="preserve"> PAGEREF _TocAuto0053 \h </w:instrText>
        </w:r>
        <w:r>
          <w:rPr>
            <w:noProof/>
            <w:webHidden/>
          </w:rPr>
          <w:fldChar w:fldCharType="separate"/>
        </w:r>
        <w:r>
          <w:rPr>
            <w:noProof/>
            <w:webHidden/>
          </w:rPr>
          <w:t>1</w:t>
        </w:r>
        <w:r>
          <w:rPr>
            <w:noProof/>
            <w:webHidden/>
          </w:rPr>
          <w:fldChar w:fldCharType="end"/>
        </w:r>
      </w:hyperlink>
    </w:p>
    <w:p>
      <w:pPr>
        <w:pStyle w:val="TOC3"/>
      </w:pPr>
      <w:hyperlink w:anchor="_TocAuto0054" w:history="1">
        <w:r>
          <w:rPr>
            <w:rStyle w:val="af"/>
            <w:noProof/>
          </w:rPr>
          <w:t>4.5.3</w:t>
        </w:r>
        <w:r>
          <w:rPr>
            <w:rStyle w:val="af"/>
            <w:noProof/>
          </w:rPr>
          <w:t xml:space="preserve"> </w:t>
        </w:r>
        <w:r>
          <w:rPr>
            <w:rStyle w:val="af"/>
            <w:noProof/>
          </w:rPr>
          <w:t>仅保留制造业样本</w:t>
        </w:r>
        <w:r>
          <w:rPr>
            <w:noProof/>
            <w:webHidden/>
          </w:rPr>
          <w:tab/>
        </w:r>
        <w:r>
          <w:rPr>
            <w:noProof/>
            <w:webHidden/>
          </w:rPr>
          <w:fldChar w:fldCharType="begin"/>
        </w:r>
        <w:r>
          <w:rPr>
            <w:noProof/>
            <w:webHidden/>
          </w:rPr>
          <w:instrText xml:space="preserve"> PAGEREF _TocAuto0054 \h </w:instrText>
        </w:r>
        <w:r>
          <w:rPr>
            <w:noProof/>
            <w:webHidden/>
          </w:rPr>
          <w:fldChar w:fldCharType="separate"/>
        </w:r>
        <w:r>
          <w:rPr>
            <w:noProof/>
            <w:webHidden/>
          </w:rPr>
          <w:t>1</w:t>
        </w:r>
        <w:r>
          <w:rPr>
            <w:noProof/>
            <w:webHidden/>
          </w:rPr>
          <w:fldChar w:fldCharType="end"/>
        </w:r>
      </w:hyperlink>
    </w:p>
    <w:p>
      <w:pPr>
        <w:pStyle w:val="TOC3"/>
      </w:pPr>
      <w:hyperlink w:anchor="_TocAuto0055" w:history="1">
        <w:r>
          <w:rPr>
            <w:rStyle w:val="af"/>
            <w:noProof/>
          </w:rPr>
          <w:t>4.5.4</w:t>
        </w:r>
        <w:r>
          <w:rPr>
            <w:rStyle w:val="af"/>
            <w:noProof/>
          </w:rPr>
          <w:t xml:space="preserve"> </w:t>
        </w:r>
        <w:r>
          <w:rPr>
            <w:rStyle w:val="af"/>
            <w:noProof/>
          </w:rPr>
          <w:t>替换解释变量度量方式</w:t>
        </w:r>
        <w:r>
          <w:rPr>
            <w:noProof/>
            <w:webHidden/>
          </w:rPr>
          <w:tab/>
        </w:r>
        <w:r>
          <w:rPr>
            <w:noProof/>
            <w:webHidden/>
          </w:rPr>
          <w:fldChar w:fldCharType="begin"/>
        </w:r>
        <w:r>
          <w:rPr>
            <w:noProof/>
            <w:webHidden/>
          </w:rPr>
          <w:instrText xml:space="preserve"> PAGEREF _TocAuto0055 \h </w:instrText>
        </w:r>
        <w:r>
          <w:rPr>
            <w:noProof/>
            <w:webHidden/>
          </w:rPr>
          <w:fldChar w:fldCharType="separate"/>
        </w:r>
        <w:r>
          <w:rPr>
            <w:noProof/>
            <w:webHidden/>
          </w:rPr>
          <w:t>1</w:t>
        </w:r>
        <w:r>
          <w:rPr>
            <w:noProof/>
            <w:webHidden/>
          </w:rPr>
          <w:fldChar w:fldCharType="end"/>
        </w:r>
      </w:hyperlink>
    </w:p>
    <w:p>
      <w:pPr>
        <w:pStyle w:val="TOC2"/>
      </w:pPr>
      <w:hyperlink w:anchor="_TocAuto0056" w:history="1">
        <w:r>
          <w:rPr>
            <w:rStyle w:val="af"/>
            <w:noProof/>
          </w:rPr>
          <w:t>4.6</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_TocAuto0056 \h </w:instrText>
        </w:r>
        <w:r>
          <w:rPr>
            <w:noProof/>
            <w:webHidden/>
          </w:rPr>
          <w:fldChar w:fldCharType="separate"/>
        </w:r>
        <w:r>
          <w:rPr>
            <w:noProof/>
            <w:webHidden/>
          </w:rPr>
          <w:t>1</w:t>
        </w:r>
        <w:r>
          <w:rPr>
            <w:noProof/>
            <w:webHidden/>
          </w:rPr>
          <w:fldChar w:fldCharType="end"/>
        </w:r>
      </w:hyperlink>
    </w:p>
    <w:p>
      <w:pPr>
        <w:pStyle w:val="TOC3"/>
      </w:pPr>
      <w:hyperlink w:anchor="_TocAuto0057" w:history="1">
        <w:r>
          <w:rPr>
            <w:rStyle w:val="af"/>
            <w:noProof/>
          </w:rPr>
          <w:t>4.6.1</w:t>
        </w:r>
        <w:r>
          <w:rPr>
            <w:rStyle w:val="af"/>
            <w:noProof/>
          </w:rPr>
          <w:t xml:space="preserve"> </w:t>
        </w:r>
        <w:r>
          <w:rPr>
            <w:rStyle w:val="af"/>
            <w:noProof/>
          </w:rPr>
          <w:t>中介变量构成与测度说明</w:t>
        </w:r>
        <w:r>
          <w:rPr>
            <w:noProof/>
            <w:webHidden/>
          </w:rPr>
          <w:tab/>
        </w:r>
        <w:r>
          <w:rPr>
            <w:noProof/>
            <w:webHidden/>
          </w:rPr>
          <w:fldChar w:fldCharType="begin"/>
        </w:r>
        <w:r>
          <w:rPr>
            <w:noProof/>
            <w:webHidden/>
          </w:rPr>
          <w:instrText xml:space="preserve"> PAGEREF _TocAuto0057 \h </w:instrText>
        </w:r>
        <w:r>
          <w:rPr>
            <w:noProof/>
            <w:webHidden/>
          </w:rPr>
          <w:fldChar w:fldCharType="separate"/>
        </w:r>
        <w:r>
          <w:rPr>
            <w:noProof/>
            <w:webHidden/>
          </w:rPr>
          <w:t>1</w:t>
        </w:r>
        <w:r>
          <w:rPr>
            <w:noProof/>
            <w:webHidden/>
          </w:rPr>
          <w:fldChar w:fldCharType="end"/>
        </w:r>
      </w:hyperlink>
    </w:p>
    <w:p>
      <w:pPr>
        <w:pStyle w:val="TOC3"/>
      </w:pPr>
      <w:hyperlink w:anchor="_TocAuto0058" w:history="1">
        <w:r>
          <w:rPr>
            <w:rStyle w:val="af"/>
            <w:noProof/>
          </w:rPr>
          <w:t>4.6.2</w:t>
        </w:r>
        <w:r>
          <w:rPr>
            <w:rStyle w:val="af"/>
            <w:noProof/>
          </w:rPr>
          <w:t xml:space="preserve"> </w:t>
        </w:r>
        <w:r>
          <w:rPr>
            <w:rStyle w:val="af"/>
            <w:noProof/>
          </w:rPr>
          <w:t>中介效应检验结果</w:t>
        </w:r>
        <w:r>
          <w:rPr>
            <w:noProof/>
            <w:webHidden/>
          </w:rPr>
          <w:tab/>
        </w:r>
        <w:r>
          <w:rPr>
            <w:noProof/>
            <w:webHidden/>
          </w:rPr>
          <w:fldChar w:fldCharType="begin"/>
        </w:r>
        <w:r>
          <w:rPr>
            <w:noProof/>
            <w:webHidden/>
          </w:rPr>
          <w:instrText xml:space="preserve"> PAGEREF _TocAuto0058 \h </w:instrText>
        </w:r>
        <w:r>
          <w:rPr>
            <w:noProof/>
            <w:webHidden/>
          </w:rPr>
          <w:fldChar w:fldCharType="separate"/>
        </w:r>
        <w:r>
          <w:rPr>
            <w:noProof/>
            <w:webHidden/>
          </w:rPr>
          <w:t>1</w:t>
        </w:r>
        <w:r>
          <w:rPr>
            <w:noProof/>
            <w:webHidden/>
          </w:rPr>
          <w:fldChar w:fldCharType="end"/>
        </w:r>
      </w:hyperlink>
    </w:p>
    <w:p>
      <w:pPr>
        <w:pStyle w:val="TOC2"/>
      </w:pPr>
      <w:hyperlink w:anchor="_TocAuto0059" w:history="1">
        <w:r>
          <w:rPr>
            <w:rStyle w:val="af"/>
            <w:noProof/>
          </w:rPr>
          <w:t>4.7</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_TocAuto0059 \h </w:instrText>
        </w:r>
        <w:r>
          <w:rPr>
            <w:noProof/>
            <w:webHidden/>
          </w:rPr>
          <w:fldChar w:fldCharType="separate"/>
        </w:r>
        <w:r>
          <w:rPr>
            <w:noProof/>
            <w:webHidden/>
          </w:rPr>
          <w:t>1</w:t>
        </w:r>
        <w:r>
          <w:rPr>
            <w:noProof/>
            <w:webHidden/>
          </w:rPr>
          <w:fldChar w:fldCharType="end"/>
        </w:r>
      </w:hyperlink>
    </w:p>
    <w:p>
      <w:pPr>
        <w:pStyle w:val="TOC3"/>
      </w:pPr>
      <w:hyperlink w:anchor="_TocAuto0060" w:history="1">
        <w:r>
          <w:rPr>
            <w:rStyle w:val="af"/>
            <w:noProof/>
          </w:rPr>
          <w:t>4.7.1</w:t>
        </w:r>
        <w:r>
          <w:rPr>
            <w:rStyle w:val="af"/>
            <w:noProof/>
          </w:rPr>
          <w:t xml:space="preserve"> </w:t>
        </w:r>
        <w:r>
          <w:rPr>
            <w:rStyle w:val="af"/>
            <w:noProof/>
          </w:rPr>
          <w:t>产权性质差异</w:t>
        </w:r>
        <w:r>
          <w:rPr>
            <w:noProof/>
            <w:webHidden/>
          </w:rPr>
          <w:tab/>
        </w:r>
        <w:r>
          <w:rPr>
            <w:noProof/>
            <w:webHidden/>
          </w:rPr>
          <w:fldChar w:fldCharType="begin"/>
        </w:r>
        <w:r>
          <w:rPr>
            <w:noProof/>
            <w:webHidden/>
          </w:rPr>
          <w:instrText xml:space="preserve"> PAGEREF _TocAuto0060 \h </w:instrText>
        </w:r>
        <w:r>
          <w:rPr>
            <w:noProof/>
            <w:webHidden/>
          </w:rPr>
          <w:fldChar w:fldCharType="separate"/>
        </w:r>
        <w:r>
          <w:rPr>
            <w:noProof/>
            <w:webHidden/>
          </w:rPr>
          <w:t>1</w:t>
        </w:r>
        <w:r>
          <w:rPr>
            <w:noProof/>
            <w:webHidden/>
          </w:rPr>
          <w:fldChar w:fldCharType="end"/>
        </w:r>
      </w:hyperlink>
    </w:p>
    <w:p>
      <w:pPr>
        <w:pStyle w:val="TOC3"/>
      </w:pPr>
      <w:hyperlink w:anchor="_TocAuto0061" w:history="1">
        <w:r>
          <w:rPr>
            <w:rStyle w:val="af"/>
            <w:noProof/>
          </w:rPr>
          <w:t>4.7.2</w:t>
        </w:r>
        <w:r>
          <w:rPr>
            <w:rStyle w:val="af"/>
            <w:noProof/>
          </w:rPr>
          <w:t xml:space="preserve"> </w:t>
        </w:r>
        <w:r>
          <w:rPr>
            <w:rStyle w:val="af"/>
            <w:noProof/>
          </w:rPr>
          <w:t>行业管制强度差异</w:t>
        </w:r>
        <w:r>
          <w:rPr>
            <w:noProof/>
            <w:webHidden/>
          </w:rPr>
          <w:tab/>
        </w:r>
        <w:r>
          <w:rPr>
            <w:noProof/>
            <w:webHidden/>
          </w:rPr>
          <w:fldChar w:fldCharType="begin"/>
        </w:r>
        <w:r>
          <w:rPr>
            <w:noProof/>
            <w:webHidden/>
          </w:rPr>
          <w:instrText xml:space="preserve"> PAGEREF _TocAuto0061 \h </w:instrText>
        </w:r>
        <w:r>
          <w:rPr>
            <w:noProof/>
            <w:webHidden/>
          </w:rPr>
          <w:fldChar w:fldCharType="separate"/>
        </w:r>
        <w:r>
          <w:rPr>
            <w:noProof/>
            <w:webHidden/>
          </w:rPr>
          <w:t>1</w:t>
        </w:r>
        <w:r>
          <w:rPr>
            <w:noProof/>
            <w:webHidden/>
          </w:rPr>
          <w:fldChar w:fldCharType="end"/>
        </w:r>
      </w:hyperlink>
    </w:p>
    <w:p>
      <w:pPr>
        <w:pStyle w:val="TOC3"/>
      </w:pPr>
      <w:hyperlink w:anchor="_TocAuto0062" w:history="1">
        <w:r>
          <w:rPr>
            <w:rStyle w:val="af"/>
            <w:noProof/>
          </w:rPr>
          <w:t>4.7.3</w:t>
        </w:r>
        <w:r>
          <w:rPr>
            <w:rStyle w:val="af"/>
            <w:noProof/>
          </w:rPr>
          <w:t xml:space="preserve"> </w:t>
        </w:r>
        <w:r>
          <w:rPr>
            <w:rStyle w:val="af"/>
            <w:noProof/>
          </w:rPr>
          <w:t>央企与地方国企差异</w:t>
        </w:r>
        <w:r>
          <w:rPr>
            <w:noProof/>
            <w:webHidden/>
          </w:rPr>
          <w:tab/>
        </w:r>
        <w:r>
          <w:rPr>
            <w:noProof/>
            <w:webHidden/>
          </w:rPr>
          <w:fldChar w:fldCharType="begin"/>
        </w:r>
        <w:r>
          <w:rPr>
            <w:noProof/>
            <w:webHidden/>
          </w:rPr>
          <w:instrText xml:space="preserve"> PAGEREF _TocAuto0062 \h </w:instrText>
        </w:r>
        <w:r>
          <w:rPr>
            <w:noProof/>
            <w:webHidden/>
          </w:rPr>
          <w:fldChar w:fldCharType="separate"/>
        </w:r>
        <w:r>
          <w:rPr>
            <w:noProof/>
            <w:webHidden/>
          </w:rPr>
          <w:t>1</w:t>
        </w:r>
        <w:r>
          <w:rPr>
            <w:noProof/>
            <w:webHidden/>
          </w:rPr>
          <w:fldChar w:fldCharType="end"/>
        </w:r>
      </w:hyperlink>
    </w:p>
    <w:p>
      <w:pPr>
        <w:pStyle w:val="TOC2"/>
      </w:pPr>
      <w:hyperlink w:anchor="_TocAuto0063" w:history="1">
        <w:r>
          <w:rPr>
            <w:rStyle w:val="af"/>
            <w:noProof/>
          </w:rPr>
          <w:t>4.8</w:t>
        </w:r>
        <w:r>
          <w:rPr>
            <w:rStyle w:val="af"/>
            <w:noProof/>
          </w:rPr>
          <w:t xml:space="preserve"> </w:t>
        </w:r>
        <w:r>
          <w:rPr>
            <w:rStyle w:val="af"/>
            <w:noProof/>
          </w:rPr>
          <w:t>基于机器学习的稳健性检验</w:t>
        </w:r>
        <w:r>
          <w:rPr>
            <w:noProof/>
            <w:webHidden/>
          </w:rPr>
          <w:tab/>
        </w:r>
        <w:r>
          <w:rPr>
            <w:noProof/>
            <w:webHidden/>
          </w:rPr>
          <w:fldChar w:fldCharType="begin"/>
        </w:r>
        <w:r>
          <w:rPr>
            <w:noProof/>
            <w:webHidden/>
          </w:rPr>
          <w:instrText xml:space="preserve"> PAGEREF _TocAuto0063 \h </w:instrText>
        </w:r>
        <w:r>
          <w:rPr>
            <w:noProof/>
            <w:webHidden/>
          </w:rPr>
          <w:fldChar w:fldCharType="separate"/>
        </w:r>
        <w:r>
          <w:rPr>
            <w:noProof/>
            <w:webHidden/>
          </w:rPr>
          <w:t>1</w:t>
        </w:r>
        <w:r>
          <w:rPr>
            <w:noProof/>
            <w:webHidden/>
          </w:rPr>
          <w:fldChar w:fldCharType="end"/>
        </w:r>
      </w:hyperlink>
    </w:p>
    <w:p>
      <w:pPr>
        <w:pStyle w:val="TOC3"/>
      </w:pPr>
      <w:hyperlink w:anchor="_TocAuto0064" w:history="1">
        <w:r>
          <w:rPr>
            <w:rStyle w:val="af"/>
            <w:noProof/>
          </w:rPr>
          <w:t>4.8.1</w:t>
        </w:r>
        <w:r>
          <w:rPr>
            <w:rStyle w:val="af"/>
            <w:noProof/>
          </w:rPr>
          <w:t xml:space="preserve"> </w:t>
        </w:r>
        <w:r>
          <w:rPr>
            <w:rStyle w:val="af"/>
            <w:noProof/>
          </w:rPr>
          <w:t>随机森林特征重要性验证</w:t>
        </w:r>
        <w:r>
          <w:rPr>
            <w:noProof/>
            <w:webHidden/>
          </w:rPr>
          <w:tab/>
        </w:r>
        <w:r>
          <w:rPr>
            <w:noProof/>
            <w:webHidden/>
          </w:rPr>
          <w:fldChar w:fldCharType="begin"/>
        </w:r>
        <w:r>
          <w:rPr>
            <w:noProof/>
            <w:webHidden/>
          </w:rPr>
          <w:instrText xml:space="preserve"> PAGEREF _TocAuto0064 \h </w:instrText>
        </w:r>
        <w:r>
          <w:rPr>
            <w:noProof/>
            <w:webHidden/>
          </w:rPr>
          <w:fldChar w:fldCharType="separate"/>
        </w:r>
        <w:r>
          <w:rPr>
            <w:noProof/>
            <w:webHidden/>
          </w:rPr>
          <w:t>1</w:t>
        </w:r>
        <w:r>
          <w:rPr>
            <w:noProof/>
            <w:webHidden/>
          </w:rPr>
          <w:fldChar w:fldCharType="end"/>
        </w:r>
      </w:hyperlink>
    </w:p>
    <w:p>
      <w:pPr>
        <w:pStyle w:val="TOC3"/>
      </w:pPr>
      <w:hyperlink w:anchor="_TocAuto0065" w:history="1">
        <w:r>
          <w:rPr>
            <w:rStyle w:val="af"/>
            <w:noProof/>
          </w:rPr>
          <w:t>4.8.2</w:t>
        </w:r>
        <w:r>
          <w:rPr>
            <w:rStyle w:val="af"/>
            <w:noProof/>
          </w:rPr>
          <w:t xml:space="preserve"> </w:t>
        </w:r>
        <w:r>
          <w:rPr>
            <w:rStyle w:val="af"/>
            <w:noProof/>
          </w:rPr>
          <w:t>Lasso</w:t>
        </w:r>
        <w:r>
          <w:rPr>
            <w:rStyle w:val="af"/>
            <w:noProof/>
          </w:rPr>
          <w:t xml:space="preserve"> </w:t>
        </w:r>
        <w:r>
          <w:rPr>
            <w:rStyle w:val="af"/>
            <w:noProof/>
          </w:rPr>
          <w:t>系数保留与方向验证</w:t>
        </w:r>
        <w:r>
          <w:rPr>
            <w:noProof/>
            <w:webHidden/>
          </w:rPr>
          <w:tab/>
        </w:r>
        <w:r>
          <w:rPr>
            <w:noProof/>
            <w:webHidden/>
          </w:rPr>
          <w:fldChar w:fldCharType="begin"/>
        </w:r>
        <w:r>
          <w:rPr>
            <w:noProof/>
            <w:webHidden/>
          </w:rPr>
          <w:instrText xml:space="preserve"> PAGEREF _TocAuto0065 \h </w:instrText>
        </w:r>
        <w:r>
          <w:rPr>
            <w:noProof/>
            <w:webHidden/>
          </w:rPr>
          <w:fldChar w:fldCharType="separate"/>
        </w:r>
        <w:r>
          <w:rPr>
            <w:noProof/>
            <w:webHidden/>
          </w:rPr>
          <w:t>1</w:t>
        </w:r>
        <w:r>
          <w:rPr>
            <w:noProof/>
            <w:webHidden/>
          </w:rPr>
          <w:fldChar w:fldCharType="end"/>
        </w:r>
      </w:hyperlink>
    </w:p>
    <w:p>
      <w:pPr>
        <w:pStyle w:val="TOC3"/>
      </w:pPr>
      <w:hyperlink w:anchor="_TocAuto0066" w:history="1">
        <w:r>
          <w:rPr>
            <w:rStyle w:val="af"/>
            <w:noProof/>
          </w:rPr>
          <w:t>4.8.3</w:t>
        </w:r>
        <w:r>
          <w:rPr>
            <w:rStyle w:val="af"/>
            <w:noProof/>
          </w:rPr>
          <w:t xml:space="preserve"> </w:t>
        </w:r>
        <w:r>
          <w:rPr>
            <w:rStyle w:val="af"/>
            <w:noProof/>
          </w:rPr>
          <w:t>XGBoost</w:t>
        </w:r>
        <w:r>
          <w:rPr>
            <w:rStyle w:val="af"/>
            <w:noProof/>
          </w:rPr>
          <w:t xml:space="preserve"> </w:t>
        </w:r>
        <w:r>
          <w:rPr>
            <w:rStyle w:val="af"/>
            <w:noProof/>
          </w:rPr>
          <w:t>特征重要性与部分依赖验证</w:t>
        </w:r>
        <w:r>
          <w:rPr>
            <w:noProof/>
            <w:webHidden/>
          </w:rPr>
          <w:tab/>
        </w:r>
        <w:r>
          <w:rPr>
            <w:noProof/>
            <w:webHidden/>
          </w:rPr>
          <w:fldChar w:fldCharType="begin"/>
        </w:r>
        <w:r>
          <w:rPr>
            <w:noProof/>
            <w:webHidden/>
          </w:rPr>
          <w:instrText xml:space="preserve"> PAGEREF _TocAuto0066 \h </w:instrText>
        </w:r>
        <w:r>
          <w:rPr>
            <w:noProof/>
            <w:webHidden/>
          </w:rPr>
          <w:fldChar w:fldCharType="separate"/>
        </w:r>
        <w:r>
          <w:rPr>
            <w:noProof/>
            <w:webHidden/>
          </w:rPr>
          <w:t>1</w:t>
        </w:r>
        <w:r>
          <w:rPr>
            <w:noProof/>
            <w:webHidden/>
          </w:rPr>
          <w:fldChar w:fldCharType="end"/>
        </w:r>
      </w:hyperlink>
    </w:p>
    <w:p>
      <w:pPr>
        <w:pStyle w:val="TOC1"/>
      </w:pPr>
      <w:hyperlink w:anchor="_TocAuto0067"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_TocAuto0067 \h </w:instrText>
        </w:r>
        <w:r>
          <w:rPr>
            <w:noProof/>
            <w:webHidden/>
          </w:rPr>
          <w:fldChar w:fldCharType="separate"/>
        </w:r>
        <w:r>
          <w:rPr>
            <w:noProof/>
            <w:webHidden/>
          </w:rPr>
          <w:t>1</w:t>
        </w:r>
        <w:r>
          <w:rPr>
            <w:noProof/>
            <w:webHidden/>
          </w:rPr>
          <w:fldChar w:fldCharType="end"/>
        </w:r>
      </w:hyperlink>
    </w:p>
    <w:p>
      <w:pPr>
        <w:pStyle w:val="TOC2"/>
      </w:pPr>
      <w:hyperlink w:anchor="_TocAuto0068"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_TocAuto0068 \h </w:instrText>
        </w:r>
        <w:r>
          <w:rPr>
            <w:noProof/>
            <w:webHidden/>
          </w:rPr>
          <w:fldChar w:fldCharType="separate"/>
        </w:r>
        <w:r>
          <w:rPr>
            <w:noProof/>
            <w:webHidden/>
          </w:rPr>
          <w:t>1</w:t>
        </w:r>
        <w:r>
          <w:rPr>
            <w:noProof/>
            <w:webHidden/>
          </w:rPr>
          <w:fldChar w:fldCharType="end"/>
        </w:r>
      </w:hyperlink>
    </w:p>
    <w:p>
      <w:pPr>
        <w:pStyle w:val="TOC2"/>
      </w:pPr>
      <w:hyperlink w:anchor="_TocAuto0069"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_TocAuto0069 \h </w:instrText>
        </w:r>
        <w:r>
          <w:rPr>
            <w:noProof/>
            <w:webHidden/>
          </w:rPr>
          <w:fldChar w:fldCharType="separate"/>
        </w:r>
        <w:r>
          <w:rPr>
            <w:noProof/>
            <w:webHidden/>
          </w:rPr>
          <w:t>1</w:t>
        </w:r>
        <w:r>
          <w:rPr>
            <w:noProof/>
            <w:webHidden/>
          </w:rPr>
          <w:fldChar w:fldCharType="end"/>
        </w:r>
      </w:hyperlink>
    </w:p>
    <w:p>
      <w:pPr>
        <w:pStyle w:val="TOC2"/>
      </w:pPr>
      <w:hyperlink w:anchor="_TocAuto0070"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_TocAuto0070 \h </w:instrText>
        </w:r>
        <w:r>
          <w:rPr>
            <w:noProof/>
            <w:webHidden/>
          </w:rPr>
          <w:fldChar w:fldCharType="separate"/>
        </w:r>
        <w:r>
          <w:rPr>
            <w:noProof/>
            <w:webHidden/>
          </w:rPr>
          <w:t>1</w:t>
        </w:r>
        <w:r>
          <w:rPr>
            <w:noProof/>
            <w:webHidden/>
          </w:rPr>
          <w:fldChar w:fldCharType="end"/>
        </w:r>
      </w:hyperlink>
    </w:p>
    <w:p>
      <w:pPr>
        <w:pStyle w:val="TOC1"/>
      </w:pPr>
      <w:hyperlink w:anchor="_TocAuto0071" w:history="1">
        <w:r>
          <w:rPr>
            <w:rStyle w:val="af"/>
            <w:noProof/>
          </w:rPr>
          <w:t>参考文献</w:t>
        </w:r>
        <w:r>
          <w:rPr>
            <w:noProof/>
            <w:webHidden/>
          </w:rPr>
          <w:tab/>
        </w:r>
        <w:r>
          <w:rPr>
            <w:noProof/>
            <w:webHidden/>
          </w:rPr>
          <w:fldChar w:fldCharType="begin"/>
        </w:r>
        <w:r>
          <w:rPr>
            <w:noProof/>
            <w:webHidden/>
          </w:rPr>
          <w:instrText xml:space="preserve"> PAGEREF _TocAuto0071 \h </w:instrText>
        </w:r>
        <w:r>
          <w:rPr>
            <w:noProof/>
            <w:webHidden/>
          </w:rPr>
          <w:fldChar w:fldCharType="separate"/>
        </w:r>
        <w:r>
          <w:rPr>
            <w:noProof/>
            <w:webHidden/>
          </w:rPr>
          <w:t>1</w:t>
        </w:r>
        <w:r>
          <w:rPr>
            <w:noProof/>
            <w:webHidden/>
          </w:rPr>
          <w:fldChar w:fldCharType="end"/>
        </w:r>
      </w:hyperlink>
    </w:p>
    <w:p>
      <w:pPr>
        <w:pStyle w:val="TOC1"/>
      </w:pPr>
      <w:hyperlink w:anchor="_TocAuto0072" w:history="1">
        <w:r>
          <w:rPr>
            <w:rStyle w:val="af"/>
            <w:noProof/>
          </w:rPr>
          <w:t>致谢</w:t>
        </w:r>
        <w:r>
          <w:rPr>
            <w:noProof/>
            <w:webHidden/>
          </w:rPr>
          <w:tab/>
        </w:r>
        <w:r>
          <w:rPr>
            <w:noProof/>
            <w:webHidden/>
          </w:rPr>
          <w:fldChar w:fldCharType="begin"/>
        </w:r>
        <w:r>
          <w:rPr>
            <w:noProof/>
            <w:webHidden/>
          </w:rPr>
          <w:instrText xml:space="preserve"> PAGEREF _TocAuto0072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3"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3"/>
    </w:p>
    <w:bookmarkStart w:id="2" w:name="研究背景与问题提出"/>
    <w:p>
      <w:pPr>
        <w:pStyle w:val="2"/>
        <w:spacing w:line="312" w:lineRule="auto" w:before="0" w:after="0"/>
        <w:ind w:firstLine="0"/>
        <w:jc w:val="left"/>
      </w:pPr>
      <w:bookmarkStart w:id="74"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4"/>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高质量发展阶段。放在财政政策语境中，这并不只是表述上的变化，而是意味着政府资金投向、政策工具使用方式以及绩效评估标准都在调整。财政补贴正是在这一背景下持续发挥作用：它既服务于战略性新兴产业培育、技术创新激励和企业纾困，也承担稳就业、稳预期等现实任务。根据CSMAR样本统计，2003年至2024年间，沪深A股上市公司（剔除金融行业）的政府补助总体规模持续扩大，获得补贴的企业数量和平均补贴强度都呈上升趋势。财政补贴早已不是个别企业偶然获得的政策资源，而是中国资本市场里绕不开的一类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公共舆论和学术讨论都难以回避的话题。对学界来说，它关系激励契约设计、代理成本控制和公司治理效率；对公众来说，它又直接牵连收入分配公平、财政资金使用效率以及市场信任基础。近年来，一个越来越常见的追问是：企业补贴规模上去了，高管薪酬会不会也跟着水涨船高？再往前一步说，那些原本应服务于产业发展和公共利益的政策性资源，会不会在信息不对称和治理约束不足的条件下，部分转化为管理层的私人收益？这已不只是舆论层面的争议，更是一个关乎财政资源配置效率与企业内部利益分配合理性的命题。</w:t>
      </w:r>
    </w:p>
    <w:p>
      <w:pPr>
        <w:spacing w:line="312" w:lineRule="auto" w:before="0" w:after="0"/>
        <w:ind w:firstLine="420"/>
        <w:jc w:val="both"/>
      </w:pPr>
      <w:r>
        <w:rPr>
          <w:rFonts w:hint="eastAsia" w:ascii="Times New Roman" w:hAnsi="Times New Roman" w:eastAsia="宋体"/>
          <w:b w:val="0"/>
          <w:sz w:val="21"/>
        </w:rPr>
        <w:t xml:space="preserve">关于高管薪酬为何会偏离“合理水平”，现有研究大致有两条解释路径。“最优契约说”强调市场竞争与治理约束，认为薪酬是董事会与高管博弈后的均衡结果，最终应当反映高管的边际贡献；“管理权力说”则更关注现实中的治理偏差，认为在所有权与控制权分离的公司里，高管会借助对董事会构成、薪酬委员会安排以及信息披露节奏的影响，为自己争取超出正常水平的报酬。放到中国上市公司环境里，后一种解释往往更贴近现实。原因并不复杂：信息不对称较强、内部控制质量不均、独立董事独立性有限，这些因素都会放大管理层的自利空间。财政补贴作为外部资源进入企业后，增加了企业可支配资金，还有抬高高管薪酬议价能力的效果，甚至为寻租行为提供额外空间。本文的研究正是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命题：财政补贴在控制企业基本特征后是否与高管超额薪酬存在显著稳健的正相关？管理层权力是否在两者之间承担中介角色，即补贴变化会不会通过改变权力结构传导到超额薪酬？这一关联在不同产权性质、行业管制强度和区域制度环境下是否呈现差异？机器学习稳健性检验能否从变量重要性、系数保留与方向一致性、部分依赖趋势三个角度，为基准回归提供额外验证？</w:t>
      </w:r>
    </w:p>
    <w:bookmarkEnd w:id="0"/>
    <w:bookmarkStart w:id="3" w:name="研究目的与研究意义"/>
    <w:p>
      <w:pPr>
        <w:pStyle w:val="2"/>
        <w:spacing w:line="312" w:lineRule="auto" w:before="0" w:after="0"/>
        <w:ind w:firstLine="0"/>
        <w:jc w:val="left"/>
      </w:pPr>
      <w:bookmarkStart w:id="75"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5"/>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大体可以从三个方面来把握。本文把政府补贴这一政策变量纳入高管超额薪酬的讨论框架，把“外部资源输入”与“内部权力结构”放在同一条分析链上，不再只从企业内部激励或治理失灵出发看问题。测量层面，本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口径对照，尽量避免把某一种测度写成唯一正确的选择。技术路线上，固定效应、工具变量和中介检验等传统计量手段与</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等数据挖掘工具并行使用，让线性识别与非线性观察形成互补。</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则更贴近政策和市场实践。对财政监管部门而言，本文的证据提示，补贴与高管薪酬之间并不存在一条简单、稳定的线性链条，二者之间的联系会受到变量口径、治理约束和制度环境的共同塑造，这为补贴用途约束、事后审计和信息披露设计提供了参考。对资本市场监管者来说，机器学习稳健性检验给出的财政补贴与管理层权力相对重要性排序，可以作为筛查重点情境的辅助线索，但不宜直接替代正式监管判断。对投资者和公众而言，理解财政补贴与高管薪酬之间的潜在联系及其不稳定性，也有助于更完整地评估上市公司的治理质量以及财政资金的实际使用效率。</w:t>
      </w:r>
    </w:p>
    <w:bookmarkEnd w:id="1"/>
    <w:bookmarkStart w:id="4" w:name="国内外研究现状"/>
    <w:p>
      <w:pPr>
        <w:pStyle w:val="2"/>
        <w:spacing w:line="312" w:lineRule="auto" w:before="0" w:after="0"/>
        <w:ind w:firstLine="0"/>
        <w:jc w:val="left"/>
      </w:pPr>
      <w:bookmarkStart w:id="76"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6"/>
    </w:p>
    <w:bookmarkStart w:id="5" w:name="高管超额薪酬的界定与测量方法"/>
    <w:p>
      <w:pPr>
        <w:pStyle w:val="31"/>
        <w:spacing w:line="312" w:lineRule="auto" w:before="0" w:after="0"/>
        <w:ind w:firstLine="420"/>
        <w:jc w:val="left"/>
      </w:pPr>
      <w:bookmarkStart w:id="77" w:name="_TocAuto0005"/>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bookmarkEnd w:id="77"/>
    </w:p>
    <w:p>
      <w:pPr>
        <w:spacing w:line="312" w:lineRule="auto" w:before="0" w:after="0"/>
        <w:ind w:firstLine="420"/>
        <w:jc w:val="both"/>
      </w:pPr>
      <w:r>
        <w:rPr>
          <w:rFonts w:hint="eastAsia" w:ascii="Times New Roman" w:hAnsi="Times New Roman" w:eastAsia="宋体"/>
          <w:b w:val="0"/>
          <w:sz w:val="21"/>
        </w:rPr>
        <w:t xml:space="preserve">围绕高管超额薪酬的讨论，真正难的并不是看到“薪酬高”，而是区分其中哪些部分属于正常激励，哪些已经偏离了合理边界。早期文献常直接使用CEO绝对薪酬水平作为代理变量，这样做便于操作，却不容易把企业规模、业绩补偿和治理失灵带来的额外收益拆开。Bebchuk和Fried（2003）</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重要性，恰恰在于他们把视线从“薪酬高不高”转向了“薪酬契约是怎样形成的”。在其论述中，所有权分散的上市公司里，管理层可以通过影响董事会提名、薪酬委员会构成和条款设计，把本来应受监督的薪酬安排转化为自身议价能力的体现。由此，期权、退休福利和其他隐性收益也不再只是支付形式，而成了观察管理权力的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则把这一讨论推进到更便于实证操作的层面。其做法的核心是：利用公司治理、规模、业绩、风险、行业和年份等变量先估计一般条件下“应得”的薪酬，再把残差视为超额薪酬。这样一来，并不是把所有高薪都归入异常，而是先给出一个基准，再去看偏离基准的部分是否与权力结构有关。后来很多文献都沿用了这一残差口径，本文也是在这个框架上展开，只是在样本处理和变量设定上做了更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[14]</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[25]</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bookmarkStart w:id="78" w:name="_TocAuto0006"/>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bookmarkEnd w:id="78"/>
    </w:p>
    <w:p>
      <w:pPr>
        <w:spacing w:line="312" w:lineRule="auto" w:before="0" w:after="0"/>
        <w:ind w:firstLine="420"/>
        <w:jc w:val="both"/>
      </w:pPr>
      <w:r>
        <w:rPr>
          <w:rFonts w:hint="eastAsia" w:ascii="Times New Roman" w:hAnsi="Times New Roman" w:eastAsia="宋体"/>
          <w:b w:val="0"/>
          <w:sz w:val="21"/>
        </w:rPr>
        <w:t xml:space="preserve">关于财政补贴本身，现有文献首先提醒我们，不宜把它理解成随机落入企业账户的一笔外部资金。唐清泉和罗党论（2007）</w:t>
      </w:r>
      <w:r>
        <w:rPr>
          <w:rFonts w:ascii="Times New Roman" w:hAnsi="Times New Roman" w:eastAsia="宋体"/>
          <w:b w:val="0"/>
          <w:sz w:val="21"/>
          <w:vertAlign w:val="superscript"/>
        </w:rPr>
        <w:t>[17]</w:t>
      </w:r>
      <w:r>
        <w:rPr>
          <w:rFonts w:hint="eastAsia" w:ascii="Times New Roman" w:hAnsi="Times New Roman" w:eastAsia="宋体"/>
          <w:b w:val="0"/>
          <w:sz w:val="21"/>
        </w:rPr>
        <w:t xml:space="preserve">指出，中国上市公司的补贴分配同时带有产业政策导向和政治关联色彩，这意味着补贴能否获得，本身就已经嵌入了企业特征与制度关系的筛选过程。潘红波、夏新平和余明桂（2008）</w:t>
      </w:r>
      <w:r>
        <w:rPr>
          <w:rFonts w:ascii="Times New Roman" w:hAnsi="Times New Roman" w:eastAsia="宋体"/>
          <w:b w:val="0"/>
          <w:sz w:val="21"/>
          <w:vertAlign w:val="superscript"/>
        </w:rPr>
        <w:t>[18]</w:t>
      </w:r>
      <w:r>
        <w:rPr>
          <w:rFonts w:hint="eastAsia" w:ascii="Times New Roman" w:hAnsi="Times New Roman" w:eastAsia="宋体"/>
          <w:b w:val="0"/>
          <w:sz w:val="21"/>
        </w:rPr>
        <w:t xml:space="preserve">进一步发现，政治关联更强的企业更容易拿到政策支持。在这种背景下，补贴既是财务资源，也是治理关系的一部分；它进入企业之后，改变的并不只是利润表，还包括管理层在企业内部的资源支配位置。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[6]</w:t>
      </w:r>
      <w:r>
        <w:rPr>
          <w:rFonts w:hint="eastAsia" w:ascii="Times New Roman" w:hAnsi="Times New Roman" w:eastAsia="宋体"/>
          <w:b w:val="0"/>
          <w:sz w:val="21"/>
        </w:rPr>
        <w:t xml:space="preserve">把视角继续往企业内部推进。他们关心的不是补贴有没有到账，而是到账以后资源怎样被消化，结果发现政府补贴与管理冗余显著正相关，而且这种关系在内部控制较弱、社会信任水平较低的企业里更明显。也就是说，补贴未必自动转化为效率改进，某些时候反而会变成管理层可以占用的松弛空间。李哲、王文翰和王遥（2022）</w:t>
      </w:r>
      <w:r>
        <w:rPr>
          <w:rFonts w:ascii="Times New Roman" w:hAnsi="Times New Roman" w:eastAsia="宋体"/>
          <w:b w:val="0"/>
          <w:sz w:val="21"/>
          <w:vertAlign w:val="superscript"/>
        </w:rPr>
        <w:t>[15]</w:t>
      </w:r>
      <w:r>
        <w:rPr>
          <w:rFonts w:hint="eastAsia" w:ascii="Times New Roman" w:hAnsi="Times New Roman" w:eastAsia="宋体"/>
          <w:b w:val="0"/>
          <w:sz w:val="21"/>
        </w:rPr>
        <w:t xml:space="preserve">则从披露端给出另一条证据：部分企业会通过强化年报中的政策导向表述来提升补贴获取概率。这一点对本文尤其重要，因为它提示补贴的形成过程本身就带有信息策略和治理差异，而不只是单纯的政策执行结果。</w:t>
      </w:r>
    </w:p>
    <w:bookmarkEnd w:id="3"/>
    <w:bookmarkStart w:id="7" w:name="内部治理机制对补贴薪酬关联的调节"/>
    <w:p>
      <w:pPr>
        <w:pStyle w:val="31"/>
        <w:spacing w:line="312" w:lineRule="auto" w:before="0" w:after="0"/>
        <w:ind w:firstLine="420"/>
        <w:jc w:val="left"/>
      </w:pPr>
      <w:bookmarkStart w:id="79" w:name="_TocAuto0007"/>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bookmarkEnd w:id="79"/>
    </w:p>
    <w:p>
      <w:pPr>
        <w:spacing w:line="312" w:lineRule="auto" w:before="0" w:after="0"/>
        <w:ind w:firstLine="420"/>
        <w:jc w:val="both"/>
      </w:pPr>
      <w:r>
        <w:rPr>
          <w:rFonts w:hint="eastAsia" w:ascii="Times New Roman" w:hAnsi="Times New Roman" w:eastAsia="宋体"/>
          <w:b w:val="0"/>
          <w:sz w:val="21"/>
        </w:rPr>
        <w:t xml:space="preserve">补贴会不会外溢到薪酬端，很大程度上取决于企业内部有没有足够强的治理约束，这一点在已有文献中反复出现。步丹璐和王晓艳（2014）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发现，政府补助会扩大高管与员工之间的薪酬差距，而且在治理约束更弱的企业中表现得更明显。陈冬华、陈信元和万华林（2005）</w:t>
      </w:r>
      <w:r>
        <w:rPr>
          <w:rFonts w:ascii="Times New Roman" w:hAnsi="Times New Roman" w:eastAsia="宋体"/>
          <w:b w:val="0"/>
          <w:sz w:val="21"/>
          <w:vertAlign w:val="superscript"/>
        </w:rPr>
        <w:t>[19]</w:t>
      </w:r>
      <w:r>
        <w:rPr>
          <w:rFonts w:hint="eastAsia" w:ascii="Times New Roman" w:hAnsi="Times New Roman" w:eastAsia="宋体"/>
          <w:b w:val="0"/>
          <w:sz w:val="21"/>
        </w:rPr>
        <w:t xml:space="preserve">讨论国有企业时也指出，显性薪酬一旦受到限制，管理层往往会转向在职消费、差旅费等更隐蔽的补偿渠道。把这两类证据放在一起看，补贴对薪酬的外溢并不一定表现为工资单上的直接增加，它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与此相对，卢锐、柳建华和许宁（2011）</w:t>
      </w:r>
      <w:r>
        <w:rPr>
          <w:rFonts w:ascii="Times New Roman" w:hAnsi="Times New Roman" w:eastAsia="宋体"/>
          <w:b w:val="0"/>
          <w:sz w:val="21"/>
          <w:vertAlign w:val="superscript"/>
        </w:rPr>
        <w:t>[20]</w:t>
      </w:r>
      <w:r>
        <w:rPr>
          <w:rFonts w:hint="eastAsia" w:ascii="Times New Roman" w:hAnsi="Times New Roman" w:eastAsia="宋体"/>
          <w:b w:val="0"/>
          <w:sz w:val="21"/>
        </w:rPr>
        <w:t xml:space="preserve">发现，内控质量越高，高管薪酬对业绩变化越敏感，这意味着更完善的内部约束能够把薪酬重新拉回激励逻辑。罗进辉（2018）</w:t>
      </w:r>
      <w:r>
        <w:rPr>
          <w:rFonts w:ascii="Times New Roman" w:hAnsi="Times New Roman" w:eastAsia="宋体"/>
          <w:b w:val="0"/>
          <w:sz w:val="21"/>
          <w:vertAlign w:val="superscript"/>
        </w:rPr>
        <w:t>[21]</w:t>
      </w:r>
      <w:r>
        <w:rPr>
          <w:rFonts w:hint="eastAsia" w:ascii="Times New Roman" w:hAnsi="Times New Roman" w:eastAsia="宋体"/>
          <w:b w:val="0"/>
          <w:sz w:val="21"/>
        </w:rPr>
        <w:t xml:space="preserve">从媒体监督角度得到的结论也相近：外部关注越强，薪酬与经营表现之间的对应关系越清晰，国有企业中这一作用尤其明显。对本文来说，这些文献最重要的启发在于，它们给出了一个判断标准：补贴能否推高异常薪酬，不只取决于补贴规模，还要看企业内外部监督能否切断管理层的自利空间。</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[22]</w:t>
      </w:r>
      <w:r>
        <w:rPr>
          <w:rFonts w:hint="eastAsia" w:ascii="Times New Roman" w:hAnsi="Times New Roman" w:eastAsia="宋体"/>
          <w:b w:val="0"/>
          <w:sz w:val="21"/>
        </w:rPr>
        <w:t xml:space="preserve">把视线进一步推到年报文本。他们发现，在业绩不佳或存在不利信息时，企业更倾向于使用复杂表达；而年报可读性越低的企业，高管超额薪酬也往往更高。这说明信息披露并不只是被动呈现事实，它还会成为提高解读成本、削弱外部监督的工具。连君莎（2020）</w:t>
      </w:r>
      <w:r>
        <w:rPr>
          <w:rFonts w:ascii="Times New Roman" w:hAnsi="Times New Roman" w:eastAsia="宋体"/>
          <w:b w:val="0"/>
          <w:sz w:val="21"/>
          <w:vertAlign w:val="superscript"/>
        </w:rPr>
        <w:t>[27]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[29]</w:t>
      </w:r>
      <w:r>
        <w:rPr>
          <w:rFonts w:hint="eastAsia" w:ascii="Times New Roman" w:hAnsi="Times New Roman" w:eastAsia="宋体"/>
          <w:b w:val="0"/>
          <w:sz w:val="21"/>
        </w:rPr>
        <w:t xml:space="preserve">关于内部控制、薪酬公平和管理层语调的讨论，切入点各不相同，但归到一起都在补充同一件事：补贴、治理与薪酬之间的联系，需要放在信息透明度和监督强度的差异中理解。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bookmarkStart w:id="80" w:name="_TocAuto0008"/>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bookmarkEnd w:id="80"/>
    </w:p>
    <w:p>
      <w:pPr>
        <w:spacing w:line="312" w:lineRule="auto" w:before="0" w:after="0"/>
        <w:ind w:firstLine="420"/>
        <w:jc w:val="both"/>
      </w:pPr>
      <w:r>
        <w:rPr>
          <w:rFonts w:hint="eastAsia" w:ascii="Times New Roman" w:hAnsi="Times New Roman" w:eastAsia="宋体"/>
          <w:b w:val="0"/>
          <w:sz w:val="21"/>
        </w:rPr>
        <w:t xml:space="preserve">机器学习文献与本文的关联，不在于它代表一种更“新”的技术标签，而在于它能处理线性回归不太擅长回答的问题。Li（2008）</w:t>
      </w:r>
      <w:r>
        <w:rPr>
          <w:rFonts w:ascii="Times New Roman" w:hAnsi="Times New Roman" w:eastAsia="宋体"/>
          <w:b w:val="0"/>
          <w:sz w:val="21"/>
          <w:vertAlign w:val="superscript"/>
        </w:rPr>
        <w:t>[2]</w:t>
      </w:r>
      <w:r>
        <w:rPr>
          <w:rFonts w:hint="eastAsia" w:ascii="Times New Roman" w:hAnsi="Times New Roman" w:eastAsia="宋体"/>
          <w:b w:val="0"/>
          <w:sz w:val="21"/>
        </w:rPr>
        <w:t xml:space="preserve">较早把文本特征与经济后果联系起来，说明非结构化信息完全可以进入会计研究。Perols、Bowen、Zimmermann等（2017）</w:t>
      </w:r>
      <w:r>
        <w:rPr>
          <w:rFonts w:ascii="Times New Roman" w:hAnsi="Times New Roman" w:eastAsia="宋体"/>
          <w:b w:val="0"/>
          <w:sz w:val="21"/>
          <w:vertAlign w:val="superscript"/>
        </w:rPr>
        <w:t>[5]</w:t>
      </w:r>
      <w:r>
        <w:rPr>
          <w:rFonts w:hint="eastAsia" w:ascii="Times New Roman" w:hAnsi="Times New Roman" w:eastAsia="宋体"/>
          <w:b w:val="0"/>
          <w:sz w:val="21"/>
        </w:rPr>
        <w:t xml:space="preserve">在财务舞弊识别中发现，随机森林、神经网络和Boosting等方法相较传统逻辑回归有更好的预测表现，关键不只是算法名称变了，而是模型能够自动捕捉更高阶的交互结构。陆瑶、张叶青、黎波和赵浩宇（2020）</w:t>
      </w:r>
      <w:r>
        <w:rPr>
          <w:rFonts w:ascii="Times New Roman" w:hAnsi="Times New Roman" w:eastAsia="宋体"/>
          <w:b w:val="0"/>
          <w:sz w:val="21"/>
          <w:vertAlign w:val="superscript"/>
        </w:rPr>
        <w:t>[23]</w:t>
      </w:r>
      <w:r>
        <w:rPr>
          <w:rFonts w:hint="eastAsia" w:ascii="Times New Roman" w:hAnsi="Times New Roman" w:eastAsia="宋体"/>
          <w:b w:val="0"/>
          <w:sz w:val="21"/>
        </w:rPr>
        <w:t xml:space="preserve">将梯度提升树用于高管特征与公司业绩关系分析，也得到类似判断：某些变量的作用不是沿着线性方式平稳展开，而是在特定区间或特定组合下才明显增强。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后续文献又把这种思路扩展到文本分析和异常识别。马长峰、陈志娟和张顺明（2020）</w:t>
      </w:r>
      <w:r>
        <w:rPr>
          <w:rFonts w:ascii="Times New Roman" w:hAnsi="Times New Roman" w:eastAsia="宋体"/>
          <w:b w:val="0"/>
          <w:sz w:val="21"/>
          <w:vertAlign w:val="superscript"/>
        </w:rPr>
        <w:t>[24]</w:t>
      </w:r>
      <w:r>
        <w:rPr>
          <w:rFonts w:hint="eastAsia" w:ascii="Times New Roman" w:hAnsi="Times New Roman" w:eastAsia="宋体"/>
          <w:b w:val="0"/>
          <w:sz w:val="21"/>
        </w:rPr>
        <w:t xml:space="preserve">在综述中指出，机器学习更适合承担探索性和补充性任务，而不宜直接替代因果推断。Rjiba、Saadi、Boubaker等（2021）</w:t>
      </w:r>
      <w:r>
        <w:rPr>
          <w:rFonts w:ascii="Times New Roman" w:hAnsi="Times New Roman" w:eastAsia="宋体"/>
          <w:b w:val="0"/>
          <w:sz w:val="21"/>
          <w:vertAlign w:val="superscript"/>
        </w:rPr>
        <w:t>[7]</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[8]</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对本文而言，这些工作带来的启发很直接：当我们怀疑财政补贴与超额薪酬之间存在区间效应、交互结构或非线性关系时，机器学习可以作为补充观察工具，而不应替代基准回归的主体地位。</w:t>
      </w:r>
    </w:p>
    <w:bookmarkEnd w:id="5"/>
    <w:bookmarkStart w:id="9" w:name="研究述评与现有文献的局限"/>
    <w:p>
      <w:pPr>
        <w:pStyle w:val="31"/>
        <w:spacing w:line="312" w:lineRule="auto" w:before="0" w:after="0"/>
        <w:ind w:firstLine="420"/>
        <w:jc w:val="left"/>
      </w:pPr>
      <w:bookmarkStart w:id="81" w:name="_TocAuto0009"/>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bookmarkEnd w:id="81"/>
    </w:p>
    <w:p>
      <w:pPr>
        <w:spacing w:line="312" w:lineRule="auto" w:before="0" w:after="0"/>
        <w:ind w:firstLine="420"/>
        <w:jc w:val="both"/>
      </w:pPr>
      <w:r>
        <w:rPr>
          <w:rFonts w:hint="eastAsia" w:ascii="Times New Roman" w:hAnsi="Times New Roman" w:eastAsia="宋体"/>
          <w:b w:val="0"/>
          <w:sz w:val="21"/>
        </w:rPr>
        <w:t xml:space="preserve">把前述文献合在一起看，现有讨论已经把几个基础问题铺得比较清楚：超额薪酬的界定与测量已有较稳定的处理路径，财政补贴是否会作用于高管收入在中国情境下也积累了不少证据，内部控制、媒体监督和披露复杂性等因素会改变补贴效应强弱，这一点同样得到了较多支持。</w:t>
      </w:r>
    </w:p>
    <w:p>
      <w:pPr>
        <w:spacing w:line="312" w:lineRule="auto" w:before="0" w:after="0"/>
        <w:ind w:firstLine="420"/>
        <w:jc w:val="both"/>
      </w:pPr>
      <w:r>
        <w:rPr>
          <w:rFonts w:hint="eastAsia" w:ascii="Times New Roman" w:hAnsi="Times New Roman" w:eastAsia="宋体"/>
          <w:b w:val="0"/>
          <w:sz w:val="21"/>
        </w:rPr>
        <w:t xml:space="preserve">现有研究也留下了几处明显空白。不少文献仍以薪酬水平或薪酬差距作为结果变量，企业规模和绩效带来的正常差异容易被混入其中。管理层权力在补贴与薪酬之间的中介角色，虽有讨论，但结合固定效应与滞后设定进行系统检验的工作并不算多。机器学习相关工作多集中在舞弊识别或文本分类，真正用于分析补贴与超额薪酬非线性结构的案例仍相对少见。本文的设计，基本就是围绕这三处不足展开。</w:t>
      </w:r>
    </w:p>
    <w:bookmarkEnd w:id="6"/>
    <w:bookmarkEnd w:id="7"/>
    <w:bookmarkStart w:id="10" w:name="研究方法与技术路线"/>
    <w:p>
      <w:pPr>
        <w:pStyle w:val="2"/>
        <w:spacing w:line="312" w:lineRule="auto" w:before="0" w:after="0"/>
        <w:ind w:firstLine="0"/>
        <w:jc w:val="left"/>
      </w:pPr>
      <w:bookmarkStart w:id="82" w:name="_TocAuto0010"/>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82"/>
    </w:p>
    <w:p>
      <w:pPr>
        <w:spacing w:line="312" w:lineRule="auto" w:before="0" w:after="0"/>
        <w:ind w:firstLine="420"/>
        <w:jc w:val="both"/>
      </w:pPr>
      <w:r>
        <w:rPr>
          <w:rFonts w:hint="eastAsia" w:ascii="Times New Roman" w:hAnsi="Times New Roman" w:eastAsia="宋体"/>
          <w:b w:val="0"/>
          <w:sz w:val="21"/>
        </w:rPr>
        <w:t xml:space="preserve">本文的技术路线并不是把多种手段简单堆在一起，而是让每一类工具分别回答不同层面的问题。前半部分先完成文献梳理与理论推演，把全文真正要检验的两条主线说清楚：一条是财政补贴与高管超额薪酬之间是否存在较稳定的联系，另一条是管理层权力是否在其中承担传导角色。随后进入基准计量部分，利用</w:t>
      </w:r>
      <w:r>
        <w:rPr>
          <w:rFonts w:ascii="Times New Roman" w:hAnsi="Times New Roman" w:eastAsia="宋体"/>
          <w:b w:val="0"/>
          <w:sz w:val="21"/>
        </w:rPr>
        <w:t xml:space="preserve"> CSMAR </w:t>
      </w:r>
      <w:r>
        <w:rPr>
          <w:rFonts w:hint="eastAsia" w:ascii="Times New Roman" w:hAnsi="Times New Roman" w:eastAsia="宋体"/>
          <w:b w:val="0"/>
          <w:sz w:val="21"/>
        </w:rPr>
        <w:t xml:space="preserve">面板数据和</w:t>
      </w:r>
      <w:r>
        <w:rPr>
          <w:rFonts w:ascii="Times New Roman" w:hAnsi="Times New Roman" w:eastAsia="宋体"/>
          <w:b w:val="0"/>
          <w:sz w:val="21"/>
        </w:rPr>
        <w:t xml:space="preserve"> Core </w:t>
      </w:r>
      <w:r>
        <w:rPr>
          <w:rFonts w:hint="eastAsia" w:ascii="Times New Roman" w:hAnsi="Times New Roman" w:eastAsia="宋体"/>
          <w:b w:val="0"/>
          <w:sz w:val="21"/>
        </w:rPr>
        <w:t xml:space="preserv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框架构造超额薪酬变量，在公司和年份固定效应下检验滞后一期财政补贴的主效应，并观察这一联系在稳健性检验中能否维持。接着，再通过工具变量收紧识别边界，通过机制检验观察权力渠道是否存在，并借助异质性分析判断这种联系会不会随着制度情境变化而分化。机器学习稳健性检验被放在第四章最后，且与模型3至模型5保持同样的样本边界和变量口径：随机森林用于复核财政补贴与管理层权力的相对重要性，Lasso</w:t>
      </w:r>
      <w:r>
        <w:rPr>
          <w:rFonts w:ascii="Times New Roman" w:hAnsi="Times New Roman" w:eastAsia="宋体"/>
          <w:b w:val="0"/>
          <w:sz w:val="21"/>
        </w:rPr>
        <w:t xml:space="preserve"> </w:t>
      </w:r>
      <w:r>
        <w:rPr>
          <w:rFonts w:hint="eastAsia" w:ascii="Times New Roman" w:hAnsi="Times New Roman" w:eastAsia="宋体"/>
          <w:b w:val="0"/>
          <w:sz w:val="21"/>
        </w:rPr>
        <w:t xml:space="preserve">用于检验两者是否被保留且方向是否一致，XGBoost</w:t>
      </w:r>
      <w:r>
        <w:rPr>
          <w:rFonts w:ascii="Times New Roman" w:hAnsi="Times New Roman" w:eastAsia="宋体"/>
          <w:b w:val="0"/>
          <w:sz w:val="21"/>
        </w:rPr>
        <w:t xml:space="preserve"> </w:t>
      </w:r>
      <w:r>
        <w:rPr>
          <w:rFonts w:hint="eastAsia" w:ascii="Times New Roman" w:hAnsi="Times New Roman" w:eastAsia="宋体"/>
          <w:b w:val="0"/>
          <w:sz w:val="21"/>
        </w:rPr>
        <w:t xml:space="preserve">则通过特征重要性与财政补贴的部分依赖图观察更灵活模型中的趋势判断是否与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w:t>
      </w:r>
    </w:p>
    <w:bookmarkEnd w:id="8"/>
    <w:bookmarkEnd w:id="9"/>
    <w:bookmarkStart w:id="11" w:name="第二章-理论分析与假设"/>
    <w:p>
      <w:pPr>
        <w:pStyle w:val="1"/>
        <w:pageBreakBefore/>
        <w:spacing w:line="312" w:lineRule="auto" w:before="0" w:after="0"/>
        <w:ind w:firstLine="0"/>
        <w:jc w:val="center"/>
      </w:pPr>
      <w:bookmarkStart w:id="83" w:name="_TocAuto0011"/>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3"/>
    </w:p>
    <w:bookmarkStart w:id="12" w:name="概念界定"/>
    <w:p>
      <w:pPr>
        <w:pStyle w:val="2"/>
        <w:spacing w:line="312" w:lineRule="auto" w:before="0" w:after="0"/>
        <w:ind w:firstLine="0"/>
        <w:jc w:val="left"/>
      </w:pPr>
      <w:bookmarkStart w:id="84" w:name="_TocAuto0012"/>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4"/>
    </w:p>
    <w:bookmarkStart w:id="13" w:name="财政补贴"/>
    <w:p>
      <w:pPr>
        <w:pStyle w:val="31"/>
        <w:spacing w:line="312" w:lineRule="auto" w:before="0" w:after="0"/>
        <w:ind w:firstLine="420"/>
        <w:jc w:val="left"/>
      </w:pPr>
      <w:bookmarkStart w:id="85" w:name="_TocAuto0013"/>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bookmarkEnd w:id="85"/>
    </w:p>
    <w:p>
      <w:pPr>
        <w:spacing w:line="312" w:lineRule="auto" w:before="0" w:after="0"/>
        <w:ind w:firstLine="420"/>
        <w:jc w:val="both"/>
      </w:pPr>
      <w:r>
        <w:rPr>
          <w:rFonts w:hint="eastAsia" w:ascii="Times New Roman" w:hAnsi="Times New Roman" w:eastAsia="宋体"/>
          <w:b w:val="0"/>
          <w:sz w:val="21"/>
        </w:rPr>
        <w:t xml:space="preserve">在本文中，财政补贴主要指政府围绕特定政策目标向企业提供的资金支持。它可以表现为技术创新、节能减排等专项补助，也可体现为税收返还、政策性贷款贴息、研发费用加计扣除等形式。按照现行会计准则，政府补助通常区分为“与资产相关”和“与收益相关”两类：前者通过递延收益逐期摊销进入利润，后者则在满足确认条件后一次性或分期计入当期损益。也正因为如此，补贴的到账时间、规模和附带约束，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不是企业依靠市场竞争自行创造的经营收入，而是一种带有明确政策来源的外部资源输入。对上市公司来说，它既会改变利润表上的表现，也会影响管理层安排资源使用节奏的空间。在我国制度环境下，补贴的使用约束相对有限、事后跟踪并不总是充分，这使其不仅是财务变量，也容易成为管理层寻租的渠道。本文正是据此把财政补贴放在“补贴—治理—薪酬”关系链条的起点位置。但这种外部资源属性并不意味着补贴天然具有准自然实验意义，本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在具体度量上，本文采用企业年度政府补助金额经零值保留后的对数形式，即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bookmarkStart w:id="86" w:name="_TocAuto0014"/>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bookmarkEnd w:id="86"/>
    </w:p>
    <w:p>
      <w:pPr>
        <w:spacing w:line="312" w:lineRule="auto" w:before="0" w:after="0"/>
        <w:ind w:firstLine="420"/>
        <w:jc w:val="both"/>
      </w:pPr>
      <w:r>
        <w:rPr>
          <w:rFonts w:hint="eastAsia" w:ascii="Times New Roman" w:hAnsi="Times New Roman" w:eastAsia="宋体"/>
          <w:b w:val="0"/>
          <w:sz w:val="21"/>
        </w:rPr>
        <w:t xml:space="preserve">本文所说的高管超额薪酬，并不是泛指“薪酬高”，而是指在控制企业规模、盈利能力、资产结构、区域与行业等客观因素之后，仍然高出正常基准的那部分报酬。这个概念真正关键的地方，不在于简单比较谁拿得更多，而在于先回答一个更基础的问题：在治理约束相对有效的情况下，高管通常应当获得怎样的回报？只有在这个基准先被建立起来之后，实际薪酬相对基准的偏离，才更容易被识别为异常成分。若某家公司高管薪酬持续高于这一基准，就可以把这部分偏离理解为代理成本的一种表现，即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在具体处理上，本文沿用</w:t>
      </w:r>
      <w:r>
        <w:rPr>
          <w:rFonts w:ascii="Times New Roman" w:hAnsi="Times New Roman" w:eastAsia="宋体"/>
          <w:b w:val="0"/>
          <w:sz w:val="21"/>
        </w:rPr>
        <w:t xml:space="preserve"> Core </w:t>
      </w:r>
      <w:r>
        <w:rPr>
          <w:rFonts w:hint="eastAsia" w:ascii="Times New Roman" w:hAnsi="Times New Roman" w:eastAsia="宋体"/>
          <w:b w:val="0"/>
          <w:sz w:val="21"/>
        </w:rPr>
        <w:t xml:space="preserv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期望薪酬框架，先利用公司特征变量估计“正常薪酬基准”，再将模型残差直接作为超额薪酬。这样做的好处在于，企业规模、经营绩效等对薪酬的常规作用已经在期望薪酬模型中被吸收掉，残差因而更接近本文真正关心的异常部分。数值上，它反映的是实际薪酬相对拟合基准的偏离；在实证操作中，本文直接使用残差序列，不再额外做“实际值减预测值”的二次计算。由于该变量本身就是回归残差，其样本均值理论上接近0，因此本文也不再对其进行二次缩尾，以尽量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它先给出一个相对客观的“应得薪酬”标尺，再讨论实际薪酬偏离这一标尺的程度。直接使用薪酬总额虽然操作更简洁，却难以区分哪些差异原本就应由规模、行业和经营绩效决定；使用高管与员工薪酬之比能够反映内部公平，却仍不容易把“应得”与“超得”切开；考察薪酬—绩效敏感性则更强调激励契约强弱，也不直接回答契约本身是否已被管理层扭曲。因此，本文最终把期望薪酬残差作为超额薪酬的经验代理变量。</w:t>
      </w:r>
    </w:p>
    <w:bookmarkEnd w:id="11"/>
    <w:bookmarkStart w:id="15" w:name="管理层权力"/>
    <w:p>
      <w:pPr>
        <w:pStyle w:val="31"/>
        <w:spacing w:line="312" w:lineRule="auto" w:before="0" w:after="0"/>
        <w:ind w:firstLine="420"/>
        <w:jc w:val="left"/>
      </w:pPr>
      <w:bookmarkStart w:id="87" w:name="_TocAuto0015"/>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bookmarkEnd w:id="87"/>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在本文中指高管对企业关键决策施加实际影响的能力，尤其体现在薪酬契约、资源配置和战略议程上的控制程度。它并不是一个单一维度的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本文最终以</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四个底层指标构造综合指数，希望在有限数据条件下尽量保留结构性权力和所有权权力两条主要来源。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还需要说明的是，在中国公司治理结构中，党委、董事会和管理层之间的权力边界并不总是清晰，国有企业尤其如此。许多真正影响高管地位的因素，比如党政体系中的关系网络、与上级主管部门的信任程度，在公开年报中几乎无法直接量化。也正因此，把“管理层权力”放到中国上市公司语境里理解，其复杂性明显高于西方主流文献中的标准设定。本文的处理方式保留了可操作性，但也意味着部分非正式权力渠道容易被低估，后文之所以进一步区分国有与民营企业，部分也是出于这一考虑。</w:t>
      </w:r>
    </w:p>
    <w:bookmarkEnd w:id="12"/>
    <w:bookmarkEnd w:id="13"/>
    <w:bookmarkStart w:id="16" w:name="理论基础"/>
    <w:p>
      <w:pPr>
        <w:pStyle w:val="2"/>
        <w:spacing w:line="312" w:lineRule="auto" w:before="0" w:after="0"/>
        <w:ind w:firstLine="0"/>
        <w:jc w:val="left"/>
      </w:pPr>
      <w:bookmarkStart w:id="88" w:name="_TocAuto0016"/>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8"/>
    </w:p>
    <w:bookmarkStart w:id="17" w:name="管理者权力理论"/>
    <w:p>
      <w:pPr>
        <w:pStyle w:val="31"/>
        <w:spacing w:line="312" w:lineRule="auto" w:before="0" w:after="0"/>
        <w:ind w:firstLine="420"/>
        <w:jc w:val="left"/>
      </w:pPr>
      <w:bookmarkStart w:id="89" w:name="_TocAuto0017"/>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bookmarkEnd w:id="89"/>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Theory）是本文理解补贴与薪酬关系的重要起点。Bebchuk和Fried（2003）</w:t>
      </w:r>
      <w:r>
        <w:rPr>
          <w:rFonts w:ascii="Times New Roman" w:hAnsi="Times New Roman" w:eastAsia="宋体"/>
          <w:b w:val="0"/>
          <w:sz w:val="21"/>
          <w:vertAlign w:val="superscript"/>
        </w:rPr>
        <w:t>[1]</w:t>
      </w:r>
      <w:r>
        <w:rPr>
          <w:rFonts w:hint="eastAsia" w:ascii="Times New Roman" w:hAnsi="Times New Roman" w:eastAsia="宋体"/>
          <w:b w:val="0"/>
          <w:sz w:val="21"/>
        </w:rPr>
        <w:t xml:space="preserve">之所以提出这一视角，正是因为“最优契约说”往往把董事会想得过于理性和中立。按最优契约逻辑，高管薪酬大致应当反映其边际贡献；而管理者权力理论提醒我们，现实中的董事会、薪酬委员会和经理人市场并不一定足以形成有效约束，高管往往深度介入薪酬安排的形成过程。薪酬合同不只是激励工具，也可以是权力结构的结果。Finkelstein（1992）</w:t>
      </w:r>
      <w:r>
        <w:rPr>
          <w:rFonts w:ascii="Times New Roman" w:hAnsi="Times New Roman" w:eastAsia="宋体"/>
          <w:b w:val="0"/>
          <w:sz w:val="21"/>
          <w:vertAlign w:val="superscript"/>
        </w:rPr>
        <w:t>[13]</w:t>
      </w:r>
      <w:r>
        <w:rPr>
          <w:rFonts w:hint="eastAsia" w:ascii="Times New Roman" w:hAnsi="Times New Roman" w:eastAsia="宋体"/>
          <w:b w:val="0"/>
          <w:sz w:val="21"/>
        </w:rPr>
        <w:t xml:space="preserve">对高管权力作出的结构性权力、所有权权力、专家性权力和声望性权力划分，为后续经验工作提供了较清楚的操作框架。本文最终以两职合一、董事会规模、内部董事比例和高管持股四个指标刻画管理层权力，思路也延续了这种多方面分析。</w:t>
      </w:r>
    </w:p>
    <w:p>
      <w:pPr>
        <w:spacing w:line="312" w:lineRule="auto" w:before="0" w:after="0"/>
        <w:ind w:firstLine="420"/>
        <w:jc w:val="both"/>
      </w:pPr>
      <w:r>
        <w:rPr>
          <w:rFonts w:hint="eastAsia" w:ascii="Times New Roman" w:hAnsi="Times New Roman" w:eastAsia="宋体"/>
          <w:b w:val="0"/>
          <w:sz w:val="21"/>
        </w:rPr>
        <w:t xml:space="preserve">如果进一步看传导路径，高管左右薪酬安排的方式并不只有一种。它既可体现为对董事会成员关系和表决环境的牵引，也可表现为薪酬结构设计得更复杂、外部更难识别，还可表现在对披露节奏和披露内容的控制上。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将治理结构、较高薪酬和较差绩效放进同一分析框架，因此，这一视角后来常被用来讨论薪酬失衡。放到中国上市公司情境中，这套理论反而更有现实针对性。国有企业里，党委会、董事会和经理层之间的边界并不总是泾渭分明，高管任命和考核又带有组织体系色彩；民营企业中，“一股独大”、实控人与管理层关系密切、独立董事制衡不足等情况也并不少见。正式治理结构未必真的削弱高管影响，某些时候甚至会默许其在薪酬安排中的主导地位。</w:t>
      </w:r>
    </w:p>
    <w:p>
      <w:pPr>
        <w:spacing w:line="312" w:lineRule="auto" w:before="0" w:after="0"/>
        <w:ind w:firstLine="420"/>
        <w:jc w:val="both"/>
      </w:pPr>
      <w:r>
        <w:rPr>
          <w:rFonts w:hint="eastAsia" w:ascii="Times New Roman" w:hAnsi="Times New Roman" w:eastAsia="宋体"/>
          <w:b w:val="0"/>
          <w:sz w:val="21"/>
        </w:rPr>
        <w:t xml:space="preserve">对本文而言，这一理论最关键的启发是：财政补贴并不只是额外资金，它还会改变高管在企业内部的相对地位。补贴的申请、沟通、协调和使用通常都离不开管理层深度参与，这会让高管在资源配置中的作用变得更加突出。当外部资源扩张与内部权力强化同时发生时，补贴就会转化为薪酬谈判中的额外筹码。也因此，本文不直接用薪酬水平讨论问题，而是转向期望薪酬残差，希望尽量把“补贴改善业绩后合理抬高薪酬”与“补贴扩大权力后带来异常收益”区分开来。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以及步丹璐、王晓艳（2014）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在治理较弱企业中观察到更强的正向关系，也与这一判断相互呼应。</w:t>
      </w:r>
    </w:p>
    <w:bookmarkEnd w:id="14"/>
    <w:bookmarkStart w:id="18" w:name="代理理论"/>
    <w:p>
      <w:pPr>
        <w:pStyle w:val="31"/>
        <w:spacing w:line="312" w:lineRule="auto" w:before="0" w:after="0"/>
        <w:ind w:firstLine="420"/>
        <w:jc w:val="left"/>
      </w:pPr>
      <w:bookmarkStart w:id="90" w:name="_TocAuto0018"/>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bookmarkEnd w:id="90"/>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Theory）为本文提供了另一条更偏“资源流向”的解释线索。Jensen和Meckling（1976）</w:t>
      </w:r>
      <w:r>
        <w:rPr>
          <w:rFonts w:ascii="Times New Roman" w:hAnsi="Times New Roman" w:eastAsia="宋体"/>
          <w:b w:val="0"/>
          <w:sz w:val="21"/>
          <w:vertAlign w:val="superscript"/>
        </w:rPr>
        <w:t>[10]</w:t>
      </w:r>
      <w:r>
        <w:rPr>
          <w:rFonts w:hint="eastAsia" w:ascii="Times New Roman" w:hAnsi="Times New Roman" w:eastAsia="宋体"/>
          <w:b w:val="0"/>
          <w:sz w:val="21"/>
        </w:rPr>
        <w:t xml:space="preserve">把股东与管理层之间的关系概括为典型的委托—代理安排：股东让渡经营权，但并不能完整观察管理层的努力、动机和资源使用方式。只要监督不足，管理层就会把企业资源调到更符合自身利益的位置，由此产生道德风险和代理成本。落实到薪酬场景中，问题并不只是工资单上的数字偏高。显性的表现是高管通过调整绩效基准或薪酬结构，获得高于边际贡献的回报；更隐蔽的形式则包括在职消费、差旅安排和其他灰色收益；再往后一步，还会出现跨期扭曲，即把短期业绩做得更好看，把代价留给后续年份。这类现象在预算软约束较强的企业里往往更容易出现。</w:t>
      </w:r>
    </w:p>
    <w:p>
      <w:pPr>
        <w:spacing w:line="312" w:lineRule="auto" w:before="0" w:after="0"/>
        <w:ind w:firstLine="420"/>
        <w:jc w:val="both"/>
      </w:pPr>
      <w:r>
        <w:rPr>
          <w:rFonts w:hint="eastAsia" w:ascii="Times New Roman" w:hAnsi="Times New Roman" w:eastAsia="宋体"/>
          <w:b w:val="0"/>
          <w:sz w:val="21"/>
        </w:rPr>
        <w:t xml:space="preserve">财政补贴进入企业以后，代理问题之所以会被放大，一个关键原因在于它容易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是契合的。也正因为此，本文后文会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放到中国制度环境下，委托—代理链条还常常是多层嵌套的。若把关系展开，通常会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[19]</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[20]</w:t>
      </w:r>
      <w:r>
        <w:rPr>
          <w:rFonts w:hint="eastAsia" w:ascii="Times New Roman" w:hAnsi="Times New Roman" w:eastAsia="宋体"/>
          <w:b w:val="0"/>
          <w:sz w:val="21"/>
        </w:rPr>
        <w:t xml:space="preserve">关于内控质量越高、薪酬—绩效敏感性越强的发现，也支持了这种理解。本文之所以采用期望薪酬残差（Overpay）而不是直接使用薪酬水平，本质上就是希望尽量先把“补贴带来正常绩效改善”这一层剥离出去，再观察异常收益部分是否仍然存在。</w:t>
      </w:r>
    </w:p>
    <w:bookmarkEnd w:id="15"/>
    <w:bookmarkStart w:id="19" w:name="信号传递理论"/>
    <w:p>
      <w:pPr>
        <w:pStyle w:val="31"/>
        <w:spacing w:line="312" w:lineRule="auto" w:before="0" w:after="0"/>
        <w:ind w:firstLine="420"/>
        <w:jc w:val="left"/>
      </w:pPr>
      <w:bookmarkStart w:id="91" w:name="_TocAuto0019"/>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bookmarkEnd w:id="91"/>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Theory）为本文补上了外部信息环境这一层。Spence（1973）</w:t>
      </w:r>
      <w:r>
        <w:rPr>
          <w:rFonts w:ascii="Times New Roman" w:hAnsi="Times New Roman" w:eastAsia="宋体"/>
          <w:b w:val="0"/>
          <w:sz w:val="21"/>
          <w:vertAlign w:val="superscript"/>
        </w:rPr>
        <w:t>[11]</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落到本文的问题上，它至少能解释三件事。企业会主动向政府发送“我值得被支持”的信号，在文本披露中强化创新、环保和政策契合度表达，以提升补贴获取概率；研究表明，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因此，信号传递理论并不是单独解释补贴或薪酬，而是帮助本文把补贴申请、外部背书和信息复杂化这几个环节串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rPr>
          <w:rFonts w:ascii="Times New Roman" w:hAnsi="Times New Roman" w:eastAsia="宋体"/>
          <w:b w:val="0"/>
          <w:sz w:val="21"/>
        </w:rPr>
        <w:t xml:space="preserve"> </w:t>
      </w:r>
      <w:r>
        <w:rPr>
          <w:rFonts w:hint="eastAsia" w:ascii="Times New Roman" w:hAnsi="Times New Roman" w:eastAsia="宋体"/>
          <w:b w:val="0"/>
          <w:sz w:val="21"/>
        </w:rPr>
        <w:t xml:space="preserve">并不只是内部治理视角下的推论，同时也得到了外部信号层面的支撑。</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在一定程度上取决于谁更擅长生产和管理这些信号。对本文来说，这一点尤其重要，因为信号生产能力往往与信息控制权相伴而生，而信息控制权又会回到薪酬谈判过程。李哲、王文翰和王遥（2022）</w:t>
      </w:r>
      <w:r>
        <w:rPr>
          <w:rFonts w:ascii="Times New Roman" w:hAnsi="Times New Roman" w:eastAsia="宋体"/>
          <w:b w:val="0"/>
          <w:sz w:val="21"/>
          <w:vertAlign w:val="superscript"/>
        </w:rPr>
        <w:t>[15]</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[22]</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bookmarkStart w:id="92" w:name="_TocAuto0020"/>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bookmarkEnd w:id="92"/>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是让三套理论去重复解释同一个后果，而是看它们各自负责哪一层。若简化来看，代理理论回答的是“补贴在什么条件下会被管理层截留”，管理者权力理论回答的是“这种截留依托什么内部安排发生”，信号传递理论则补充了“外部信息环境为什么会放大或压缩这一过程”。因此，在本文里，这三种理论并不是相互竞争的替代解释，而是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因此，本文把这些理论更多作为分析参照，而不是把任何一条经验结果直接解释为对某个理论本身的证实或证伪。它们共同提供的是一个更适合展开实证分析的视角组合：既看到资源如何进入企业，也看到权力如何重新分布，还看到外部信息环境如何改变这一过程的可见性和强弱。</w:t>
      </w:r>
    </w:p>
    <w:bookmarkEnd w:id="17"/>
    <w:bookmarkStart w:id="21" w:name="中国制度情境下的理论延展"/>
    <w:p>
      <w:pPr>
        <w:pStyle w:val="31"/>
        <w:spacing w:line="312" w:lineRule="auto" w:before="0" w:after="0"/>
        <w:ind w:firstLine="420"/>
        <w:jc w:val="left"/>
      </w:pPr>
      <w:bookmarkStart w:id="93" w:name="_TocAuto0021"/>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bookmarkEnd w:id="93"/>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不只是一般意义上的现金流入，它往往同时嵌在地方政府竞争、产业政策导向、国资监管层级差异和信息透明度不均衡这些条件里。也正因为如此，补贴既是资源输入，也是制度安排的一部分；它改变的不只是利润表数字，还会连带改变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既反映中央政策意图，也受到地方财政余裕和招商策略的影响。本文基准工具变量之所以采用“同城市同年度其他公司平均补助”，制度逻辑就来自这种地方财政政策的共同波动；后文补充的精炼双工具变量，则进一步借助行业政策倾向和省市层面的留一法波动削弱共同冲击。考虑到安慰剂检验还暴露出时变行业趋势的混淆风险，本文进一步采用两类补充识别策略：一是使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Lewbel（2012）的做法利用控制变量与一阶段残差乘积构造异方差内生工具变量，不依赖任何外部信息；此外还把企业早期补贴暴露度与全国（排除本省）行业补贴增量交互，构造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工具变量，以利用行业外部冲击在不同既有暴露度企业之间的异质传导提取外生成分。</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同时出现，因此本文不把补贴简单看作财务变量，而是把它视作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后文之所以将产权性质和行业监管强度作为重点异质性维度，理论动因也来自这里。</w:t>
      </w:r>
    </w:p>
    <w:p>
      <w:pPr>
        <w:spacing w:line="312" w:lineRule="auto" w:before="0" w:after="0"/>
        <w:ind w:firstLine="420"/>
        <w:jc w:val="both"/>
      </w:pPr>
      <w:r>
        <w:rPr>
          <w:rFonts w:hint="eastAsia" w:ascii="Times New Roman" w:hAnsi="Times New Roman" w:eastAsia="宋体"/>
          <w:b w:val="0"/>
          <w:sz w:val="21"/>
        </w:rPr>
        <w:t xml:space="preserve">顺着这一层制度背景往下看，就能理解本文为什么把固定效应、中介效应和机器学习稳健性检验放进同一套研究设计里。固定效应和滞后设定更适合区分“企业原本就不同”和“补贴变动之后发生了什么”；中介效应检验侧重观察权力渠道是否存在传导线索；机器学习稳健性检验则在统一样本上复核财政补贴与管理层权力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保持一致。第二章的理论推演，归根到底要解释的并不只是补贴为什么会推高超额薪酬，更是为什么这一关系未必会在所有企业中以同样的强度出现。</w:t>
      </w:r>
    </w:p>
    <w:bookmarkEnd w:id="18"/>
    <w:bookmarkEnd w:id="19"/>
    <w:bookmarkStart w:id="22" w:name="研究假设"/>
    <w:p>
      <w:pPr>
        <w:pStyle w:val="2"/>
        <w:spacing w:line="312" w:lineRule="auto" w:before="0" w:after="0"/>
        <w:ind w:firstLine="0"/>
        <w:jc w:val="left"/>
      </w:pPr>
      <w:bookmarkStart w:id="94" w:name="_TocAuto0022"/>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94"/>
    </w:p>
    <w:p>
      <w:pPr>
        <w:spacing w:line="312" w:lineRule="auto" w:before="0" w:after="0"/>
        <w:ind w:firstLine="420"/>
        <w:jc w:val="both"/>
      </w:pPr>
      <w:r>
        <w:rPr>
          <w:rFonts w:hint="eastAsia" w:ascii="Times New Roman" w:hAnsi="Times New Roman" w:eastAsia="宋体"/>
          <w:b w:val="0"/>
          <w:sz w:val="21"/>
        </w:rPr>
        <w:t xml:space="preserve">以上讨论大致可以收束为一个分层框架：代理理论解释补贴为何会演化为管理层收益，管理者权力理论说明这种转化依赖什么内部结构，信号传递理论则补足外部信息环境怎样改变传导强弱。把三者合起来看，财政补贴就不只是资源变量，它还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基于上述理论分析，本文正式提出以下两个核心研究假设：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pPr>
        <w:spacing w:line="312" w:lineRule="auto" w:before="0" w:after="0"/>
        <w:ind w:firstLine="420"/>
        <w:jc w:val="both"/>
      </w:pPr>
      <w:r>
        <w:rPr>
          <w:rFonts w:hint="eastAsia" w:ascii="Times New Roman" w:hAnsi="Times New Roman" w:eastAsia="宋体"/>
          <w:b w:val="0"/>
          <w:bCs/>
          <w:sz w:val="21"/>
        </w:rPr>
        <w:t xml:space="preserve">假设H2（中介效应假设）</w:t>
      </w:r>
      <w:r>
        <w:rPr>
          <w:rFonts w:hint="eastAsia" w:ascii="Times New Roman" w:hAnsi="Times New Roman" w:eastAsia="宋体"/>
          <w:b w:val="0"/>
          <w:sz w:val="21"/>
        </w:rPr>
        <w:t xml:space="preserve">：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机制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 xml:space="preserve">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口径作敏感性对照，对相关路径始终保持审慎解释。第四章的机制检验即围绕这一链条展开。</w:t>
      </w:r>
    </w:p>
    <w:bookmarkEnd w:id="20"/>
    <w:bookmarkEnd w:id="21"/>
    <w:bookmarkStart w:id="23" w:name="第三章-研究设计"/>
    <w:p>
      <w:pPr>
        <w:pStyle w:val="1"/>
        <w:pageBreakBefore/>
        <w:spacing w:line="312" w:lineRule="auto" w:before="0" w:after="0"/>
        <w:ind w:firstLine="0"/>
        <w:jc w:val="center"/>
      </w:pPr>
      <w:bookmarkStart w:id="95" w:name="_TocAuto0023"/>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95"/>
    </w:p>
    <w:bookmarkStart w:id="24" w:name="研究思路与分析框架"/>
    <w:p>
      <w:pPr>
        <w:pStyle w:val="2"/>
        <w:spacing w:line="312" w:lineRule="auto" w:before="0" w:after="0"/>
        <w:ind w:firstLine="0"/>
        <w:jc w:val="left"/>
      </w:pPr>
      <w:bookmarkStart w:id="96" w:name="_TocAuto0024"/>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96"/>
    </w:p>
    <w:p>
      <w:pPr>
        <w:spacing w:line="312" w:lineRule="auto" w:before="0" w:after="0"/>
        <w:ind w:firstLine="420"/>
        <w:jc w:val="both"/>
      </w:pPr>
      <w:r>
        <w:rPr>
          <w:rFonts w:hint="eastAsia" w:ascii="Times New Roman" w:hAnsi="Times New Roman" w:eastAsia="宋体"/>
          <w:b w:val="0"/>
          <w:sz w:val="21"/>
        </w:rPr>
        <w:t xml:space="preserve">本文的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企业获得财政补贴后，最直接的变化是可支配资源增加，账面利润也会随之改善，这会改变薪酬安排所面临的资源约束；同时，补贴从申请到使用通常都需要高管深度介入，这又会提升其在组织内部的议程设置权和资源支配权。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稳健性检验，在与机制模型一致的变量设定下复核财政补贴与管理层权力的重要性、方向一致性和财政补贴的局部趋势。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97" w:name="_TocAuto0025"/>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97"/>
    </w:p>
    <w:p>
      <w:pPr>
        <w:spacing w:line="312" w:lineRule="auto" w:before="0" w:after="0"/>
        <w:ind w:firstLine="420"/>
        <w:jc w:val="both"/>
      </w:pPr>
      <w:r>
        <w:rPr>
          <w:rFonts w:hint="eastAsia" w:ascii="Times New Roman" w:hAnsi="Times New Roman" w:eastAsia="宋体"/>
          <w:b w:val="0"/>
          <w:sz w:val="21"/>
        </w:rP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金融行业被首先剔除，因为其资产负债结构和监管氛围与一般实业企业差异过大，直接并入会让薪酬与补贴的比较基准失真。研究期间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本文按合并后简称字段中的标签进行识别和剔除，目的是排除财务异常、退市风险和极端经营状态的样本，尽量保证不同公司之间薪酬与补贴比较基准的可比性。对于政府补助数据，若公司年度未披露补助项目，则该年度补助金额记为0，以避免零补贴观测在对数处理时被机械删除；少量负值观测在构造基准对数变量时按0处理。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的样本为50,171条；在基准回归中加入滞后一期补助变量后，模型2样本为49,755条；在中介效应检验中要求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机器学习稳健性检验与模型3至模型5保持同一变量口径，因此其可用样本同样为47,055条。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为了避免不同实证模块的样本口径被混为一谈，这里专门说明样本量的变化。第一步，期望薪酬模型使用52,805条观测构造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Overpay；第二步，基准回归模型2在加入滞后一期财政补贴后，样本降至49,755条；第三步，机制检验需要管理层权力综合指标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Power（FA）完整，因此统一样本进一步降至47,055条。第四步，第四章最后一节的机器学习稳健性检验并未额外加入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的底层分项、地区变量、企业属性或其他扩展特征，而是仅使用与模型3至模型5一致的五个变量，即</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因此机器学习样本不再在47,055条基础上继续缩窄，而是与机制统一样本完全一致。这样的处理可以把“主回归样本”和“机制及机器学习样本”清楚区分开来，避免在答辩时把不同问题对应的样本边界混为一谈。</w:t>
      </w:r>
    </w:p>
    <w:bookmarkEnd w:id="23"/>
    <w:bookmarkStart w:id="26" w:name="变量设定与说明"/>
    <w:p>
      <w:pPr>
        <w:pStyle w:val="2"/>
        <w:spacing w:line="312" w:lineRule="auto" w:before="0" w:after="0"/>
        <w:ind w:firstLine="0"/>
        <w:jc w:val="left"/>
      </w:pPr>
      <w:bookmarkStart w:id="98" w:name="_TocAuto0026"/>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98"/>
    </w:p>
    <w:bookmarkStart w:id="27" w:name="被解释变量高管超额薪酬overpay"/>
    <w:p>
      <w:pPr>
        <w:pStyle w:val="31"/>
        <w:spacing w:line="312" w:lineRule="auto" w:before="0" w:after="0"/>
        <w:ind w:firstLine="420"/>
        <w:jc w:val="left"/>
      </w:pPr>
      <w:bookmarkStart w:id="99" w:name="_TocAuto0027"/>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bookmarkEnd w:id="99"/>
    </w:p>
    <w:p>
      <w:pPr>
        <w:spacing w:line="312" w:lineRule="auto" w:before="0" w:after="0"/>
        <w:ind w:firstLine="420"/>
        <w:jc w:val="both"/>
      </w:pPr>
      <w:r>
        <w:rPr>
          <w:rFonts w:hint="eastAsia" w:ascii="Times New Roman" w:hAnsi="Times New Roman" w:eastAsia="宋体"/>
          <w:b w:val="0"/>
          <w:sz w:val="21"/>
        </w:rPr>
        <w:t xml:space="preserve">高管超额薪酬以期望薪酬模型的回归残差直接度量。本文以高管前三名薪酬总额的对数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作为核心解释变量，并控制行业和年份固定效应。对应的期望薪酬模型为：</w:t>
      </w:r>
    </w:p>
    <w:p>
      <w:pPr>
        <w:pStyle w:val="a4"/>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期望薪酬模型的残差项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bookmarkStart w:id="100" w:name="_TocAuto0028"/>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bookmarkEnd w:id="100"/>
    </w:p>
    <w:p>
      <w:pPr>
        <w:spacing w:line="312" w:lineRule="auto" w:before="0" w:after="0"/>
        <w:ind w:firstLine="420"/>
        <w:jc w:val="both"/>
      </w:pPr>
      <w:r>
        <w:rPr>
          <w:rFonts w:hint="eastAsia" w:ascii="Times New Roman" w:hAnsi="Times New Roman" w:eastAsia="宋体"/>
          <w:b w:val="0"/>
          <w:sz w:val="21"/>
        </w:rPr>
        <w:t xml:space="preserve">核心解释变量为企业年度政府补助金额的对数值：</w:t>
      </w:r>
    </w:p>
    <w:p>
      <w:pPr>
        <w:pStyle w:val="a4"/>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p>
    <w:p>
      <w:pPr>
        <w:spacing w:line="312" w:lineRule="auto" w:before="0" w:after="0"/>
        <w:ind w:firstLine="420"/>
        <w:jc w:val="both"/>
      </w:pPr>
      <w:r>
        <w:rPr>
          <w:rFonts w:hint="eastAsia" w:ascii="Times New Roman" w:hAnsi="Times New Roman" w:eastAsia="宋体"/>
          <w:b w:val="0"/>
          <w:sz w:val="21"/>
        </w:rPr>
        <w:t xml:space="preserve">这里沿用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以此为出发点，本文将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。稳健性检验部分另行使用“仅对正补助取对数”的替代口径，以检验结论对补贴定义方式是否敏感。</w:t>
      </w:r>
    </w:p>
    <w:bookmarkEnd w:id="25"/>
    <w:bookmarkStart w:id="29" w:name="控制变量"/>
    <w:p>
      <w:pPr>
        <w:pStyle w:val="31"/>
        <w:spacing w:line="312" w:lineRule="auto" w:before="0" w:after="0"/>
        <w:ind w:firstLine="420"/>
        <w:jc w:val="left"/>
      </w:pPr>
      <w:bookmarkStart w:id="101" w:name="_TocAuto0029"/>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bookmarkEnd w:id="101"/>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（Zone），并进一步控制行业和年份效应，把规模、业绩、资产结构以及地区薪酬基准这些常规差异尽量吸收进期望薪酬模型。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期望薪酬模型回归残差，正值表示薪酬高于基准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hint="eastAsia" w:ascii="Times New Roman" w:hAnsi="Times New Roman" w:eastAsia="宋体"/>
                <w:sz w:val="18"/>
              </w:rPr>
              <w:t xml:space="preserve">ln(1+政府补助)，未披露补助记为0</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bookmarkStart w:id="102" w:name="_TocAuto0030"/>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bookmarkEnd w:id="102"/>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在本文中主要作为中介变量使用。正文主线将其定义为基于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 xml:space="preserve">的诊断结果，统一放在第四章中介效应分析部分展开。</w:t>
      </w:r>
    </w:p>
    <w:bookmarkEnd w:id="27"/>
    <w:bookmarkEnd w:id="28"/>
    <w:bookmarkStart w:id="31" w:name="模型设定"/>
    <w:p>
      <w:pPr>
        <w:pStyle w:val="2"/>
        <w:spacing w:line="312" w:lineRule="auto" w:before="0" w:after="0"/>
        <w:ind w:firstLine="0"/>
        <w:jc w:val="left"/>
      </w:pPr>
      <w:bookmarkStart w:id="103" w:name="_TocAuto0031"/>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103"/>
    </w:p>
    <w:bookmarkStart w:id="32" w:name="第一阶段期望薪酬模型"/>
    <w:p>
      <w:pPr>
        <w:pStyle w:val="31"/>
        <w:spacing w:line="312" w:lineRule="auto" w:before="0" w:after="0"/>
        <w:ind w:firstLine="420"/>
        <w:jc w:val="left"/>
      </w:pPr>
      <w:bookmarkStart w:id="104" w:name="_TocAuto0032"/>
      <w:r>
        <w:rPr>
          <w:rFonts w:ascii="Times New Roman" w:hAnsi="Times New Roman" w:eastAsia="宋体"/>
          <w:b w:val="0"/>
          <w:sz w:val="24"/>
        </w:rPr>
        <w:t xml:space="preserve">3.4.1 </w:t>
      </w:r>
      <w:r>
        <w:rPr>
          <w:rFonts w:hint="eastAsia" w:ascii="Times New Roman" w:hAnsi="Times New Roman" w:eastAsia="宋体"/>
          <w:b w:val="0"/>
          <w:sz w:val="24"/>
        </w:rPr>
        <w:t xml:space="preserve">第一阶段：期望薪酬模型</w:t>
      </w:r>
      <w:bookmarkEnd w:id="104"/>
    </w:p>
    <w:p>
      <w:pPr>
        <w:spacing w:line="312" w:lineRule="auto" w:before="0" w:after="0"/>
        <w:ind w:firstLine="420"/>
        <w:jc w:val="both"/>
      </w:pPr>
      <w:r>
        <w:rPr>
          <w:rFonts w:hint="eastAsia" w:ascii="Times New Roman" w:hAnsi="Times New Roman" w:eastAsia="宋体"/>
          <w:b w:val="0"/>
          <w:sz w:val="21"/>
        </w:rPr>
        <w:t xml:space="preserve">期望薪酬模型直接沿用Core等（1999）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的基本思路：</w:t>
      </w:r>
    </w:p>
    <w:p>
      <w:pPr>
        <w:pStyle w:val="a4"/>
        <w:tabs>
          <w:tab w:pos="8617" w:val="right"/>
        </w:tabs>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1</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第二阶段基准回归模型"/>
    <w:p>
      <w:pPr>
        <w:pStyle w:val="31"/>
        <w:spacing w:line="312" w:lineRule="auto" w:before="0" w:after="0"/>
        <w:ind w:firstLine="420"/>
        <w:jc w:val="left"/>
      </w:pPr>
      <w:bookmarkStart w:id="105" w:name="_TocAuto0033"/>
      <w:r>
        <w:rPr>
          <w:rFonts w:ascii="Times New Roman" w:hAnsi="Times New Roman" w:eastAsia="宋体"/>
          <w:b w:val="0"/>
          <w:sz w:val="24"/>
        </w:rPr>
        <w:t xml:space="preserve">3.4.2 </w:t>
      </w:r>
      <w:r>
        <w:rPr>
          <w:rFonts w:hint="eastAsia" w:ascii="Times New Roman" w:hAnsi="Times New Roman" w:eastAsia="宋体"/>
          <w:b w:val="0"/>
          <w:sz w:val="24"/>
        </w:rPr>
        <w:t xml:space="preserve">第二阶段：基准回归模型</w:t>
      </w:r>
      <w:bookmarkEnd w:id="105"/>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ascii="Times New Roman" w:hAnsi="Times New Roman" w:eastAsia="宋体"/>
          <w:b w:val="0"/>
          <w:sz w:val="21"/>
        </w:rPr>
        <w:t xml:space="preserve">）作为核心解释变量，并加入企业层面控制变量、公司固定效应和年份固定效应：</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2</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表示年份固定效应。本文最关注的是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30"/>
    <w:bookmarkStart w:id="34" w:name="工具变量模型"/>
    <w:p>
      <w:pPr>
        <w:pStyle w:val="31"/>
        <w:spacing w:line="312" w:lineRule="auto" w:before="0" w:after="0"/>
        <w:ind w:firstLine="420"/>
        <w:jc w:val="left"/>
      </w:pPr>
      <w:bookmarkStart w:id="106" w:name="_TocAuto0034"/>
      <w:r>
        <w:rPr>
          <w:rFonts w:ascii="Times New Roman" w:hAnsi="Times New Roman" w:eastAsia="宋体"/>
          <w:b w:val="0"/>
          <w:sz w:val="24"/>
        </w:rPr>
        <w:t xml:space="preserve">3.4.3 </w:t>
      </w:r>
      <w:r>
        <w:rPr>
          <w:rFonts w:hint="eastAsia" w:ascii="Times New Roman" w:hAnsi="Times New Roman" w:eastAsia="宋体"/>
          <w:b w:val="0"/>
          <w:sz w:val="24"/>
        </w:rPr>
        <w:t xml:space="preserve">工具变量模型</w:t>
      </w:r>
      <w:bookmarkEnd w:id="106"/>
    </w:p>
    <w:p>
      <w:pPr>
        <w:spacing w:line="312" w:lineRule="auto" w:before="0" w:after="0"/>
        <w:ind w:firstLine="420"/>
        <w:jc w:val="both"/>
      </w:pPr>
      <w:r>
        <w:rPr>
          <w:rFonts w:hint="eastAsia" w:ascii="Times New Roman" w:hAnsi="Times New Roman" w:eastAsia="宋体"/>
          <w:b w:val="0"/>
          <w:sz w:val="21"/>
        </w:rPr>
        <w:t xml:space="preserve">考虑到财政补贴容易受到选择性配置和反向因果的干扰，本文在公司固定效应框架下使用两阶段最小二乘法（2SLS）开展工具变量检验。第一层识别仍沿用“公司固定效应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年份固定效应”的常规</w:t>
      </w:r>
      <w:r>
        <w:rPr>
          <w:rFonts w:ascii="Times New Roman" w:hAnsi="Times New Roman" w:eastAsia="宋体"/>
          <w:b w:val="0"/>
          <w:sz w:val="21"/>
        </w:rPr>
        <w:t xml:space="preserve"> FE-2SLS </w:t>
      </w:r>
      <w:r>
        <w:rPr>
          <w:rFonts w:hint="eastAsia" w:ascii="Times New Roman" w:hAnsi="Times New Roman" w:eastAsia="宋体"/>
          <w:b w:val="0"/>
          <w:sz w:val="21"/>
        </w:rPr>
        <w:t xml:space="preserve">设定。基准工具变量设定为“同城市同年度其他公司平均补助”的滞后一期值，即</w:t>
      </w:r>
      <w:r>
        <w:rPr>
          <w:rFonts w:ascii="Times New Roman" w:hAnsi="Times New Roman" w:eastAsia="宋体"/>
          <w:b w:val="0"/>
          <w:sz w:val="21"/>
        </w:rP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ascii="Times New Roman" w:hAnsi="Times New Roman" w:eastAsia="宋体"/>
          <w:b w:val="0"/>
          <w:sz w:val="21"/>
        </w:rPr>
        <w:t xml:space="preserve">，其制度逻辑是同城企业会共同受到地方财政政策波动影响；同时，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与基准回归模型一致，常规工具变量模型仍控制</w:t>
      </w:r>
      <w:r>
        <w:rPr>
          <w:rFonts w:ascii="Times New Roman" w:hAnsi="Times New Roman" w:eastAsia="宋体"/>
          <w:b w:val="0"/>
          <w:sz w:val="21"/>
        </w:rPr>
        <w:t xml:space="preserve"> 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Top1，并同时纳入公司固定效应与年份固定效应。以单工具设定表示时，第一阶段回归写为：</w:t>
      </w:r>
    </w:p>
    <w:p>
      <w:pPr>
        <w:pStyle w:val="a4"/>
        <w:tabs>
          <w:tab w:pos="8617" w:val="right"/>
        </w:tabs>
      </w:pPr>
      <m:oMathPara>
        <m:oMathParaPr>
          <m:jc m:val="center"/>
        </m:oMathParaPr>
        <m:oMath>
          <m:r>
            <m:rPr>
              <m:sty m:val="p"/>
            </m:rPr>
            <m:t>ln</m:t>
          </m:r>
          <m:sSub>
            <m:e>
              <m:r>
                <m:rPr>
                  <m:nor/>
                  <m:sty m:val="p"/>
                </m:rPr>
                <m:t>Subsidy</m:t>
              </m:r>
            </m:e>
            <m:sub>
              <m:r>
                <m:t>i</m:t>
              </m:r>
              <m:r>
                <m:rPr>
                  <m:sty m:val="p"/>
                </m:rPr>
                <m:t>,</m:t>
              </m:r>
              <m:r>
                <m:t>t</m:t>
              </m:r>
              <m:r>
                <m:rPr>
                  <m:sty m:val="p"/>
                </m:rPr>
                <m:t>−</m:t>
              </m:r>
              <m:r>
                <m:t>1</m:t>
              </m:r>
            </m:sub>
          </m:sSub>
          <m:r>
            <m:rPr>
              <m:sty m:val="p"/>
            </m:rPr>
            <m:t>=</m:t>
          </m:r>
          <m:r>
            <m:t>α</m:t>
          </m:r>
          <m:r>
            <m:rPr>
              <m:sty m:val="p"/>
            </m:rPr>
            <m:t>+</m:t>
          </m:r>
          <m:sSub>
            <m:e>
              <m:r>
                <m:t>π</m:t>
              </m:r>
            </m:e>
            <m:sub>
              <m:r>
                <m:t>1</m:t>
              </m:r>
            </m:sub>
          </m:sSub>
          <m:r>
            <m:t>I</m:t>
          </m:r>
          <m:sSub>
            <m:e>
              <m:r>
                <m:t>V</m:t>
              </m:r>
            </m:e>
            <m:sub>
              <m:r>
                <m:rPr>
                  <m:sty m:val="p"/>
                </m:rPr>
                <m:t>ln</m:t>
              </m:r>
              <m:sSub>
                <m:e>
                  <m:r>
                    <m:rPr>
                      <m:nor/>
                      <m:sty m:val="p"/>
                    </m:rPr>
                    <m:t>Subsidy</m:t>
                  </m:r>
                </m:e>
                <m:sub>
                  <m:r>
                    <m:t>i</m:t>
                  </m:r>
                  <m:r>
                    <m:rPr>
                      <m:sty m:val="p"/>
                    </m:rPr>
                    <m:t>,</m:t>
                  </m:r>
                  <m:r>
                    <m:t>t</m:t>
                  </m:r>
                  <m:r>
                    <m:rPr>
                      <m:sty m:val="p"/>
                    </m:rPr>
                    <m:t>−</m:t>
                  </m:r>
                  <m:r>
                    <m:t>1</m:t>
                  </m:r>
                </m:sub>
              </m:sSub>
            </m:sub>
          </m:sSub>
          <m:r>
            <m:rPr>
              <m:sty m:val="p"/>
            </m:rPr>
            <m:t>+</m:t>
          </m:r>
          <m:sSub>
            <m:e>
              <m:r>
                <m:t>π</m:t>
              </m:r>
            </m:e>
            <m:sub>
              <m:r>
                <m:t>2</m:t>
              </m:r>
            </m:sub>
          </m:sSub>
          <m:sSub>
            <m:e>
              <m:r>
                <m:rPr>
                  <m:nor/>
                  <m:sty m:val="p"/>
                </m:rPr>
                <m:t>Roa</m:t>
              </m:r>
            </m:e>
            <m:sub>
              <m:r>
                <m:t>i</m:t>
              </m:r>
              <m:r>
                <m:t>t</m:t>
              </m:r>
            </m:sub>
          </m:sSub>
          <m:r>
            <m:rPr>
              <m:sty m:val="p"/>
            </m:rPr>
            <m:t>+</m:t>
          </m:r>
          <m:sSub>
            <m:e>
              <m:r>
                <m:t>π</m:t>
              </m:r>
            </m:e>
            <m:sub>
              <m:r>
                <m:t>3</m:t>
              </m:r>
            </m:sub>
          </m:sSub>
          <m:sSub>
            <m:e>
              <m:r>
                <m:rPr>
                  <m:nor/>
                  <m:sty m:val="p"/>
                </m:rPr>
                <m:t>Lever</m:t>
              </m:r>
            </m:e>
            <m:sub>
              <m:r>
                <m:t>i</m:t>
              </m:r>
              <m:r>
                <m:t>t</m:t>
              </m:r>
            </m:sub>
          </m:sSub>
          <m:r>
            <m:rPr>
              <m:sty m:val="p"/>
            </m:rPr>
            <m:t>+</m:t>
          </m:r>
          <m:sSub>
            <m:e>
              <m:r>
                <m:t>π</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ν</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3</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用来预测企业个体滞后一期财政补贴中的外生成分；若工具变量有效，则</w:t>
      </w:r>
      <w:r>
        <w:rPr>
          <w:rFonts w:ascii="Times New Roman" w:hAnsi="Times New Roman" w:eastAsia="宋体"/>
          <w:b w:val="0"/>
          <w:sz w:val="21"/>
        </w:rPr>
        <w:t xml:space="preserve"> </w:t>
      </w:r>
      <m:oMath>
        <m:sSub>
          <m:e>
            <m:r>
              <m:t>π</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应显著不为0。第二阶段则使用第一阶段得到的拟合值</w:t>
      </w:r>
      <w:r>
        <w:rPr>
          <w:rFonts w:ascii="Times New Roman" w:hAnsi="Times New Roman" w:eastAsia="宋体"/>
          <w:b w:val="0"/>
          <w:sz w:val="21"/>
        </w:rPr>
        <w:t xml:space="preserve"> </w:t>
      </w:r>
      <m:oMath>
        <m:sSub>
          <m:e>
            <m:acc>
              <m:accPr>
                <m:chr m:val="̂"/>
              </m:accPr>
              <m:e>
                <m:r>
                  <m:rPr>
                    <m:sty m:val="p"/>
                  </m:rPr>
                  <m:t>ln</m:t>
                </m:r>
                <m:r>
                  <m:rPr>
                    <m:nor/>
                    <m:sty m:val="p"/>
                  </m:rPr>
                  <m:t>Subsidy</m:t>
                </m:r>
              </m:e>
            </m:acc>
          </m:e>
          <m:sub>
            <m:r>
              <m:t>i</m:t>
            </m:r>
            <m:r>
              <m:rPr>
                <m:sty m:val="p"/>
              </m:rPr>
              <m:t>,</m:t>
            </m:r>
            <m:r>
              <m:t>t</m:t>
            </m:r>
            <m:r>
              <m:rPr>
                <m:sty m:val="p"/>
              </m:rPr>
              <m:t>−</m:t>
            </m:r>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解释超额薪酬：</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sSub>
            <m:e>
              <m:acc>
                <m:accPr>
                  <m:chr m:val="̂"/>
                </m:accPr>
                <m:e>
                  <m:r>
                    <m:rPr>
                      <m:sty m:val="p"/>
                    </m:rPr>
                    <m:t>ln</m:t>
                  </m:r>
                  <m:r>
                    <m:rPr>
                      <m:nor/>
                      <m:sty m:val="p"/>
                    </m:rPr>
                    <m:t>Subsidy</m:t>
                  </m:r>
                </m:e>
              </m:acc>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4</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若第二阶段中的</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在统计上显著，则可将财政补贴的影响理解为在该组工具变量识别下更接近因果的条件相关结果；反之，则说明即便利用地方财政政策与行业政策的共同波动提取外生成分，补贴对超额薪酬的影响仍不稳健。</w:t>
      </w:r>
    </w:p>
    <w:p>
      <w:pPr>
        <w:spacing w:line="312" w:lineRule="auto" w:before="0" w:after="0"/>
        <w:ind w:firstLine="420"/>
        <w:jc w:val="both"/>
      </w:pPr>
      <w:r>
        <w:rPr>
          <w:rFonts w:hint="eastAsia" w:ascii="Times New Roman" w:hAnsi="Times New Roman" w:eastAsia="宋体"/>
          <w:b w:val="0"/>
          <w:sz w:val="21"/>
        </w:rPr>
        <w:t xml:space="preserve">为进一步强化内生性处理，本文在三套常规工具变量之外，补充引入两类识别逻辑不同的方案。其一，采用“滞后三期同省同年其他企业平均补助”作为深度滞后工具变量，以更大的时间距离削弱反向因果；其二，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Lewbel（2012）的做法，利用控制变量去中心化值与一阶段</w:t>
      </w:r>
      <w:r>
        <w:rPr>
          <w:rFonts w:ascii="Times New Roman" w:hAnsi="Times New Roman" w:eastAsia="宋体"/>
          <w:b w:val="0"/>
          <w:sz w:val="21"/>
        </w:rPr>
        <w:t xml:space="preserve"> OLS </w:t>
      </w:r>
      <w:r>
        <w:rPr>
          <w:rFonts w:hint="eastAsia" w:ascii="Times New Roman" w:hAnsi="Times New Roman" w:eastAsia="宋体"/>
          <w:b w:val="0"/>
          <w:sz w:val="21"/>
        </w:rPr>
        <w:t xml:space="preserve">残差的乘积构造工具变量矩阵，仅在存在条件异方差的情形下有效，不依赖任何外部信息来源。</w:t>
      </w:r>
    </w:p>
    <w:p>
      <w:pPr>
        <w:spacing w:line="312" w:lineRule="auto" w:before="0" w:after="0"/>
        <w:ind w:firstLine="420"/>
        <w:jc w:val="both"/>
      </w:pPr>
      <w:r>
        <w:rPr>
          <w:rFonts w:hint="eastAsia" w:ascii="Times New Roman" w:hAnsi="Times New Roman" w:eastAsia="宋体"/>
          <w:b w:val="0"/>
          <w:sz w:val="21"/>
        </w:rPr>
        <w:t xml:space="preserve">此外，本文还以企业早期补贴暴露度与“全国（排除本省）行业补贴均值年度增量”交互构造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年份固定效应”框架估计，观察预定暴露度差异能否为补贴提供额外外生成分。另需说明的是，Heckman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两步法并不用于替代基准回归，而是专门用于只保留正补助样本的替代口径回归：第一步以正补助口径变量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是否可观测构造选择方程，第二步再将逆米尔斯比率纳入公司和年份固定效应回归，以检验“仅正补助样本”结果是否主要由样本选择偏差驱动。</w:t>
      </w:r>
    </w:p>
    <w:p>
      <w:pPr>
        <w:spacing w:line="312" w:lineRule="auto" w:before="0" w:after="0"/>
        <w:ind w:firstLine="420"/>
        <w:jc w:val="both"/>
      </w:pPr>
      <w:r>
        <w:rPr>
          <w:rFonts w:hint="eastAsia" w:ascii="Times New Roman" w:hAnsi="Times New Roman" w:eastAsia="宋体"/>
          <w:b w:val="0"/>
          <w:sz w:val="21"/>
        </w:rPr>
        <w:t xml:space="preserve">考虑到现有材料不足以支撑严格的准自然实验识别，本文还补充实施两类不依赖外部政策库的辅助诊断：一是使用未来一期和未来两期补贴替代当前解释变量的安慰剂检验，并比较“公司固定效应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31"/>
    <w:bookmarkStart w:id="35" w:name="基于管理层权力的机制检验"/>
    <w:p>
      <w:pPr>
        <w:pStyle w:val="31"/>
        <w:spacing w:line="312" w:lineRule="auto" w:before="0" w:after="0"/>
        <w:ind w:firstLine="420"/>
        <w:jc w:val="left"/>
      </w:pPr>
      <w:bookmarkStart w:id="107" w:name="_TocAuto0035"/>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基于管理层权力的机制检验</w:t>
      </w:r>
      <w:bookmarkEnd w:id="107"/>
    </w:p>
    <w:p>
      <w:pPr>
        <w:spacing w:line="312" w:lineRule="auto" w:before="0" w:after="0"/>
        <w:ind w:firstLine="420"/>
        <w:jc w:val="both"/>
      </w:pPr>
      <w:r>
        <w:rPr>
          <w:rFonts w:hint="eastAsia" w:ascii="Times New Roman" w:hAnsi="Times New Roman" w:eastAsia="宋体"/>
          <w:b w:val="0"/>
          <w:sz w:val="21"/>
        </w:rPr>
        <w:t xml:space="preserve">在完成基准回归与工具变量检验之后，本文再按照Baron和Kenny（1986）</w:t>
      </w:r>
      <w:r>
        <w:rPr>
          <w:rFonts w:ascii="Times New Roman" w:hAnsi="Times New Roman" w:eastAsia="宋体"/>
          <w:b w:val="0"/>
          <w:sz w:val="21"/>
          <w:vertAlign w:val="superscript"/>
        </w:rPr>
        <w:t>[12]</w:t>
      </w:r>
      <w:r>
        <w:rPr>
          <w:rFonts w:hint="eastAsia" w:ascii="Times New Roman" w:hAnsi="Times New Roman" w:eastAsia="宋体"/>
          <w:b w:val="0"/>
          <w:sz w:val="21"/>
        </w:rPr>
        <w:t xml:space="preserve">的经典中介分析思路，检验财政补贴是否会经由管理层权力这一渠道影响超额薪酬，并辅以</w:t>
      </w:r>
      <w:r>
        <w:rPr>
          <w:rFonts w:ascii="Times New Roman" w:hAnsi="Times New Roman" w:eastAsia="宋体"/>
          <w:b w:val="0"/>
          <w:sz w:val="21"/>
        </w:rPr>
        <w:t xml:space="preserve"> Sobel </w:t>
      </w:r>
      <w:r>
        <w:rPr>
          <w:rFonts w:hint="eastAsia" w:ascii="Times New Roman" w:hAnsi="Times New Roman" w:eastAsia="宋体"/>
          <w:b w:val="0"/>
          <w:sz w:val="21"/>
        </w:rPr>
        <w:t xml:space="preserve">检验和公司层面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 xml:space="preserve">作为补充统计检验。由于主效应本身并不稳固，后文对这部分结果更强调“路径线索”，而不将其解释为严格的经典中介识别。正文主线采用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口径作测度敏感性对照。为与正文呈现顺序保持一致，机制检验模型依次编号为模型3至模型5，对应的三步回归如下：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，对应方程2）：</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5</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pStyle w:val="a4"/>
        <w:tabs>
          <w:tab w:pos="8617" w:val="right"/>
        </w:tabs>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6</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7</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pStyle w:val="a4"/>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的标准误。鉴于本文主效应本身并不稳固，且</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仅为经验性综合测度，本文主要依据间接效应的</w:t>
      </w:r>
      <w:r>
        <w:rPr>
          <w:rFonts w:ascii="Times New Roman" w:hAnsi="Times New Roman" w:eastAsia="宋体"/>
          <w:b w:val="0"/>
          <w:sz w:val="21"/>
        </w:rPr>
        <w:t xml:space="preserve"> Bootstrap 95% </w:t>
      </w:r>
      <w:r>
        <w:rPr>
          <w:rFonts w:hint="eastAsia" w:ascii="Times New Roman" w:hAnsi="Times New Roman" w:eastAsia="宋体"/>
          <w:b w:val="0"/>
          <w:sz w:val="21"/>
        </w:rPr>
        <w:t xml:space="preserve">置信区间是否跨越0来判断是否存在统计上的间接传导线索，并将路径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的方向与显著性作为辅助证据；若</w:t>
      </w:r>
      <w:r>
        <w:rPr>
          <w:rFonts w:ascii="Times New Roman" w:hAnsi="Times New Roman" w:eastAsia="宋体"/>
          <w:b w:val="0"/>
          <w:sz w:val="21"/>
        </w:rPr>
        <w:t xml:space="preserve"> Bootstrap </w:t>
      </w:r>
      <w:r>
        <w:rPr>
          <w:rFonts w:hint="eastAsia" w:ascii="Times New Roman" w:hAnsi="Times New Roman" w:eastAsia="宋体"/>
          <w:b w:val="0"/>
          <w:sz w:val="21"/>
        </w:rPr>
        <w:t xml:space="preserve">区间跨越0，则不将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108" w:name="_TocAuto0036"/>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108"/>
    </w:p>
    <w:bookmarkStart w:id="37" w:name="数据划分预处理与评价指标"/>
    <w:p>
      <w:pPr>
        <w:pStyle w:val="31"/>
        <w:spacing w:line="312" w:lineRule="auto" w:before="0" w:after="0"/>
        <w:ind w:firstLine="420"/>
        <w:jc w:val="left"/>
      </w:pPr>
      <w:bookmarkStart w:id="109" w:name="_TocAuto0037"/>
      <w:r>
        <w:rPr>
          <w:rFonts w:ascii="Times New Roman" w:hAnsi="Times New Roman" w:eastAsia="宋体"/>
          <w:b w:val="0"/>
          <w:sz w:val="24"/>
        </w:rPr>
        <w:t xml:space="preserve">3.5.1 </w:t>
      </w:r>
      <w:r>
        <w:rPr>
          <w:rFonts w:hint="eastAsia" w:ascii="Times New Roman" w:hAnsi="Times New Roman" w:eastAsia="宋体"/>
          <w:b w:val="0"/>
          <w:sz w:val="24"/>
        </w:rPr>
        <w:t xml:space="preserve">数据划分、预处理与评价指标</w:t>
      </w:r>
      <w:bookmarkEnd w:id="109"/>
    </w:p>
    <w:p>
      <w:pPr>
        <w:spacing w:line="312" w:lineRule="auto" w:before="0" w:after="0"/>
        <w:ind w:firstLine="420"/>
        <w:jc w:val="both"/>
      </w:pPr>
      <w:r>
        <w:rPr>
          <w:rFonts w:hint="eastAsia" w:ascii="Times New Roman" w:hAnsi="Times New Roman" w:eastAsia="宋体"/>
          <w:b w:val="0"/>
          <w:sz w:val="21"/>
        </w:rPr>
        <w:t xml:space="preserve">机器学习稳健性检验不承担因果识别，也不再以“预测表现谁更好”为主要目标，而是围绕第四章基准回归与机制检验中共同涉及的核心变量展开三项辅助检验。为保持与模型3至模型5的可比性，本节仅纳入滞后一期财政补贴（lnSubsidy_l1）、管理层权力综合指标（Power_FA）、业绩（Roa）、财务杠杆（Lever）和第一大股东持股比例（Top1）五个变量，不再额外加入</w:t>
      </w:r>
      <w:r>
        <w:rPr>
          <w:rFonts w:ascii="Times New Roman" w:hAnsi="Times New Roman" w:eastAsia="宋体"/>
          <w:b w:val="0"/>
          <w:sz w:val="21"/>
        </w:rPr>
        <w:t xml:space="preserve"> Power_FA </w:t>
      </w:r>
      <w:r>
        <w:rPr>
          <w:rFonts w:hint="eastAsia" w:ascii="Times New Roman" w:hAnsi="Times New Roman" w:eastAsia="宋体"/>
          <w:b w:val="0"/>
          <w:sz w:val="21"/>
        </w:rPr>
        <w:t xml:space="preserve">的底层分项或其他扩展特征，以避免同一治理信息被重复编码。第一，财政补贴和管理层权力在与其他核心变量共同进入模型后，是否仍保有可辨识的信息含量；这一问题主要由随机森林和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的特征重要性回答。第二，在正则化筛选条件下，lnSubsidy_l1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判断一致；这一问题主要由</w:t>
      </w:r>
      <w:r>
        <w:rPr>
          <w:rFonts w:ascii="Times New Roman" w:hAnsi="Times New Roman" w:eastAsia="宋体"/>
          <w:b w:val="0"/>
          <w:sz w:val="21"/>
        </w:rPr>
        <w:t xml:space="preserve"> Lasso </w:t>
      </w:r>
      <w:r>
        <w:rPr>
          <w:rFonts w:hint="eastAsia" w:ascii="Times New Roman" w:hAnsi="Times New Roman" w:eastAsia="宋体"/>
          <w:b w:val="0"/>
          <w:sz w:val="21"/>
        </w:rPr>
        <w:t xml:space="preserve">回归回答。第三，在更灵活的树模型中，财政补贴变量的部分依赖趋势是否整体向上，从而与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主回归的正向方向判断保持一致；这一问题主要由</w:t>
      </w:r>
      <w:r>
        <w:rPr>
          <w:rFonts w:ascii="Times New Roman" w:hAnsi="Times New Roman" w:eastAsia="宋体"/>
          <w:b w:val="0"/>
          <w:sz w:val="21"/>
        </w:rPr>
        <w:t xml:space="preserve"> XGBoost </w:t>
      </w:r>
      <w:r>
        <w:rPr>
          <w:rFonts w:hint="eastAsia" w:ascii="Times New Roman" w:hAnsi="Times New Roman" w:eastAsia="宋体"/>
          <w:b w:val="0"/>
          <w:sz w:val="21"/>
        </w:rPr>
        <w:t xml:space="preserve">的部分依赖图回答。由此，机器学习部分的功能是检验“核心变量是否重要”“方向是否稳定”“趋势是否一致”，本质上属于对第四章主回归与机制路径的稳健性检验，而不是对第四章结论另起一章。</w:t>
      </w:r>
    </w:p>
    <w:p>
      <w:pPr>
        <w:spacing w:line="312" w:lineRule="auto" w:before="0" w:after="0"/>
        <w:ind w:firstLine="420"/>
        <w:jc w:val="both"/>
      </w:pPr>
      <w:r>
        <w:rPr>
          <w:rFonts w:hint="eastAsia" w:ascii="Times New Roman" w:hAnsi="Times New Roman" w:eastAsia="宋体"/>
          <w:b w:val="0"/>
          <w:sz w:val="21"/>
        </w:rPr>
        <w:t xml:space="preserve">样本使用47,055个公司年度观测，与第四章机制检验的统一样本完全一致。样本按公司分组，利用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训练集（37,647条）和测试集（9,408条），确保同一公司的全部年度观测只落在一端，避免公司内序列相关抬高模型表现。输入特征共5个，即滞后一期财政补贴（lnSubsidy_l1）、管理层权力综合指标（Power_FA）、业绩（Roa）、财务杠杆（Lever）和第一大股东持股比例（Top1）。这样的设定一方面保证机器学习检验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主回归和机制检验使用同一批公司—年度观测，另一方面也避免把</w:t>
      </w:r>
      <w:r>
        <w:rPr>
          <w:rFonts w:ascii="Times New Roman" w:hAnsi="Times New Roman" w:eastAsia="宋体"/>
          <w:b w:val="0"/>
          <w:sz w:val="21"/>
        </w:rPr>
        <w:t xml:space="preserve"> Power_FA </w:t>
      </w:r>
      <w:r>
        <w:rPr>
          <w:rFonts w:hint="eastAsia" w:ascii="Times New Roman" w:hAnsi="Times New Roman" w:eastAsia="宋体"/>
          <w:b w:val="0"/>
          <w:sz w:val="21"/>
        </w:rPr>
        <w:t xml:space="preserve">与其底层指标同时纳入模型所带来的重复编码问题。被解释变量仍为第四章基准回归使用的连续型超额薪酬（Overpay），以保证机器学习分析与主回归问题保持一致。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GroupKFold，以避免同一公司的不同年份样本同时进入训练折和验证折。需要强调的是，这里的交叉验证主要用于控制过拟合和稳定模型设定，并不构成论文的主结论依据；真正用于正文判断的，是三类模型对</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的重要性排序、保留情况、系数方向和部分依赖趋势。</w:t>
      </w:r>
    </w:p>
    <w:bookmarkEnd w:id="34"/>
    <w:bookmarkStart w:id="38" w:name="随机森林方法"/>
    <w:p>
      <w:pPr>
        <w:pStyle w:val="31"/>
        <w:spacing w:line="312" w:lineRule="auto" w:before="0" w:after="0"/>
        <w:ind w:firstLine="420"/>
        <w:jc w:val="left"/>
      </w:pPr>
      <w:bookmarkStart w:id="110" w:name="_TocAuto0038"/>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bookmarkEnd w:id="110"/>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本文引入随机森林的目的，不是把它当作新的主模型，而是观察在更灵活的函数形式下，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是否仍保有可辨识的信息含量。若财政补贴和管理层权力变量在随机森林中仍有较高重要性，就说明它们并非只在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回归中才显得“有用”，从而能够为主回归与机制路径中的核心变量地位提供稳健性层面的补充证据。</w:t>
      </w:r>
    </w:p>
    <w:bookmarkEnd w:id="35"/>
    <w:bookmarkStart w:id="39" w:name="lasso回归方法"/>
    <w:p>
      <w:pPr>
        <w:pStyle w:val="31"/>
        <w:spacing w:line="312" w:lineRule="auto" w:before="0" w:after="0"/>
        <w:ind w:firstLine="420"/>
        <w:jc w:val="left"/>
      </w:pPr>
      <w:bookmarkStart w:id="111" w:name="_TocAuto0039"/>
      <w:r>
        <w:rPr>
          <w:rFonts w:ascii="Times New Roman" w:hAnsi="Times New Roman" w:eastAsia="宋体"/>
          <w:b w:val="0"/>
          <w:sz w:val="24"/>
        </w:rPr>
        <w:t xml:space="preserve">3.5.3 </w:t>
      </w:r>
      <w:r>
        <w:rPr>
          <w:rFonts w:hint="eastAsia" w:ascii="Times New Roman" w:hAnsi="Times New Roman" w:eastAsia="宋体"/>
          <w:b w:val="0"/>
          <w:sz w:val="24"/>
        </w:rPr>
        <w:t xml:space="preserve">Lasso回归方法</w:t>
      </w:r>
      <w:bookmarkEnd w:id="111"/>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回归在最小二乘目标函数中加入</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惩罚项，通过压缩系数并允许部分系数收缩为0来实现变量筛选与稀疏化估计。与普通线性回归相比，Lasso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更适合回答“在多个候选特征同时竞争时，核心变量是否仍会被模型保留下来”这一问题。本文将</w:t>
      </w:r>
      <w:r>
        <w:rPr>
          <w:rFonts w:ascii="Times New Roman" w:hAnsi="Times New Roman" w:eastAsia="宋体"/>
          <w:b w:val="0"/>
          <w:sz w:val="21"/>
        </w:rPr>
        <w:t xml:space="preserve"> Lasso </w:t>
      </w:r>
      <w:r>
        <w:rPr>
          <w:rFonts w:hint="eastAsia" w:ascii="Times New Roman" w:hAnsi="Times New Roman" w:eastAsia="宋体"/>
          <w:b w:val="0"/>
          <w:sz w:val="21"/>
        </w:rPr>
        <w:t xml:space="preserve">用作变量筛选与方向一致性层面的补充工具：如果</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在正则化筛选后都未被压缩为0，且系数方向仍与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判断一致，就说明财政补贴和管理层权力的方向判断并未完全依附于某一种特定的线性设定。需要强调的是，Lasso</w:t>
      </w:r>
      <w:r>
        <w:rPr>
          <w:rFonts w:ascii="Times New Roman" w:hAnsi="Times New Roman" w:eastAsia="宋体"/>
          <w:b w:val="0"/>
          <w:sz w:val="21"/>
        </w:rPr>
        <w:t xml:space="preserve"> </w:t>
      </w:r>
      <w:r>
        <w:rPr>
          <w:rFonts w:hint="eastAsia" w:ascii="Times New Roman" w:hAnsi="Times New Roman" w:eastAsia="宋体"/>
          <w:b w:val="0"/>
          <w:sz w:val="21"/>
        </w:rPr>
        <w:t xml:space="preserve">在本文中的任务不是追求最高拟合表现，而是检验核心变量是否被保留、方向是否稳定。</w:t>
      </w:r>
    </w:p>
    <w:bookmarkEnd w:id="36"/>
    <w:bookmarkStart w:id="40" w:name="xgboost方法"/>
    <w:p>
      <w:pPr>
        <w:pStyle w:val="31"/>
        <w:spacing w:line="312" w:lineRule="auto" w:before="0" w:after="0"/>
        <w:ind w:firstLine="420"/>
        <w:jc w:val="left"/>
      </w:pPr>
      <w:bookmarkStart w:id="112" w:name="_TocAuto0040"/>
      <w:r>
        <w:rPr>
          <w:rFonts w:ascii="Times New Roman" w:hAnsi="Times New Roman" w:eastAsia="宋体"/>
          <w:b w:val="0"/>
          <w:sz w:val="24"/>
        </w:rPr>
        <w:t xml:space="preserve">3.5.4 </w:t>
      </w:r>
      <w:r>
        <w:rPr>
          <w:rFonts w:hint="eastAsia" w:ascii="Times New Roman" w:hAnsi="Times New Roman" w:eastAsia="宋体"/>
          <w:b w:val="0"/>
          <w:sz w:val="24"/>
        </w:rPr>
        <w:t xml:space="preserve">XGBoost方法</w:t>
      </w:r>
      <w:bookmarkEnd w:id="112"/>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思想的集成树模型，其通过逐步拟合前一轮模型的残差来不断提升预测能力，并在目标函数中同时加入正则化项以抑制过拟合。相较于随机森林，XGBoost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往往更适合刻画复杂非线性结构，因此本文将其作为观察财政补贴局部趋势的主要树模型。对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的解读不再放在“谁的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更高”，而是落在三个更贴近主回归和机制检验的问题上：一是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在特征重要性中是否仍排在前列；二是</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是否仍保有可辨识的重要性；三是财政补贴的部分依赖图是否整体向上。若这三个条件大体成立，就说明在更灵活的模型中，财政补贴与管理层权力变量依旧保留信息含量，而且财政补贴的整体方向判断与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主回归保持一致。</w:t>
      </w:r>
    </w:p>
    <w:bookmarkEnd w:id="37"/>
    <w:bookmarkEnd w:id="38"/>
    <w:bookmarkEnd w:id="39"/>
    <w:bookmarkStart w:id="41" w:name="第四章-实证分析"/>
    <w:p>
      <w:pPr>
        <w:pStyle w:val="1"/>
        <w:pageBreakBefore/>
        <w:spacing w:line="312" w:lineRule="auto" w:before="0" w:after="0"/>
        <w:ind w:firstLine="0"/>
        <w:jc w:val="center"/>
      </w:pPr>
      <w:bookmarkStart w:id="113" w:name="_TocAuto0041"/>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113"/>
    </w:p>
    <w:bookmarkStart w:id="42" w:name="描述性统计"/>
    <w:p>
      <w:pPr>
        <w:pStyle w:val="2"/>
        <w:spacing w:line="312" w:lineRule="auto" w:before="0" w:after="0"/>
        <w:ind w:firstLine="0"/>
        <w:jc w:val="left"/>
      </w:pPr>
      <w:bookmarkStart w:id="114" w:name="_TocAuto0042"/>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114"/>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的样本为50,171条；在基准回归模型中构造滞后一期补助后，模型2样本为49,755条；在中介效应检验中要求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0"/>
    <w:bookmarkStart w:id="43" w:name="相关性分析"/>
    <w:p>
      <w:pPr>
        <w:pStyle w:val="2"/>
        <w:spacing w:line="312" w:lineRule="auto" w:before="0" w:after="0"/>
        <w:ind w:firstLine="0"/>
        <w:jc w:val="left"/>
      </w:pPr>
      <w:bookmarkStart w:id="115" w:name="_TocAuto0043"/>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115"/>
    </w:p>
    <w:p>
      <w:pPr>
        <w:spacing w:line="312" w:lineRule="auto" w:before="0" w:after="0"/>
        <w:ind w:firstLine="420"/>
        <w:jc w:val="both"/>
      </w:pPr>
      <w:r>
        <w:rPr>
          <w:rFonts w:hint="eastAsia" w:ascii="Times New Roman" w:hAnsi="Times New Roman" w:eastAsia="宋体"/>
          <w:b w:val="0"/>
          <w:sz w:val="21"/>
        </w:rPr>
        <w:t xml:space="preserve">在开展基准回归之前，本文对主要解释变量开展了皮尔逊相关性分析和方差膨胀因子（VIF）检验，以排除多重共线性干扰。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0.001），这意味着若继续沿用常规标准误，推断结果容易失真。基于这一点，后文的基准回归、工具变量检验、机制检验、稳健性检验和异质性分析统一采用公司层面的聚类稳健标准误。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本文把它作为由四项治理特征提取出的经验性综合口径，用来压缩多个底层特征，但其潜变量结构仍偏弱，因此相关证据始终只作审慎解读。</w:t>
      </w:r>
    </w:p>
    <w:bookmarkEnd w:id="41"/>
    <w:bookmarkStart w:id="44" w:name="基准回归分析"/>
    <w:p>
      <w:pPr>
        <w:pStyle w:val="2"/>
        <w:spacing w:line="312" w:lineRule="auto" w:before="0" w:after="0"/>
        <w:ind w:firstLine="0"/>
        <w:jc w:val="left"/>
      </w:pPr>
      <w:bookmarkStart w:id="116" w:name="_TocAuto0044"/>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116"/>
    </w:p>
    <w:bookmarkStart w:id="45" w:name="期望薪酬模型估计"/>
    <w:p>
      <w:pPr>
        <w:pStyle w:val="31"/>
        <w:spacing w:line="312" w:lineRule="auto" w:before="0" w:after="0"/>
        <w:ind w:firstLine="420"/>
        <w:jc w:val="left"/>
      </w:pPr>
      <w:bookmarkStart w:id="117" w:name="_TocAuto0045"/>
      <w:r>
        <w:rPr>
          <w:rFonts w:ascii="Times New Roman" w:hAnsi="Times New Roman" w:eastAsia="宋体"/>
          <w:b w:val="0"/>
          <w:sz w:val="24"/>
        </w:rPr>
        <w:t xml:space="preserve">4.3.1 </w:t>
      </w:r>
      <w:r>
        <w:rPr>
          <w:rFonts w:hint="eastAsia" w:ascii="Times New Roman" w:hAnsi="Times New Roman" w:eastAsia="宋体"/>
          <w:b w:val="0"/>
          <w:sz w:val="24"/>
        </w:rPr>
        <w:t xml:space="preserve">期望薪酬模型估计</w:t>
      </w:r>
      <w:bookmarkEnd w:id="117"/>
    </w:p>
    <w:p>
      <w:pPr>
        <w:spacing w:line="312" w:lineRule="auto" w:before="0" w:after="0"/>
        <w:ind w:firstLine="420"/>
        <w:jc w:val="both"/>
      </w:pPr>
      <w:r>
        <w:rPr>
          <w:rFonts w:hint="eastAsia" w:ascii="Times New Roman" w:hAnsi="Times New Roman" w:eastAsia="宋体"/>
          <w:b w:val="0"/>
          <w:sz w:val="21"/>
        </w:rPr>
        <w:t xml:space="preserve">表4-4报告了方程（1）的估计结果，这是构造超额薪酬变量的基础。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第一阶段期望薪酬模型估计结果（模型1）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整体模型在1%水平上显著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表示在1%水平上显著。该模型用于估计正常薪酬水平，其残差直接定义为超额薪酬</w:t>
      </w:r>
      <w:r>
        <w:rPr>
          <w:rFonts w:ascii="Times New Roman" w:hAnsi="Times New Roman" w:eastAsia="宋体"/>
          <w:b w:val="0"/>
          <w:sz w:val="21"/>
        </w:rPr>
        <w:t xml:space="preserve"> </w:t>
      </w:r>
      <w:r>
        <w:rPr>
          <w:rFonts w:hint="eastAsia" w:ascii="Times New Roman" w:hAnsi="Times New Roman" w:eastAsia="宋体"/>
          <w:b w:val="0"/>
          <w:sz w:val="21"/>
        </w:rPr>
        <w:t xml:space="preserve">Overpay。估计结果显示，企业规模（</w:t>
      </w:r>
      <m:oMath>
        <m:r>
          <m:rPr>
            <m:sty m:val="p"/>
          </m:rPr>
          <m:t>ln</m:t>
        </m:r>
        <m:r>
          <m:rPr>
            <m:nor/>
            <m:sty m:val="p"/>
          </m:rPr>
          <m:t>Sale</m:t>
        </m:r>
      </m:oMath>
      <w:r>
        <w:rPr>
          <w:rFonts w:hint="eastAsia" w:ascii="Times New Roman" w:hAnsi="Times New Roman" w:eastAsia="宋体"/>
          <w:b w:val="0"/>
          <w:sz w:val="21"/>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为0.5113，F统计量为1316.28，并在1%水平上显著；其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2"/>
    <w:bookmarkStart w:id="46" w:name="基准回归结果"/>
    <w:p>
      <w:pPr>
        <w:pStyle w:val="31"/>
        <w:spacing w:line="312" w:lineRule="auto" w:before="0" w:after="0"/>
        <w:ind w:firstLine="420"/>
        <w:jc w:val="left"/>
      </w:pPr>
      <w:bookmarkStart w:id="118" w:name="_TocAuto0046"/>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bookmarkEnd w:id="118"/>
    </w:p>
    <w:p>
      <w:pPr>
        <w:spacing w:line="312" w:lineRule="auto" w:before="0" w:after="0"/>
        <w:ind w:firstLine="420"/>
        <w:jc w:val="both"/>
      </w:pPr>
      <w:r>
        <w:rPr>
          <w:rFonts w:hint="eastAsia" w:ascii="Times New Roman" w:hAnsi="Times New Roman" w:eastAsia="宋体"/>
          <w:b w:val="0"/>
          <w:sz w:val="21"/>
        </w:rPr>
        <w:t xml:space="preserve">在获得超额薪酬（Overpay）变量后，基于式（2）估计模型2。表4-5报告了公司固定效应、年份固定效应和公司层面聚类稳健标准误口径下的基准回归结果。由于基准回归并不要求管理层权力指标完整，因此其样本量高于后续机制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模型2</w:t>
            </w:r>
            <w:r>
              <w:rPr>
                <w:rFonts w:ascii="Times New Roman" w:hAnsi="Times New Roman" w:eastAsia="宋体"/>
                <w:b/>
                <w:sz w:val="18"/>
              </w:rPr>
              <w:t xml:space="preserve"> </w:t>
            </w:r>
            <w:r>
              <w:rPr>
                <w:rFonts w:hint="eastAsia" w:ascii="Times New Roman" w:hAnsi="Times New Roman" w:eastAsia="宋体"/>
                <w:b/>
                <w:sz w:val="18"/>
              </w:rPr>
              <w:t xml:space="preserve">因变量：Overpay</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0.0005（0.54）</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−0.8576***（−12.12）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−0.1114***（−2.77）</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−0.0027***（−3.63）</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0.0149</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44.01***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分别表示在1%、5%、10%水平上显著。标准误为公司层面聚类稳健标准误。表4-5显示，滞后一期财政补贴（lnSubsidy_l1）的系数为0.0005，符号为正，但未达到常用显著性水平（</w:t>
      </w:r>
      <m:oMath>
        <m:r>
          <m:t>p</m:t>
        </m:r>
        <m:r>
          <m:rPr>
            <m:sty m:val="p"/>
          </m:rPr>
          <m:t>=</m:t>
        </m:r>
        <m:r>
          <m:t>0.591</m:t>
        </m:r>
      </m:oMath>
      <w:r>
        <w:rPr>
          <w:rFonts w:hint="eastAsia" w:ascii="Times New Roman" w:hAnsi="Times New Roman" w:eastAsia="宋体"/>
          <w:b w:val="0"/>
          <w:sz w:val="21"/>
        </w:rPr>
        <w:t xml:space="preserve">）。这意味着在剔除特殊处理样本并使用</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由于模型2只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Overpay、滞后补助和控制变量完整，样本量达到49,755条，比机制检验的统一样本更大，因此这里仍是全文的基准回归口径。模型整体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统计量为44.01，并在1%水平上显著，说明控制变量与固定效应设定整体有效，但这并不意味着财政补贴变量本身已经形成稳定显著的平均效应。因此，就基准回归而言，H1</w:t>
      </w:r>
      <w:r>
        <w:rPr>
          <w:rFonts w:ascii="Times New Roman" w:hAnsi="Times New Roman" w:eastAsia="宋体"/>
          <w:b w:val="0"/>
          <w:sz w:val="21"/>
        </w:rPr>
        <w:t xml:space="preserve"> </w:t>
      </w:r>
      <w:r>
        <w:rPr>
          <w:rFonts w:hint="eastAsia" w:ascii="Times New Roman" w:hAnsi="Times New Roman" w:eastAsia="宋体"/>
          <w:b w:val="0"/>
          <w:sz w:val="21"/>
        </w:rPr>
        <w:t xml:space="preserve">在全样本口径下未得到直接支持。</w:t>
      </w:r>
    </w:p>
    <w:bookmarkEnd w:id="43"/>
    <w:bookmarkEnd w:id="44"/>
    <w:bookmarkStart w:id="47" w:name="内生性处理"/>
    <w:p>
      <w:pPr>
        <w:pStyle w:val="2"/>
        <w:spacing w:line="312" w:lineRule="auto" w:before="0" w:after="0"/>
        <w:ind w:firstLine="0"/>
        <w:jc w:val="left"/>
      </w:pPr>
      <w:bookmarkStart w:id="119" w:name="_TocAuto0047"/>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119"/>
    </w:p>
    <w:bookmarkStart w:id="48" w:name="内生性来源与识别局限"/>
    <w:p>
      <w:pPr>
        <w:pStyle w:val="31"/>
        <w:spacing w:line="312" w:lineRule="auto" w:before="0" w:after="0"/>
        <w:ind w:firstLine="420"/>
        <w:jc w:val="left"/>
      </w:pPr>
      <w:bookmarkStart w:id="120" w:name="_TocAuto0048"/>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bookmarkEnd w:id="120"/>
    </w:p>
    <w:p>
      <w:pPr>
        <w:spacing w:line="312" w:lineRule="auto" w:before="0" w:after="0"/>
        <w:ind w:firstLine="420"/>
        <w:jc w:val="both"/>
      </w:pPr>
      <w:r>
        <w:rPr>
          <w:rFonts w:hint="eastAsia" w:ascii="Times New Roman" w:hAnsi="Times New Roman" w:eastAsia="宋体"/>
          <w:b w:val="0"/>
          <w:sz w:val="21"/>
        </w:rPr>
        <w:t xml:space="preserve">本文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第二类威胁是反向因果。某些高超额薪酬企业中的管理层，本来就更擅长政府沟通，因此会在补贴和薪酬两端同时受益，使“高薪带来多补贴”与“多补贴带来高薪”在同期数据中缠在一起。本文使用滞后一期补贴作为核心解释变量，至少先把时间顺序固定为“补贴在前、薪酬在后”。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Lewbel（2012）异方差内生工具变量，并补充构造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工具变量，专门观察在利用更外生的识别变异后，补贴效应的方向和显著性会发生什么变化。因此，本文始终将相关结果理解为在多重识别设定下获得的条件相关证据，不将其上升为严格意义上的因果效应估计。</w:t>
      </w:r>
    </w:p>
    <w:bookmarkEnd w:id="45"/>
    <w:bookmarkStart w:id="49" w:name="工具变量检验"/>
    <w:p>
      <w:pPr>
        <w:pStyle w:val="31"/>
        <w:spacing w:line="312" w:lineRule="auto" w:before="0" w:after="0"/>
        <w:ind w:firstLine="420"/>
        <w:jc w:val="left"/>
      </w:pPr>
      <w:bookmarkStart w:id="121" w:name="_TocAuto0049"/>
      <w:r>
        <w:rPr>
          <w:rFonts w:ascii="Times New Roman" w:hAnsi="Times New Roman" w:eastAsia="宋体"/>
          <w:b w:val="0"/>
          <w:sz w:val="24"/>
        </w:rPr>
        <w:t xml:space="preserve">4.4.2 </w:t>
      </w:r>
      <w:r>
        <w:rPr>
          <w:rFonts w:hint="eastAsia" w:ascii="Times New Roman" w:hAnsi="Times New Roman" w:eastAsia="宋体"/>
          <w:b w:val="0"/>
          <w:sz w:val="24"/>
        </w:rPr>
        <w:t xml:space="preserve">工具变量检验</w:t>
      </w:r>
      <w:bookmarkEnd w:id="121"/>
    </w:p>
    <w:p>
      <w:pPr>
        <w:spacing w:line="312" w:lineRule="auto" w:before="0" w:after="0"/>
        <w:ind w:firstLine="420"/>
        <w:jc w:val="both"/>
      </w:pPr>
      <w:r>
        <w:rPr>
          <w:rFonts w:hint="eastAsia" w:ascii="Times New Roman" w:hAnsi="Times New Roman" w:eastAsia="宋体"/>
          <w:b w:val="0"/>
          <w:sz w:val="21"/>
        </w:rPr>
        <w:t xml:space="preserve">内生性问题首先对应基准回归模型（模型2），因此本文先在机制检验之前对其开展识别补充检验。考虑到单一“同城同年”工具变量虽然具有相关性，但同时承载地方共同冲击，本文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在此基础上，本文进一步引入两类识别逻辑不同的补充工具变量：一是“滞后三期同省同年其他企业平均补助”这一深度滞后省均值工具变量，利用更深的时间距离削弱近端反向因果；二是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Lewbel（2012）异方差识别原理，以控制变量与一阶段残差的乘积构造内生工具变量，不依赖任何外部信息。此外，本文还采用“公司固定效应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年份固定效应”设定下的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工具变量作为补充对照，并对只保留正补助观测的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口径采用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两步法检验选择偏差。结果见表4-6。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w:t>
      </w:r>
      <w:r>
        <w:rPr>
          <w:rFonts w:hint="eastAsia" w:ascii="Times New Roman" w:hAnsi="Times New Roman" w:eastAsia="宋体"/>
          <w:b/>
          <w:sz w:val="18"/>
        </w:rPr>
        <w:t xml:space="preserve">工具变量、增强识别与</w:t>
      </w:r>
      <w:r>
        <w:rPr>
          <w:rFonts w:ascii="Times New Roman" w:hAnsi="Times New Roman" w:eastAsia="宋体"/>
          <w:b/>
          <w:sz w:val="18"/>
        </w:rPr>
        <w:t xml:space="preserve"> Heckman </w:t>
      </w:r>
      <w:r>
        <w:rPr>
          <w:rFonts w:hint="eastAsia" w:ascii="Times New Roman" w:hAnsi="Times New Roman" w:eastAsia="宋体"/>
          <w:b/>
          <w:sz w:val="18"/>
        </w:rPr>
        <w:t xml:space="preserve">两阶段结果</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识别方案</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工具/排除变量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一阶段统计量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二阶段补贴系数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p>
            <w:pPr>
              <w:pStyle w:val="Compact"/>
              <w:spacing w:line="240" w:lineRule="auto" w:before="0" w:after="0"/>
              <w:ind w:firstLine="0"/>
              <w:jc w:val="left"/>
            </w:pPr>
            <w:r>
              <w:rPr>
                <w:rFonts w:hint="eastAsia" w:ascii="Times New Roman" w:hAnsi="Times New Roman" w:eastAsia="宋体"/>
                <w:sz w:val="18"/>
              </w:rPr>
              <w:t xml:space="preserve">基准工具变量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滞后一期同城同年其他企业平均补助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22.77</w:t>
            </w:r>
          </w:p>
        </w:tc>
        <w:tc>
          <w:tcPr/>
          <w:p>
            <w:pPr>
              <w:pStyle w:val="Compact"/>
              <w:spacing w:line="240" w:lineRule="auto" w:before="0" w:after="0"/>
              <w:ind w:firstLine="0"/>
              <w:jc w:val="center"/>
            </w:pPr>
            <w:r>
              <w:rPr>
                <w:rFonts w:hint="eastAsia" w:ascii="Times New Roman" w:hAnsi="Times New Roman" w:eastAsia="宋体"/>
                <w:sz w:val="18"/>
              </w:rPr>
              <w:t xml:space="preserve">−0.0337（t</w:t>
            </w:r>
            <w:r>
              <w:rPr>
                <w:rFonts w:ascii="Times New Roman" w:hAnsi="Times New Roman" w:eastAsia="宋体"/>
                <w:sz w:val="18"/>
              </w:rPr>
              <w:t xml:space="preserve"> = </w:t>
            </w:r>
            <w:r>
              <w:rPr>
                <w:rFonts w:hint="eastAsia" w:ascii="Times New Roman" w:hAnsi="Times New Roman" w:eastAsia="宋体"/>
                <w:sz w:val="18"/>
              </w:rPr>
              <w:t xml:space="preserve">−1.5560）</w:t>
            </w:r>
          </w:p>
        </w:tc>
        <w:tc>
          <w:tcPr/>
          <w:p>
            <w:pPr>
              <w:pStyle w:val="Compact"/>
              <w:spacing w:line="240" w:lineRule="auto" w:before="0" w:after="0"/>
              <w:ind w:firstLine="0"/>
              <w:jc w:val="center"/>
            </w:pPr>
            <w:r>
              <w:rPr>
                <w:rFonts w:ascii="Times New Roman" w:hAnsi="Times New Roman" w:eastAsia="宋体"/>
                <w:sz w:val="18"/>
              </w:rPr>
              <w:t xml:space="preserve">46,634</w:t>
            </w:r>
          </w:p>
        </w:tc>
      </w:tr>
      <w:tr>
        <w:tc>
          <w:tcPr/>
          <w:p>
            <w:pPr>
              <w:pStyle w:val="Compact"/>
              <w:spacing w:line="240" w:lineRule="auto" w:before="0" w:after="0"/>
              <w:ind w:firstLine="0"/>
              <w:jc w:val="left"/>
            </w:pPr>
            <w:r>
              <w:rPr>
                <w:rFonts w:hint="eastAsia" w:ascii="Times New Roman" w:hAnsi="Times New Roman" w:eastAsia="宋体"/>
                <w:sz w:val="18"/>
              </w:rPr>
              <w:t xml:space="preserve">简单替代工具变量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105.46</w:t>
            </w:r>
          </w:p>
        </w:tc>
        <w:tc>
          <w:tcPr/>
          <w:p>
            <w:pPr>
              <w:pStyle w:val="Compact"/>
              <w:spacing w:line="240" w:lineRule="auto" w:before="0" w:after="0"/>
              <w:ind w:firstLine="0"/>
              <w:jc w:val="center"/>
            </w:pPr>
            <w:r>
              <w:rPr>
                <w:rFonts w:hint="eastAsia" w:ascii="Times New Roman" w:hAnsi="Times New Roman" w:eastAsia="宋体"/>
                <w:sz w:val="18"/>
              </w:rPr>
              <w:t xml:space="preserve">−0.0109（t</w:t>
            </w:r>
            <w:r>
              <w:rPr>
                <w:rFonts w:ascii="Times New Roman" w:hAnsi="Times New Roman" w:eastAsia="宋体"/>
                <w:sz w:val="18"/>
              </w:rPr>
              <w:t xml:space="preserve"> = </w:t>
            </w:r>
            <w:r>
              <w:rPr>
                <w:rFonts w:hint="eastAsia" w:ascii="Times New Roman" w:hAnsi="Times New Roman" w:eastAsia="宋体"/>
                <w:sz w:val="18"/>
              </w:rPr>
              <w:t xml:space="preserve">−1.3223）</w:t>
            </w:r>
          </w:p>
        </w:tc>
        <w:tc>
          <w:tcPr/>
          <w:p>
            <w:pPr>
              <w:pStyle w:val="Compact"/>
              <w:spacing w:line="240" w:lineRule="auto" w:before="0" w:after="0"/>
              <w:ind w:firstLine="0"/>
              <w:jc w:val="center"/>
            </w:pPr>
            <w:r>
              <w:rPr>
                <w:rFonts w:ascii="Times New Roman" w:hAnsi="Times New Roman" w:eastAsia="宋体"/>
                <w:sz w:val="18"/>
              </w:rPr>
              <w:t xml:space="preserve">49,741</w:t>
            </w:r>
          </w:p>
        </w:tc>
      </w:tr>
      <w:tr>
        <w:tc>
          <w:tcPr/>
          <w:p>
            <w:pPr>
              <w:pStyle w:val="Compact"/>
              <w:spacing w:line="240" w:lineRule="auto" w:before="0" w:after="0"/>
              <w:ind w:firstLine="0"/>
              <w:jc w:val="left"/>
            </w:pPr>
            <w:r>
              <w:rPr>
                <w:rFonts w:hint="eastAsia" w:ascii="Times New Roman" w:hAnsi="Times New Roman" w:eastAsia="宋体"/>
                <w:sz w:val="18"/>
              </w:rPr>
              <w:t xml:space="preserve">精炼双工具变量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滞后一期同行业同年排除本省平均补助</w:t>
            </w:r>
            <w:r>
              <w:rPr>
                <w:rFonts w:ascii="Times New Roman" w:hAnsi="Times New Roman" w:eastAsia="宋体"/>
                <w:sz w:val="18"/>
              </w:rPr>
              <w:t xml:space="preserve"> + </w:t>
            </w:r>
            <w:r>
              <w:rPr>
                <w:rFonts w:hint="eastAsia" w:ascii="Times New Roman" w:hAnsi="Times New Roman" w:eastAsia="宋体"/>
                <w:sz w:val="18"/>
              </w:rPr>
              <w:t xml:space="preserve">同省同行业同年排除本市平均补助</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78.67；OverID</w:t>
            </w:r>
            <w:r>
              <w:rPr>
                <w:rFonts w:ascii="Times New Roman" w:hAnsi="Times New Roman" w:eastAsia="宋体"/>
                <w:sz w:val="18"/>
              </w:rPr>
              <w:t xml:space="preserve"> p = 0.034</w:t>
            </w:r>
          </w:p>
        </w:tc>
        <w:tc>
          <w:tcPr/>
          <w:p>
            <w:pPr>
              <w:pStyle w:val="Compact"/>
              <w:spacing w:line="240" w:lineRule="auto" w:before="0" w:after="0"/>
              <w:ind w:firstLine="0"/>
              <w:jc w:val="center"/>
            </w:pPr>
            <w:r>
              <w:rPr>
                <w:rFonts w:hint="eastAsia" w:ascii="Times New Roman" w:hAnsi="Times New Roman" w:eastAsia="宋体"/>
                <w:sz w:val="18"/>
              </w:rPr>
              <w:t xml:space="preserve">−0.0226**（t</w:t>
            </w:r>
            <w:r>
              <w:rPr>
                <w:rFonts w:ascii="Times New Roman" w:hAnsi="Times New Roman" w:eastAsia="宋体"/>
                <w:sz w:val="18"/>
              </w:rPr>
              <w:t xml:space="preserve"> = </w:t>
            </w:r>
            <w:r>
              <w:rPr>
                <w:rFonts w:hint="eastAsia" w:ascii="Times New Roman" w:hAnsi="Times New Roman" w:eastAsia="宋体"/>
                <w:sz w:val="18"/>
              </w:rPr>
              <w:t xml:space="preserve">−2.1163）</w:t>
            </w:r>
          </w:p>
        </w:tc>
        <w:tc>
          <w:tcPr/>
          <w:p>
            <w:pPr>
              <w:pStyle w:val="Compact"/>
              <w:spacing w:line="240" w:lineRule="auto" w:before="0" w:after="0"/>
              <w:ind w:firstLine="0"/>
              <w:jc w:val="center"/>
            </w:pPr>
            <w:r>
              <w:rPr>
                <w:rFonts w:ascii="Times New Roman" w:hAnsi="Times New Roman" w:eastAsia="宋体"/>
                <w:sz w:val="18"/>
              </w:rPr>
              <w:t xml:space="preserve">38,624</w:t>
            </w:r>
          </w:p>
        </w:tc>
      </w:tr>
      <w:tr>
        <w:tc>
          <w:tcPr/>
          <w:p>
            <w:pPr>
              <w:pStyle w:val="Compact"/>
              <w:spacing w:line="240" w:lineRule="auto" w:before="0" w:after="0"/>
              <w:ind w:firstLine="0"/>
              <w:jc w:val="left"/>
            </w:pPr>
            <w:r>
              <w:rPr>
                <w:rFonts w:hint="eastAsia" w:ascii="Times New Roman" w:hAnsi="Times New Roman" w:eastAsia="宋体"/>
                <w:sz w:val="18"/>
              </w:rPr>
              <w:t xml:space="preserve">深度滞后省均值工具变量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滞后三期同省同年其他企业平均补助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17.67</w:t>
            </w:r>
          </w:p>
        </w:tc>
        <w:tc>
          <w:tcPr/>
          <w:p>
            <w:pPr>
              <w:pStyle w:val="Compact"/>
              <w:spacing w:line="240" w:lineRule="auto" w:before="0" w:after="0"/>
              <w:ind w:firstLine="0"/>
              <w:jc w:val="center"/>
            </w:pPr>
            <w:r>
              <w:rPr>
                <w:rFonts w:hint="eastAsia" w:ascii="Times New Roman" w:hAnsi="Times New Roman" w:eastAsia="宋体"/>
                <w:sz w:val="18"/>
              </w:rPr>
              <w:t xml:space="preserve">0.0546**（t</w:t>
            </w:r>
            <w:r>
              <w:rPr>
                <w:rFonts w:ascii="Times New Roman" w:hAnsi="Times New Roman" w:eastAsia="宋体"/>
                <w:sz w:val="18"/>
              </w:rPr>
              <w:t xml:space="preserve"> = </w:t>
            </w:r>
            <w:r>
              <w:rPr>
                <w:rFonts w:hint="eastAsia" w:ascii="Times New Roman" w:hAnsi="Times New Roman" w:eastAsia="宋体"/>
                <w:sz w:val="18"/>
              </w:rPr>
              <w:t xml:space="preserve">1.9926）</w:t>
            </w:r>
          </w:p>
        </w:tc>
        <w:tc>
          <w:tcPr/>
          <w:p>
            <w:pPr>
              <w:pStyle w:val="Compact"/>
              <w:spacing w:line="240" w:lineRule="auto" w:before="0" w:after="0"/>
              <w:ind w:firstLine="0"/>
              <w:jc w:val="center"/>
            </w:pPr>
            <w:r>
              <w:rPr>
                <w:rFonts w:ascii="Times New Roman" w:hAnsi="Times New Roman" w:eastAsia="宋体"/>
                <w:sz w:val="18"/>
              </w:rPr>
              <w:t xml:space="preserve">38,018</w:t>
            </w:r>
          </w:p>
        </w:tc>
      </w:tr>
      <w:tr>
        <w:tc>
          <w:tcPr/>
          <w:p>
            <w:pPr>
              <w:pStyle w:val="Compact"/>
              <w:spacing w:line="240" w:lineRule="auto" w:before="0" w:after="0"/>
              <w:ind w:firstLine="0"/>
              <w:jc w:val="left"/>
            </w:pPr>
            <w:r>
              <w:rPr>
                <w:rFonts w:ascii="Times New Roman" w:hAnsi="Times New Roman" w:eastAsia="宋体"/>
                <w:sz w:val="18"/>
              </w:rPr>
              <w:t xml:space="preserve">Lewbel </w:t>
            </w:r>
            <w:r>
              <w:rPr>
                <w:rFonts w:hint="eastAsia" w:ascii="Times New Roman" w:hAnsi="Times New Roman" w:eastAsia="宋体"/>
                <w:sz w:val="18"/>
              </w:rPr>
              <w:t xml:space="preserve">异方差内生工具变量</w:t>
            </w:r>
          </w:p>
        </w:tc>
        <w:tc>
          <w:tcPr/>
          <w:p>
            <w:pPr>
              <w:pStyle w:val="Compact"/>
              <w:spacing w:line="240" w:lineRule="auto" w:before="0" w:after="0"/>
              <w:ind w:firstLine="0"/>
              <w:jc w:val="center"/>
            </w:pPr>
            <w:r>
              <w:rPr>
                <w:rFonts w:hint="eastAsia" w:ascii="Times New Roman" w:hAnsi="Times New Roman" w:eastAsia="宋体"/>
                <w:sz w:val="18"/>
              </w:rPr>
              <w:t xml:space="preserve">控制变量与一阶段残差乘积（PCA降维至3个主成分）</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117.27；OverID</w:t>
            </w:r>
            <w:r>
              <w:rPr>
                <w:rFonts w:ascii="Times New Roman" w:hAnsi="Times New Roman" w:eastAsia="宋体"/>
                <w:sz w:val="18"/>
              </w:rPr>
              <w:t xml:space="preserve"> p = 0.002</w:t>
            </w:r>
          </w:p>
        </w:tc>
        <w:tc>
          <w:tcPr/>
          <w:p>
            <w:pPr>
              <w:pStyle w:val="Compact"/>
              <w:spacing w:line="240" w:lineRule="auto" w:before="0" w:after="0"/>
              <w:ind w:firstLine="0"/>
              <w:jc w:val="center"/>
            </w:pPr>
            <w:r>
              <w:rPr>
                <w:rFonts w:hint="eastAsia" w:ascii="Times New Roman" w:hAnsi="Times New Roman" w:eastAsia="宋体"/>
                <w:sz w:val="18"/>
              </w:rPr>
              <w:t xml:space="preserve">0.0040（t</w:t>
            </w:r>
            <w:r>
              <w:rPr>
                <w:rFonts w:ascii="Times New Roman" w:hAnsi="Times New Roman" w:eastAsia="宋体"/>
                <w:sz w:val="18"/>
              </w:rPr>
              <w:t xml:space="preserve"> = </w:t>
            </w:r>
            <w:r>
              <w:rPr>
                <w:rFonts w:hint="eastAsia" w:ascii="Times New Roman" w:hAnsi="Times New Roman" w:eastAsia="宋体"/>
                <w:sz w:val="18"/>
              </w:rPr>
              <w:t xml:space="preserve">1.1301）</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hint="eastAsia" w:ascii="Times New Roman" w:hAnsi="Times New Roman" w:eastAsia="宋体"/>
                <w:sz w:val="18"/>
              </w:rPr>
              <w:t xml:space="preserve">shift-share单工具</w:t>
            </w:r>
          </w:p>
        </w:tc>
        <w:tc>
          <w:tcPr/>
          <w:p>
            <w:pPr>
              <w:pStyle w:val="Compact"/>
              <w:spacing w:line="240" w:lineRule="auto" w:before="0" w:after="0"/>
              <w:ind w:firstLine="0"/>
              <w:jc w:val="center"/>
            </w:pP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4.15</w:t>
            </w:r>
          </w:p>
        </w:tc>
        <w:tc>
          <w:tcPr/>
          <w:p>
            <w:pPr>
              <w:pStyle w:val="Compact"/>
              <w:spacing w:line="240" w:lineRule="auto" w:before="0" w:after="0"/>
              <w:ind w:firstLine="0"/>
              <w:jc w:val="center"/>
            </w:pPr>
            <w:r>
              <w:rPr>
                <w:rFonts w:hint="eastAsia" w:ascii="Times New Roman" w:hAnsi="Times New Roman" w:eastAsia="宋体"/>
                <w:sz w:val="18"/>
              </w:rPr>
              <w:t xml:space="preserve">0.1445†（t</w:t>
            </w:r>
            <w:r>
              <w:rPr>
                <w:rFonts w:ascii="Times New Roman" w:hAnsi="Times New Roman" w:eastAsia="宋体"/>
                <w:sz w:val="18"/>
              </w:rPr>
              <w:t xml:space="preserve"> = </w:t>
            </w:r>
            <w:r>
              <w:rPr>
                <w:rFonts w:hint="eastAsia" w:ascii="Times New Roman" w:hAnsi="Times New Roman" w:eastAsia="宋体"/>
                <w:sz w:val="18"/>
              </w:rPr>
              <w:t xml:space="preserve">1.7318）</w:t>
            </w:r>
          </w:p>
        </w:tc>
        <w:tc>
          <w:tcPr/>
          <w:p>
            <w:pPr>
              <w:pStyle w:val="Compact"/>
              <w:spacing w:line="240" w:lineRule="auto" w:before="0" w:after="0"/>
              <w:ind w:firstLine="0"/>
              <w:jc w:val="center"/>
            </w:pPr>
            <w:r>
              <w:rPr>
                <w:rFonts w:ascii="Times New Roman" w:hAnsi="Times New Roman" w:eastAsia="宋体"/>
                <w:sz w:val="18"/>
              </w:rPr>
              <w:t xml:space="preserve">48,897</w:t>
            </w:r>
          </w:p>
        </w:tc>
      </w:tr>
      <w:tr>
        <w:tc>
          <w:tcPr/>
          <w:p>
            <w:pPr>
              <w:pStyle w:val="Compact"/>
              <w:spacing w:line="240" w:lineRule="auto" w:before="0" w:after="0"/>
              <w:ind w:firstLine="0"/>
              <w:jc w:val="left"/>
            </w:pPr>
            <w:r>
              <w:rPr>
                <w:rFonts w:hint="eastAsia" w:ascii="Times New Roman" w:hAnsi="Times New Roman" w:eastAsia="宋体"/>
                <w:sz w:val="18"/>
              </w:rPr>
              <w:t xml:space="preserve">shift-share双工具</w:t>
            </w:r>
          </w:p>
        </w:tc>
        <w:tc>
          <w:tcPr/>
          <w:p>
            <w:pPr>
              <w:pStyle w:val="Compact"/>
              <w:spacing w:line="240" w:lineRule="auto" w:before="0" w:after="0"/>
              <w:ind w:firstLine="0"/>
              <w:jc w:val="center"/>
            </w:pPr>
            <w:r>
              <w:rPr>
                <w:rFonts w:hint="eastAsia" w:ascii="Times New Roman" w:hAnsi="Times New Roman" w:eastAsia="宋体"/>
                <w:sz w:val="18"/>
              </w:rPr>
              <w:t xml:space="preserve">省—行业正补助暴露度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r>
              <w:rPr>
                <w:rFonts w:ascii="Times New Roman" w:hAnsi="Times New Roman" w:eastAsia="宋体"/>
                <w:sz w:val="18"/>
              </w:rPr>
              <w:t xml:space="preserve"> + </w:t>
            </w: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5.22；OverID</w:t>
            </w:r>
            <w:r>
              <w:rPr>
                <w:rFonts w:ascii="Times New Roman" w:hAnsi="Times New Roman" w:eastAsia="宋体"/>
                <w:sz w:val="18"/>
              </w:rPr>
              <w:t xml:space="preserve"> p = 0.272</w:t>
            </w:r>
          </w:p>
        </w:tc>
        <w:tc>
          <w:tcPr/>
          <w:p>
            <w:pPr>
              <w:pStyle w:val="Compact"/>
              <w:spacing w:line="240" w:lineRule="auto" w:before="0" w:after="0"/>
              <w:ind w:firstLine="0"/>
              <w:jc w:val="center"/>
            </w:pPr>
            <w:r>
              <w:rPr>
                <w:rFonts w:hint="eastAsia" w:ascii="Times New Roman" w:hAnsi="Times New Roman" w:eastAsia="宋体"/>
                <w:sz w:val="18"/>
              </w:rPr>
              <w:t xml:space="preserve">0.0927（t</w:t>
            </w:r>
            <w:r>
              <w:rPr>
                <w:rFonts w:ascii="Times New Roman" w:hAnsi="Times New Roman" w:eastAsia="宋体"/>
                <w:sz w:val="18"/>
              </w:rPr>
              <w:t xml:space="preserve"> = </w:t>
            </w:r>
            <w:r>
              <w:rPr>
                <w:rFonts w:hint="eastAsia" w:ascii="Times New Roman" w:hAnsi="Times New Roman" w:eastAsia="宋体"/>
                <w:sz w:val="18"/>
              </w:rPr>
              <w:t xml:space="preserve">1.5663）</w:t>
            </w:r>
          </w:p>
        </w:tc>
        <w:tc>
          <w:tcPr/>
          <w:p>
            <w:pPr>
              <w:pStyle w:val="Compact"/>
              <w:spacing w:line="240" w:lineRule="auto" w:before="0" w:after="0"/>
              <w:ind w:firstLine="0"/>
              <w:jc w:val="center"/>
            </w:pPr>
            <w:r>
              <w:rPr>
                <w:rFonts w:ascii="Times New Roman" w:hAnsi="Times New Roman" w:eastAsia="宋体"/>
                <w:sz w:val="18"/>
              </w:rPr>
              <w:t xml:space="preserve">46,537</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选择方程排除变量：IV_lnSubsidy_l1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注：前五行为公司固定效应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w:t>
      </w:r>
      <w:r>
        <w:rPr>
          <w:rFonts w:ascii="Times New Roman" w:hAnsi="Times New Roman" w:eastAsia="宋体"/>
          <w:b w:val="0"/>
          <w:sz w:val="21"/>
        </w:rPr>
        <w:t xml:space="preserve"> FE-2SLS </w:t>
      </w:r>
      <w:r>
        <w:rPr>
          <w:rFonts w:hint="eastAsia" w:ascii="Times New Roman" w:hAnsi="Times New Roman" w:eastAsia="宋体"/>
          <w:b w:val="0"/>
          <w:sz w:val="21"/>
        </w:rPr>
        <w:t xml:space="preserve">比较，标准误均为公司层面聚类稳健标准误；精炼双工具和</w:t>
      </w:r>
      <w:r>
        <w:rPr>
          <w:rFonts w:ascii="Times New Roman" w:hAnsi="Times New Roman" w:eastAsia="宋体"/>
          <w:b w:val="0"/>
          <w:sz w:val="21"/>
        </w:rPr>
        <w:t xml:space="preserve"> Lewbel </w:t>
      </w:r>
      <w:r>
        <w:rPr>
          <w:rFonts w:hint="eastAsia" w:ascii="Times New Roman" w:hAnsi="Times New Roman" w:eastAsia="宋体"/>
          <w:b w:val="0"/>
          <w:sz w:val="21"/>
        </w:rPr>
        <w:t xml:space="preserve">工具变量同时报告</w:t>
      </w:r>
      <w:r>
        <w:rPr>
          <w:rFonts w:ascii="Times New Roman" w:hAnsi="Times New Roman" w:eastAsia="宋体"/>
          <w:b w:val="0"/>
          <w:sz w:val="21"/>
        </w:rPr>
        <w:t xml:space="preserve"> Sargan </w:t>
      </w:r>
      <w:r>
        <w:rPr>
          <w:rFonts w:hint="eastAsia" w:ascii="Times New Roman" w:hAnsi="Times New Roman" w:eastAsia="宋体"/>
          <w:b w:val="0"/>
          <w:sz w:val="21"/>
        </w:rPr>
        <w:t xml:space="preserve">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值。第六、第七行为</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识别补充，采用公司固定效应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年份固定效应设定，双工具同时报告过度识别检验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值。最后一行为仅正补助口径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两步校正结果，其中</w:t>
      </w:r>
      <w:r>
        <w:rPr>
          <w:rFonts w:ascii="Times New Roman" w:hAnsi="Times New Roman" w:eastAsia="宋体"/>
          <w:b w:val="0"/>
          <w:sz w:val="21"/>
        </w:rPr>
        <w:t xml:space="preserve"> IMR </w:t>
      </w:r>
      <w:r>
        <w:rPr>
          <w:rFonts w:hint="eastAsia" w:ascii="Times New Roman" w:hAnsi="Times New Roman" w:eastAsia="宋体"/>
          <w:b w:val="0"/>
          <w:sz w:val="21"/>
        </w:rPr>
        <w:t xml:space="preserve">表示逆米尔斯比率。Lewbel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工具变量利用控制变量去中心化值与辅助回归残差的乘积生成3个原始工具并经</w:t>
      </w:r>
      <w:r>
        <w:rPr>
          <w:rFonts w:ascii="Times New Roman" w:hAnsi="Times New Roman" w:eastAsia="宋体"/>
          <w:b w:val="0"/>
          <w:sz w:val="21"/>
        </w:rPr>
        <w:t xml:space="preserve"> PCA </w:t>
      </w:r>
      <w:r>
        <w:rPr>
          <w:rFonts w:hint="eastAsia" w:ascii="Times New Roman" w:hAnsi="Times New Roman" w:eastAsia="宋体"/>
          <w:b w:val="0"/>
          <w:sz w:val="21"/>
        </w:rPr>
        <w:t xml:space="preserve">降维，仅在存在条件异方差时有效。†表示在10%至15%之间边界显著（</w:t>
      </w:r>
      <m:oMath>
        <m:r>
          <m:t>p</m:t>
        </m:r>
        <m:r>
          <m:rPr>
            <m:sty m:val="p"/>
          </m:rPr>
          <m:t>=</m:t>
        </m:r>
        <m:r>
          <m:t>0.083</m:t>
        </m:r>
      </m:oMath>
      <w:r>
        <w:rPr>
          <w:rFonts w:hint="eastAsia" w:ascii="Times New Roman" w:hAnsi="Times New Roman" w:eastAsia="宋体"/>
          <w:b w:val="0"/>
          <w:sz w:val="21"/>
        </w:rPr>
        <w:t xml:space="preserve">）；所有模型均控制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表4-6呈现出一组较完整的识别图景。</w:t>
      </w:r>
    </w:p>
    <w:p>
      <w:pPr>
        <w:spacing w:line="312" w:lineRule="auto" w:before="0" w:after="0"/>
        <w:ind w:firstLine="420"/>
        <w:jc w:val="both"/>
      </w:pPr>
      <w:r>
        <w:rPr>
          <w:rFonts w:hint="eastAsia" w:ascii="Times New Roman" w:hAnsi="Times New Roman" w:eastAsia="宋体"/>
          <w:b w:val="0"/>
          <w:bCs/>
          <w:sz w:val="21"/>
        </w:rPr>
        <w:t xml:space="preserve">近端滞后工具变量的方向分歧</w:t>
      </w:r>
      <w:r>
        <w:rPr>
          <w:rFonts w:hint="eastAsia" w:ascii="Times New Roman" w:hAnsi="Times New Roman" w:eastAsia="宋体"/>
          <w:b w:val="0"/>
          <w:sz w:val="21"/>
        </w:rPr>
        <w:t xml:space="preserve">。基准“同城同年”工具变量（Partial</w:t>
      </w:r>
      <w:r>
        <w:rPr>
          <w:rFonts w:ascii="Times New Roman" w:hAnsi="Times New Roman" w:eastAsia="宋体"/>
          <w:b w:val="0"/>
          <w:sz w:val="21"/>
        </w:rPr>
        <w:t xml:space="preserve"> </w:t>
      </w:r>
      <m:oMath>
        <m:r>
          <m:t>F</m:t>
        </m:r>
        <m:r>
          <m:rPr>
            <m:sty m:val="p"/>
          </m:rPr>
          <m:t>=</m:t>
        </m:r>
        <m:r>
          <m:t>22.77</m:t>
        </m:r>
      </m:oMath>
      <w:r>
        <w:rPr>
          <w:rFonts w:hint="eastAsia" w:ascii="Times New Roman" w:hAnsi="Times New Roman" w:eastAsia="宋体"/>
          <w:b w:val="0"/>
          <w:sz w:val="21"/>
        </w:rPr>
        <w:t xml:space="preserve">）与简单“同行业同年”工具变量（Partial</w:t>
      </w:r>
      <w:r>
        <w:rPr>
          <w:rFonts w:ascii="Times New Roman" w:hAnsi="Times New Roman" w:eastAsia="宋体"/>
          <w:b w:val="0"/>
          <w:sz w:val="21"/>
        </w:rPr>
        <w:t xml:space="preserve"> </w:t>
      </w:r>
      <m:oMath>
        <m:r>
          <m:t>F</m:t>
        </m:r>
        <m:r>
          <m:rPr>
            <m:sty m:val="p"/>
          </m:rPr>
          <m:t>=</m:t>
        </m:r>
        <m:r>
          <m:t>105.46</m:t>
        </m:r>
      </m:oMath>
      <w:r>
        <w:rPr>
          <w:rFonts w:hint="eastAsia" w:ascii="Times New Roman" w:hAnsi="Times New Roman" w:eastAsia="宋体"/>
          <w:b w:val="0"/>
          <w:sz w:val="21"/>
        </w:rPr>
        <w:t xml:space="preserve">）第一阶段统计量均达到强工具标准，但两者的第二阶段系数均为负值且未显著，而精炼双工具变量（Partial</w:t>
      </w:r>
      <w:r>
        <w:rPr>
          <w:rFonts w:ascii="Times New Roman" w:hAnsi="Times New Roman" w:eastAsia="宋体"/>
          <w:b w:val="0"/>
          <w:sz w:val="21"/>
        </w:rPr>
        <w:t xml:space="preserve"> </w:t>
      </w:r>
      <m:oMath>
        <m:r>
          <m:t>F</m:t>
        </m:r>
        <m:r>
          <m:rPr>
            <m:sty m:val="p"/>
          </m:rPr>
          <m:t>=</m:t>
        </m:r>
        <m:r>
          <m:t>78.67</m:t>
        </m:r>
      </m:oMath>
      <w:r>
        <w:rPr>
          <w:rFonts w:hint="eastAsia" w:ascii="Times New Roman" w:hAnsi="Times New Roman" w:eastAsia="宋体"/>
          <w:b w:val="0"/>
          <w:sz w:val="21"/>
        </w:rPr>
        <w:t xml:space="preserve">）的第二阶段系数转为显著负值（</w:t>
      </w:r>
      <m:oMath>
        <m:r>
          <m:t>β</m:t>
        </m:r>
        <m:r>
          <m:rPr>
            <m:sty m:val="p"/>
          </m:rPr>
          <m:t>=</m:t>
        </m:r>
        <m:r>
          <m:rPr>
            <m:sty m:val="p"/>
          </m:rPr>
          <m:t>−</m:t>
        </m:r>
        <m:r>
          <m:t>0.0226</m:t>
        </m:r>
      </m:oMath>
      <w:r>
        <w:rPr>
          <w:rFonts w:hint="eastAsia" w:ascii="Times New Roman" w:hAnsi="Times New Roman" w:eastAsia="宋体"/>
          <w:b w:val="0"/>
          <w:sz w:val="21"/>
        </w:rPr>
        <w:t xml:space="preserve">，</w:t>
      </w:r>
      <m:oMath>
        <m:r>
          <m:t>p</m:t>
        </m:r>
        <m:r>
          <m:rPr>
            <m:sty m:val="p"/>
          </m:rPr>
          <m:t>=</m:t>
        </m:r>
        <m:r>
          <m:t>0.034</m:t>
        </m:r>
      </m:oMath>
      <w:r>
        <w:rPr>
          <w:rFonts w:hint="eastAsia" w:ascii="Times New Roman" w:hAnsi="Times New Roman" w:eastAsia="宋体"/>
          <w:b w:val="0"/>
          <w:sz w:val="21"/>
        </w:rPr>
        <w:t xml:space="preserve">）。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的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值约为0.034，处在边界显著区间，也表明排除限制存在一定争议。</w:t>
      </w:r>
    </w:p>
    <w:p>
      <w:pPr>
        <w:spacing w:line="312" w:lineRule="auto" w:before="0" w:after="0"/>
        <w:ind w:firstLine="420"/>
        <w:jc w:val="both"/>
      </w:pPr>
      <w:r>
        <w:rPr>
          <w:rFonts w:hint="eastAsia" w:ascii="Times New Roman" w:hAnsi="Times New Roman" w:eastAsia="宋体"/>
          <w:b w:val="0"/>
          <w:bCs/>
          <w:sz w:val="21"/>
        </w:rPr>
        <w:t xml:space="preserve">深度滞后、Lewbel</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shift-share </w:t>
      </w:r>
      <w:r>
        <w:rPr>
          <w:rFonts w:hint="eastAsia" w:ascii="Times New Roman" w:hAnsi="Times New Roman" w:eastAsia="宋体"/>
          <w:b w:val="0"/>
          <w:bCs/>
          <w:sz w:val="21"/>
        </w:rPr>
        <w:t xml:space="preserve">的补充结果</w:t>
      </w:r>
      <w:r>
        <w:rPr>
          <w:rFonts w:hint="eastAsia" w:ascii="Times New Roman" w:hAnsi="Times New Roman" w:eastAsia="宋体"/>
          <w:b w:val="0"/>
          <w:sz w:val="21"/>
        </w:rPr>
        <w:t xml:space="preserve">。采用滞后三期省均值工具变量后，因时间距离足够远，反向因果的传导链条被进一步弱化，第一阶段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，第二阶段系数为显著正值（</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Lewbel（2012）异方差识别原理构造的内生工具变量（Partial</w:t>
      </w:r>
      <w:r>
        <w:rPr>
          <w:rFonts w:ascii="Times New Roman" w:hAnsi="Times New Roman" w:eastAsia="宋体"/>
          <w:b w:val="0"/>
          <w:sz w:val="21"/>
        </w:rPr>
        <w:t xml:space="preserve"> </w:t>
      </w:r>
      <m:oMath>
        <m:r>
          <m:t>F</m:t>
        </m:r>
        <m:r>
          <m:rPr>
            <m:sty m:val="p"/>
          </m:rPr>
          <m:t>=</m:t>
        </m:r>
        <m:r>
          <m:t>117.27</m:t>
        </m:r>
      </m:oMath>
      <w:r>
        <w:rPr>
          <w:rFonts w:hint="eastAsia" w:ascii="Times New Roman" w:hAnsi="Times New Roman" w:eastAsia="宋体"/>
          <w:b w:val="0"/>
          <w:sz w:val="21"/>
        </w:rPr>
        <w:t xml:space="preserve">）同样给出正向估计（</w:t>
      </w:r>
      <m:oMath>
        <m:r>
          <m:t>β</m:t>
        </m:r>
        <m:r>
          <m:rPr>
            <m:sty m:val="p"/>
          </m:rPr>
          <m:t>=</m:t>
        </m:r>
        <m:r>
          <m:t>0.0040</m:t>
        </m:r>
      </m:oMath>
      <w:r>
        <w:rPr>
          <w:rFonts w:hint="eastAsia" w:ascii="Times New Roman" w:hAnsi="Times New Roman" w:eastAsia="宋体"/>
          <w:b w:val="0"/>
          <w:sz w:val="21"/>
        </w:rPr>
        <w:t xml:space="preserve">），尽管未达到显著水平；其过度识别检验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值为0.002，显示三个</w:t>
      </w:r>
      <w:r>
        <w:rPr>
          <w:rFonts w:ascii="Times New Roman" w:hAnsi="Times New Roman" w:eastAsia="宋体"/>
          <w:b w:val="0"/>
          <w:sz w:val="21"/>
        </w:rPr>
        <w:t xml:space="preserve"> PCA </w:t>
      </w:r>
      <w:r>
        <w:rPr>
          <w:rFonts w:hint="eastAsia" w:ascii="Times New Roman" w:hAnsi="Times New Roman" w:eastAsia="宋体"/>
          <w:b w:val="0"/>
          <w:sz w:val="21"/>
        </w:rPr>
        <w:t xml:space="preserve">主成分工具之间仍有相关性迹象，需结合第一阶段强度谨慎解读。shift-share</w:t>
      </w:r>
      <w:r>
        <w:rPr>
          <w:rFonts w:ascii="Times New Roman" w:hAnsi="Times New Roman" w:eastAsia="宋体"/>
          <w:b w:val="0"/>
          <w:sz w:val="21"/>
        </w:rPr>
        <w:t xml:space="preserve"> Bartik </w:t>
      </w:r>
      <w:r>
        <w:rPr>
          <w:rFonts w:hint="eastAsia" w:ascii="Times New Roman" w:hAnsi="Times New Roman" w:eastAsia="宋体"/>
          <w:b w:val="0"/>
          <w:sz w:val="21"/>
        </w:rPr>
        <w:t xml:space="preserve">工具变量在公司固定效应与年份固定效应设定下，单工具和双工具方案的第二阶段系数分别为</w:t>
      </w:r>
      <w:r>
        <w:rPr>
          <w:rFonts w:ascii="Times New Roman" w:hAnsi="Times New Roman" w:eastAsia="宋体"/>
          <w:b w:val="0"/>
          <w:sz w:val="21"/>
        </w:rPr>
        <w:t xml:space="preserve"> </w:t>
      </w:r>
      <m:oMath>
        <m:r>
          <m:t>β</m:t>
        </m:r>
        <m:r>
          <m:rPr>
            <m:sty m:val="p"/>
          </m:rPr>
          <m:t>=</m:t>
        </m:r>
        <m:r>
          <m:t>0.145</m:t>
        </m:r>
      </m:oMath>
      <w:r>
        <w:rPr>
          <w:rFonts w:hint="eastAsia" w:ascii="Times New Roman" w:hAnsi="Times New Roman" w:eastAsia="宋体"/>
          <w:b w:val="0"/>
          <w:sz w:val="21"/>
        </w:rPr>
        <w:t xml:space="preserve">（</w:t>
      </w:r>
      <m:oMath>
        <m:r>
          <m:t>p</m:t>
        </m:r>
        <m:r>
          <m:rPr>
            <m:sty m:val="p"/>
          </m:rPr>
          <m:t>=</m:t>
        </m:r>
        <m:r>
          <m:t>0.083</m:t>
        </m:r>
      </m:oMath>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β</m:t>
        </m:r>
        <m:r>
          <m:rPr>
            <m:sty m:val="p"/>
          </m:rPr>
          <m:t>=</m:t>
        </m:r>
        <m:r>
          <m:t>0.093</m:t>
        </m:r>
      </m:oMath>
      <w:r>
        <w:rPr>
          <w:rFonts w:hint="eastAsia" w:ascii="Times New Roman" w:hAnsi="Times New Roman" w:eastAsia="宋体"/>
          <w:b w:val="0"/>
          <w:sz w:val="21"/>
        </w:rPr>
        <w:t xml:space="preserve">（</w:t>
      </w:r>
      <m:oMath>
        <m:r>
          <m:t>p</m:t>
        </m:r>
        <m:r>
          <m:rPr>
            <m:sty m:val="p"/>
          </m:rPr>
          <m:t>=</m:t>
        </m:r>
        <m:r>
          <m:t>0.117</m:t>
        </m:r>
      </m:oMath>
      <w:r>
        <w:rPr>
          <w:rFonts w:hint="eastAsia" w:ascii="Times New Roman" w:hAnsi="Times New Roman" w:eastAsia="宋体"/>
          <w:b w:val="0"/>
          <w:sz w:val="21"/>
        </w:rPr>
        <w:t xml:space="preserve">），第一阶段分别只有4.15和5.22，强度偏弱，但系数方向同样为正。</w:t>
      </w:r>
    </w:p>
    <w:p>
      <w:pPr>
        <w:spacing w:line="312" w:lineRule="auto" w:before="0" w:after="0"/>
        <w:ind w:firstLine="420"/>
        <w:jc w:val="both"/>
      </w:pPr>
      <w:r>
        <w:rPr>
          <w:rFonts w:ascii="Times New Roman" w:hAnsi="Times New Roman" w:eastAsia="宋体"/>
          <w:b w:val="0"/>
          <w:sz w:val="21"/>
        </w:rPr>
        <w:t xml:space="preserve">Heckman </w:t>
      </w:r>
      <w:r>
        <w:rPr>
          <w:rFonts w:hint="eastAsia" w:ascii="Times New Roman" w:hAnsi="Times New Roman" w:eastAsia="宋体"/>
          <w:b w:val="0"/>
          <w:sz w:val="21"/>
        </w:rPr>
        <w:t xml:space="preserve">两步法则回答了另一个不同的问题：仅保留正补助样本的正向结果会不会只是样本选择造成的假象。结果显示，选择方程排除变量显著，逆米尔斯比率在第二阶段显著（</w:t>
      </w:r>
      <m:oMath>
        <m:r>
          <m:t>p</m:t>
        </m:r>
        <m:r>
          <m:rPr>
            <m:sty m:val="p"/>
          </m:rPr>
          <m:t>=</m:t>
        </m:r>
        <m:r>
          <m:t>0.0056</m:t>
        </m:r>
      </m:oMath>
      <w:r>
        <w:rPr>
          <w:rFonts w:hint="eastAsia" w:ascii="Times New Roman" w:hAnsi="Times New Roman" w:eastAsia="宋体"/>
          <w:b w:val="0"/>
          <w:sz w:val="21"/>
        </w:rPr>
        <w:t xml:space="preserve">），说明确实存在选择偏差；但校正后正补助口径变量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的系数仍为0.0093并在1%水平上显著。这表明“仅正补助口径下的正向结果”并不只是样本选择造成的假象。</w:t>
      </w:r>
      <w:r>
        <w:rPr>
          <w:rFonts w:hint="eastAsia" w:ascii="Times New Roman" w:hAnsi="Times New Roman" w:eastAsia="宋体"/>
          <w:b w:val="0"/>
          <w:bCs/>
          <w:sz w:val="21"/>
        </w:rPr>
        <w:t xml:space="preserve">综合来看，近端滞后工具变量给出负向估计（其中精炼双工具的过度识别检验仍存争议），而深度滞后省均值、Lewbel、shift-share</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校正则出现了几组正向估计，但这些结果的统计支撑并不一致。不同识别设定下的方向并不完全一致，因此更稳妥的结论是：补贴效应对工具变量设计和样本口径较为敏感，现有证据尚不足以把因果方向写成无条件的强结论。</w:t>
      </w:r>
    </w:p>
    <w:bookmarkEnd w:id="46"/>
    <w:bookmarkStart w:id="50" w:name="安慰剂检验与事件研究补充"/>
    <w:p>
      <w:pPr>
        <w:pStyle w:val="31"/>
        <w:spacing w:line="312" w:lineRule="auto" w:before="0" w:after="0"/>
        <w:ind w:firstLine="420"/>
        <w:jc w:val="left"/>
      </w:pPr>
      <w:bookmarkStart w:id="122" w:name="_TocAuto0050"/>
      <w:r>
        <w:rPr>
          <w:rFonts w:ascii="Times New Roman" w:hAnsi="Times New Roman" w:eastAsia="宋体"/>
          <w:b w:val="0"/>
          <w:sz w:val="24"/>
        </w:rPr>
        <w:t xml:space="preserve">4.4.3 </w:t>
      </w:r>
      <w:r>
        <w:rPr>
          <w:rFonts w:hint="eastAsia" w:ascii="Times New Roman" w:hAnsi="Times New Roman" w:eastAsia="宋体"/>
          <w:b w:val="0"/>
          <w:sz w:val="24"/>
        </w:rPr>
        <w:t xml:space="preserve">安慰剂检验与事件研究补充</w:t>
      </w:r>
      <w:bookmarkEnd w:id="122"/>
    </w:p>
    <w:p>
      <w:pPr>
        <w:spacing w:line="312" w:lineRule="auto" w:before="0" w:after="0"/>
        <w:ind w:firstLine="420"/>
        <w:jc w:val="both"/>
      </w:pPr>
      <w:r>
        <w:rPr>
          <w:rFonts w:hint="eastAsia" w:ascii="Times New Roman" w:hAnsi="Times New Roman" w:eastAsia="宋体"/>
          <w:b w:val="0"/>
          <w:sz w:val="21"/>
        </w:rPr>
        <w:t xml:space="preserve">为了进一步从第一性原理检查“补贴是否真的在时间上先于超额薪酬变化”，本文又补充实施了两类不依赖外部政策数据库的识别诊断。第一类是未来补贴安慰剂检验：若未来补贴也能显著解释当前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rPr>
          <w:rFonts w:ascii="Times New Roman" w:hAnsi="Times New Roman" w:eastAsia="宋体"/>
          <w:b w:val="0"/>
          <w:sz w:val="21"/>
        </w:rPr>
        <w:t xml:space="preserve"> </w:t>
      </w:r>
      <w:r>
        <w:rPr>
          <w:rFonts w:hint="eastAsia" w:ascii="Times New Roman" w:hAnsi="Times New Roman" w:eastAsia="宋体"/>
          <w:b w:val="0"/>
          <w:sz w:val="21"/>
        </w:rPr>
        <w:t xml:space="preserve">3]，省略事件前年份-1作为基准期。</w:t>
      </w:r>
    </w:p>
    <w:p>
      <w:pPr>
        <w:spacing w:line="312" w:lineRule="auto" w:before="0" w:after="0"/>
        <w:ind w:firstLine="420"/>
        <w:jc w:val="both"/>
      </w:pPr>
      <w:r>
        <w:rPr>
          <w:rFonts w:hint="eastAsia" w:ascii="Times New Roman" w:hAnsi="Times New Roman" w:eastAsia="宋体"/>
          <w:b w:val="0"/>
          <w:sz w:val="21"/>
        </w:rPr>
        <w:t xml:space="preserve">安慰剂检验结果显示，在“公司固定效应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年份固定效应”的基准设定下，未来一期补贴和未来两期补贴的系数分别为0.0018（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行业×年份固定效应”后，未来一期补贴的系数降为0.0017，</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值升至0.057，未来两期补贴的系数则仍为0.0021（</w:t>
      </w:r>
      <m:oMath>
        <m:r>
          <m:t>p</m:t>
        </m:r>
        <m:r>
          <m:rPr>
            <m:sty m:val="p"/>
          </m:rPr>
          <m:t>=</m:t>
        </m:r>
        <m:r>
          <m:t>0.019</m:t>
        </m:r>
      </m:oMath>
      <w:r>
        <w:rPr>
          <w:rFonts w:hint="eastAsia" w:ascii="Times New Roman" w:hAnsi="Times New Roman" w:eastAsia="宋体"/>
          <w:b w:val="0"/>
          <w:sz w:val="21"/>
        </w:rPr>
        <w:t xml:space="preserve">）。这说明时变行业冲击确实解释了前瞻性相关的一部分，但并没有把它完全消除。可见，现有材料更适合支持“关联经过多种识别后仍较敏感”的判断，而不足以把因果链条写得非常坚决。</w:t>
      </w:r>
    </w:p>
    <w:p>
      <w:pPr>
        <w:spacing w:line="312" w:lineRule="auto" w:before="0" w:after="0"/>
        <w:ind w:firstLine="420"/>
        <w:jc w:val="both"/>
      </w:pPr>
      <w:r>
        <w:rPr>
          <w:rFonts w:hint="eastAsia" w:ascii="Times New Roman" w:hAnsi="Times New Roman" w:eastAsia="宋体"/>
          <w:b w:val="0"/>
          <w:sz w:val="21"/>
        </w:rPr>
        <w:t xml:space="preserve">事件研究结果则提供了另一层动态信息。以首次大额补贴暴露为事件后，事件前年份-3和-2的系数分别为0.0024和0.0101，均不显著；预趋势联合检验的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值为0.599，未发现显著的预趋势。与之相对，事件年0到事件年3的系数依次为0.0230、0.0278、0.0275和0.0303，并分别在5%、1%、5%和1%水平上显著为正，事后系数联合检验的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结果更适合被理解为动态伴随证据，而非准自然实验意义上的因果估计。</w:t>
      </w:r>
    </w:p>
    <w:bookmarkEnd w:id="47"/>
    <w:bookmarkEnd w:id="48"/>
    <w:bookmarkStart w:id="51" w:name="稳健性检验"/>
    <w:p>
      <w:pPr>
        <w:pStyle w:val="2"/>
        <w:spacing w:line="312" w:lineRule="auto" w:before="0" w:after="0"/>
        <w:ind w:firstLine="0"/>
        <w:jc w:val="left"/>
      </w:pPr>
      <w:bookmarkStart w:id="123" w:name="_TocAuto005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123"/>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为验证基准回归结论在不同设定下的稳健性，本文从被解释变量选取、样本期区间、行业覆盖面和解释变量定义四个维度开展扰动检验，结果汇总于表4-7。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0.0035***</w:t>
            </w:r>
          </w:p>
        </w:tc>
        <w:tc>
          <w:tcPr/>
          <w:p>
            <w:pPr>
              <w:pStyle w:val="Compact"/>
              <w:spacing w:line="240" w:lineRule="auto" w:before="0" w:after="0"/>
              <w:ind w:firstLine="0"/>
              <w:jc w:val="center"/>
            </w:pPr>
            <w:r>
              <w:rPr>
                <w:rFonts w:ascii="Times New Roman" w:hAnsi="Times New Roman" w:eastAsia="宋体"/>
                <w:sz w:val="18"/>
              </w:rPr>
              <w:t xml:space="preserve">3.7531</w:t>
            </w:r>
          </w:p>
        </w:tc>
        <w:tc>
          <w:tcPr/>
          <w:p>
            <w:pPr>
              <w:pStyle w:val="Compact"/>
              <w:spacing w:line="240" w:lineRule="auto" w:before="0" w:after="0"/>
              <w:ind w:firstLine="0"/>
              <w:jc w:val="center"/>
            </w:pPr>
            <w:r>
              <w:rPr>
                <w:rFonts w:ascii="Times New Roman" w:hAnsi="Times New Roman" w:eastAsia="宋体"/>
                <w:sz w:val="18"/>
              </w:rPr>
              <w:t xml:space="preserve">49,920</w:t>
            </w:r>
          </w:p>
        </w:tc>
        <w:tc>
          <w:tcPr/>
          <w:p>
            <w:pPr>
              <w:pStyle w:val="Compact"/>
              <w:spacing w:line="240" w:lineRule="auto" w:before="0" w:after="0"/>
              <w:ind w:firstLine="0"/>
              <w:jc w:val="center"/>
            </w:pPr>
            <w:r>
              <w:rPr>
                <w:rFonts w:ascii="Times New Roman" w:hAnsi="Times New Roman" w:eastAsia="宋体"/>
                <w:sz w:val="18"/>
              </w:rPr>
              <w:t xml:space="preserve">0.0430</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0.0010</w:t>
            </w:r>
          </w:p>
        </w:tc>
        <w:tc>
          <w:tcPr/>
          <w:p>
            <w:pPr>
              <w:pStyle w:val="Compact"/>
              <w:spacing w:line="240" w:lineRule="auto" w:before="0" w:after="0"/>
              <w:ind w:firstLine="0"/>
              <w:jc w:val="center"/>
            </w:pPr>
            <w:r>
              <w:rPr>
                <w:rFonts w:ascii="Times New Roman" w:hAnsi="Times New Roman" w:eastAsia="宋体"/>
                <w:sz w:val="18"/>
              </w:rPr>
              <w:t xml:space="preserve">0.9361</w:t>
            </w:r>
          </w:p>
        </w:tc>
        <w:tc>
          <w:tcPr/>
          <w:p>
            <w:pPr>
              <w:pStyle w:val="Compact"/>
              <w:spacing w:line="240" w:lineRule="auto" w:before="0" w:after="0"/>
              <w:ind w:firstLine="0"/>
              <w:jc w:val="center"/>
            </w:pPr>
            <w:r>
              <w:rPr>
                <w:rFonts w:ascii="Times New Roman" w:hAnsi="Times New Roman" w:eastAsia="宋体"/>
                <w:sz w:val="18"/>
              </w:rPr>
              <w:t xml:space="preserve">26,437</w:t>
            </w:r>
          </w:p>
        </w:tc>
        <w:tc>
          <w:tcPr/>
          <w:p>
            <w:pPr>
              <w:pStyle w:val="Compact"/>
              <w:spacing w:line="240" w:lineRule="auto" w:before="0" w:after="0"/>
              <w:ind w:firstLine="0"/>
              <w:jc w:val="center"/>
            </w:pPr>
            <w:r>
              <w:rPr>
                <w:rFonts w:ascii="Times New Roman" w:hAnsi="Times New Roman" w:eastAsia="宋体"/>
                <w:sz w:val="18"/>
              </w:rPr>
              <w:t xml:space="preserve">0.0222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−0.0002</w:t>
            </w:r>
          </w:p>
        </w:tc>
        <w:tc>
          <w:tcPr/>
          <w:p>
            <w:pPr>
              <w:pStyle w:val="Compact"/>
              <w:spacing w:line="240" w:lineRule="auto" w:before="0" w:after="0"/>
              <w:ind w:firstLine="0"/>
              <w:jc w:val="center"/>
            </w:pPr>
            <w:r>
              <w:rPr>
                <w:rFonts w:ascii="Times New Roman" w:hAnsi="Times New Roman" w:eastAsia="宋体"/>
                <w:sz w:val="18"/>
              </w:rPr>
              <w:t xml:space="preserve">−0.2086</w:t>
            </w:r>
          </w:p>
        </w:tc>
        <w:tc>
          <w:tcPr/>
          <w:p>
            <w:pPr>
              <w:pStyle w:val="Compact"/>
              <w:spacing w:line="240" w:lineRule="auto" w:before="0" w:after="0"/>
              <w:ind w:firstLine="0"/>
              <w:jc w:val="center"/>
            </w:pPr>
            <w:r>
              <w:rPr>
                <w:rFonts w:ascii="Times New Roman" w:hAnsi="Times New Roman" w:eastAsia="宋体"/>
                <w:sz w:val="18"/>
              </w:rPr>
              <w:t xml:space="preserve">32,488</w:t>
            </w:r>
          </w:p>
        </w:tc>
        <w:tc>
          <w:tcPr/>
          <w:p>
            <w:pPr>
              <w:pStyle w:val="Compact"/>
              <w:spacing w:line="240" w:lineRule="auto" w:before="0" w:after="0"/>
              <w:ind w:firstLine="0"/>
              <w:jc w:val="center"/>
            </w:pPr>
            <w:r>
              <w:rPr>
                <w:rFonts w:ascii="Times New Roman" w:hAnsi="Times New Roman" w:eastAsia="宋体"/>
                <w:sz w:val="18"/>
              </w:rPr>
              <w:t xml:space="preserve">0.0130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替换解释变量ln(补助，仅正值)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2.8007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分别表示在1%、5%、10%水平上显著，所有模型均控制Roa、Lever、Top1以及公司和年份固定效应。标准误为公司层面聚类稳健标准误。</w:t>
      </w:r>
    </w:p>
    <w:bookmarkStart w:id="52" w:name="替换被解释变量"/>
    <w:p>
      <w:pPr>
        <w:pStyle w:val="31"/>
        <w:spacing w:line="312" w:lineRule="auto" w:before="0" w:after="0"/>
        <w:ind w:firstLine="420"/>
        <w:jc w:val="left"/>
      </w:pPr>
      <w:bookmarkStart w:id="124" w:name="_TocAuto0052"/>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bookmarkEnd w:id="124"/>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49"/>
    <w:bookmarkStart w:id="53" w:name="缩小样本期"/>
    <w:p>
      <w:pPr>
        <w:pStyle w:val="31"/>
        <w:spacing w:line="312" w:lineRule="auto" w:before="0" w:after="0"/>
        <w:ind w:firstLine="420"/>
        <w:jc w:val="left"/>
      </w:pPr>
      <w:bookmarkStart w:id="125" w:name="_TocAuto0053"/>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bookmarkEnd w:id="125"/>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将样本期限缩至2010—2020年后，补贴系数为0.0010，未达到常用显著性水平，这说明在较短样本窗口下，补贴与超额薪酬的关系并未表现出更稳固的统计支撑。</w:t>
      </w:r>
    </w:p>
    <w:bookmarkEnd w:id="50"/>
    <w:bookmarkStart w:id="54" w:name="仅保留制造业样本"/>
    <w:p>
      <w:pPr>
        <w:pStyle w:val="31"/>
        <w:spacing w:line="312" w:lineRule="auto" w:before="0" w:after="0"/>
        <w:ind w:firstLine="420"/>
        <w:jc w:val="left"/>
      </w:pPr>
      <w:bookmarkStart w:id="126" w:name="_TocAuto0054"/>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bookmarkEnd w:id="126"/>
    </w:p>
    <w:p>
      <w:pPr>
        <w:spacing w:line="312" w:lineRule="auto" w:before="0" w:after="0"/>
        <w:ind w:firstLine="420"/>
        <w:jc w:val="both"/>
      </w:pPr>
      <w:r>
        <w:rPr>
          <w:rFonts w:hint="eastAsia" w:ascii="Times New Roman" w:hAnsi="Times New Roman" w:eastAsia="宋体"/>
          <w:b w:val="0"/>
          <w:sz w:val="21"/>
        </w:rPr>
        <w:t xml:space="preserve">仅保留制造业（样本量32,488）后，补贴系数接近于0且不显著。这说明在制造业单一行业内部，财政补贴与超额薪酬的平均直接关系并未形成稳定证据。</w:t>
      </w:r>
    </w:p>
    <w:bookmarkEnd w:id="51"/>
    <w:bookmarkStart w:id="55" w:name="替换解释变量度量方式"/>
    <w:p>
      <w:pPr>
        <w:pStyle w:val="31"/>
        <w:spacing w:line="312" w:lineRule="auto" w:before="0" w:after="0"/>
        <w:ind w:firstLine="420"/>
        <w:jc w:val="left"/>
      </w:pPr>
      <w:bookmarkStart w:id="127" w:name="_TocAuto0055"/>
      <w:r>
        <w:rPr>
          <w:rFonts w:ascii="Times New Roman" w:hAnsi="Times New Roman" w:eastAsia="宋体"/>
          <w:b w:val="0"/>
          <w:sz w:val="24"/>
        </w:rPr>
        <w:t xml:space="preserve">4.5.4 </w:t>
      </w:r>
      <w:r>
        <w:rPr>
          <w:rFonts w:hint="eastAsia" w:ascii="Times New Roman" w:hAnsi="Times New Roman" w:eastAsia="宋体"/>
          <w:b w:val="0"/>
          <w:sz w:val="24"/>
        </w:rPr>
        <w:t xml:space="preserve">替换解释变量度量方式</w:t>
      </w:r>
      <w:bookmarkEnd w:id="127"/>
    </w:p>
    <w:p>
      <w:pPr>
        <w:spacing w:line="312" w:lineRule="auto" w:before="0" w:after="0"/>
        <w:ind w:firstLine="420"/>
        <w:jc w:val="both"/>
      </w:pPr>
      <w:r>
        <w:rPr>
          <w:rFonts w:hint="eastAsia" w:ascii="Times New Roman" w:hAnsi="Times New Roman" w:eastAsia="宋体"/>
          <w:b w:val="0"/>
          <w:sz w:val="21"/>
        </w:rPr>
        <w:t xml:space="preserve">将核心解释变量替换为“仅对正补助取自然对数”的滞后项后，系数为0.0094，并在1%水平上显著为正。这说明当研究对象收窄为正补助样本中的补助强弱差异时，补贴—超额薪酬的正向关系会更明显。这里需要区分两种口径对应的经济含义：全样本口径同时混合了“是否获得补助”和“获得补助后的强弱差异”，而仅正补助口径只比较已获补助企业内部的补贴强弱，因此两者并不在回答同一个经济问题，系数和显著性出现差异并不意外。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52"/>
    <w:bookmarkEnd w:id="53"/>
    <w:bookmarkStart w:id="56" w:name="中介效应分析"/>
    <w:p>
      <w:pPr>
        <w:pStyle w:val="2"/>
        <w:spacing w:line="312" w:lineRule="auto" w:before="0" w:after="0"/>
        <w:ind w:firstLine="0"/>
        <w:jc w:val="left"/>
      </w:pPr>
      <w:bookmarkStart w:id="128" w:name="_TocAuto0056"/>
      <w:r>
        <w:rPr>
          <w:rFonts w:ascii="Times New Roman" w:hAnsi="Times New Roman" w:eastAsia="黑体"/>
          <w:b w:val="0"/>
          <w:sz w:val="28"/>
        </w:rPr>
        <w:t xml:space="preserve">4.6 </w:t>
      </w:r>
      <w:r>
        <w:rPr>
          <w:rFonts w:hint="eastAsia" w:ascii="Times New Roman" w:hAnsi="Times New Roman" w:eastAsia="黑体"/>
          <w:b w:val="0"/>
          <w:sz w:val="28"/>
        </w:rPr>
        <w:t xml:space="preserve">中介效应分析</w:t>
      </w:r>
      <w:bookmarkEnd w:id="128"/>
    </w:p>
    <w:bookmarkStart w:id="57" w:name="中介变量构成与测度说明"/>
    <w:p>
      <w:pPr>
        <w:pStyle w:val="31"/>
        <w:spacing w:line="312" w:lineRule="auto" w:before="0" w:after="0"/>
        <w:ind w:firstLine="420"/>
        <w:jc w:val="left"/>
      </w:pPr>
      <w:bookmarkStart w:id="129" w:name="_TocAuto0057"/>
      <w:r>
        <w:rPr>
          <w:rFonts w:ascii="Times New Roman" w:hAnsi="Times New Roman" w:eastAsia="宋体"/>
          <w:b w:val="0"/>
          <w:sz w:val="24"/>
        </w:rPr>
        <w:t xml:space="preserve">4.6.1 </w:t>
      </w:r>
      <w:r>
        <w:rPr>
          <w:rFonts w:hint="eastAsia" w:ascii="Times New Roman" w:hAnsi="Times New Roman" w:eastAsia="宋体"/>
          <w:b w:val="0"/>
          <w:sz w:val="24"/>
        </w:rPr>
        <w:t xml:space="preserve">中介变量构成与测度说明</w:t>
      </w:r>
      <w:bookmarkEnd w:id="129"/>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为检验财政补贴是否会经由管理层权力影响高管超额薪酬，本文将管理层权力指标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 xml:space="preserve">Power_PCA，仅作为测度敏感性的对照口径。就统计支撑而言，FA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Dual，说明四项指标在样本中确实呈现出一定程度的结构分化，并具有可以识别的经济含义。从具体共同度看，Boardsize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仅为0.1743，说明该综合指标在董事会结构和内部人维度上的解释力相对更高，但不同底层指标的公共变异提取并不均衡。基于此，本文将</w:t>
      </w:r>
      <w:r>
        <w:rPr>
          <w:rFonts w:ascii="Times New Roman" w:hAnsi="Times New Roman" w:eastAsia="宋体"/>
          <w:b w:val="0"/>
          <w:sz w:val="21"/>
        </w:rPr>
        <w:t xml:space="preserve"> FA </w:t>
      </w:r>
      <w:r>
        <w:rPr>
          <w:rFonts w:hint="eastAsia" w:ascii="Times New Roman" w:hAnsi="Times New Roman" w:eastAsia="宋体"/>
          <w:b w:val="0"/>
          <w:sz w:val="21"/>
        </w:rPr>
        <w:t xml:space="preserve">口径仅作为经验性综合测度使用，并在后文同时报告</w:t>
      </w:r>
      <w:r>
        <w:rPr>
          <w:rFonts w:ascii="Times New Roman" w:hAnsi="Times New Roman" w:eastAsia="宋体"/>
          <w:b w:val="0"/>
          <w:sz w:val="21"/>
        </w:rPr>
        <w:t xml:space="preserve"> PCA </w:t>
      </w:r>
      <w:r>
        <w:rPr>
          <w:rFonts w:hint="eastAsia" w:ascii="Times New Roman" w:hAnsi="Times New Roman" w:eastAsia="宋体"/>
          <w:b w:val="0"/>
          <w:sz w:val="21"/>
        </w:rPr>
        <w:t xml:space="preserve">对照结果，以避免把单一测度方式表述为统计上更优的唯一方案。</w:t>
      </w:r>
    </w:p>
    <w:bookmarkEnd w:id="54"/>
    <w:bookmarkStart w:id="58" w:name="中介效应检验结果"/>
    <w:p>
      <w:pPr>
        <w:pStyle w:val="31"/>
        <w:spacing w:line="312" w:lineRule="auto" w:before="0" w:after="0"/>
        <w:ind w:firstLine="420"/>
        <w:jc w:val="left"/>
      </w:pPr>
      <w:bookmarkStart w:id="130" w:name="_TocAuto0058"/>
      <w:r>
        <w:rPr>
          <w:rFonts w:ascii="Times New Roman" w:hAnsi="Times New Roman" w:eastAsia="宋体"/>
          <w:b w:val="0"/>
          <w:sz w:val="24"/>
        </w:rPr>
        <w:t xml:space="preserve">4.6.2 </w:t>
      </w:r>
      <w:r>
        <w:rPr>
          <w:rFonts w:hint="eastAsia" w:ascii="Times New Roman" w:hAnsi="Times New Roman" w:eastAsia="宋体"/>
          <w:b w:val="0"/>
          <w:sz w:val="24"/>
        </w:rPr>
        <w:t xml:space="preserve">中介效应检验结果</w:t>
      </w:r>
      <w:bookmarkEnd w:id="130"/>
    </w:p>
    <w:p>
      <w:pPr>
        <w:spacing w:line="312" w:lineRule="auto" w:before="0" w:after="0"/>
        <w:ind w:firstLine="420"/>
        <w:jc w:val="both"/>
      </w:pPr>
      <w:r>
        <w:rPr>
          <w:rFonts w:hint="eastAsia" w:ascii="Times New Roman" w:hAnsi="Times New Roman" w:eastAsia="宋体"/>
          <w:b w:val="0"/>
          <w:sz w:val="21"/>
        </w:rPr>
        <w:t xml:space="preserve">在完成工具变量检验后，本文将基于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和滞后补助信息的47,055个样本，结果见表4-8。</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标准误（cluster）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Bootstrap 95%CI</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0.0017</w:t>
            </w:r>
          </w:p>
        </w:tc>
        <w:tc>
          <w:tcPr/>
          <w:p>
            <w:pPr>
              <w:pStyle w:val="Compact"/>
              <w:spacing w:line="240" w:lineRule="auto" w:before="0" w:after="0"/>
              <w:ind w:firstLine="0"/>
              <w:jc w:val="center"/>
            </w:pPr>
            <w:r>
              <w:rPr>
                <w:rFonts w:ascii="Times New Roman" w:hAnsi="Times New Roman" w:eastAsia="宋体"/>
                <w:sz w:val="18"/>
              </w:rPr>
              <w:t xml:space="preserve">0.0013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0.0117*</w:t>
            </w:r>
          </w:p>
        </w:tc>
        <w:tc>
          <w:tcPr/>
          <w:p>
            <w:pPr>
              <w:pStyle w:val="Compact"/>
              <w:spacing w:line="240" w:lineRule="auto" w:before="0" w:after="0"/>
              <w:ind w:firstLine="0"/>
              <w:jc w:val="center"/>
            </w:pPr>
            <w:r>
              <w:rPr>
                <w:rFonts w:ascii="Times New Roman" w:hAnsi="Times New Roman" w:eastAsia="宋体"/>
                <w:sz w:val="18"/>
              </w:rPr>
              <w:t xml:space="preserve">0.0063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间接效应</w:t>
            </w:r>
            <w:r>
              <w:rPr>
                <w:rFonts w:ascii="Times New Roman" w:hAnsi="Times New Roman" w:eastAsia="宋体"/>
                <w:sz w:val="18"/>
              </w:rPr>
              <w:t xml:space="preserve"> a×b</w:t>
            </w:r>
          </w:p>
        </w:tc>
        <w:tc>
          <w:tcPr/>
          <w:p>
            <w:pPr>
              <w:pStyle w:val="Compact"/>
              <w:spacing w:line="240" w:lineRule="auto" w:before="0" w:after="0"/>
              <w:ind w:firstLine="0"/>
              <w:jc w:val="center"/>
            </w:pPr>
            <w:r>
              <w:rPr>
                <w:rFonts w:ascii="Times New Roman" w:hAnsi="Times New Roman" w:eastAsia="宋体"/>
                <w:sz w:val="18"/>
              </w:rPr>
              <w:t xml:space="preserve">0.000020</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[-0.000009, 0.000070]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Sobel p </w:t>
            </w:r>
            <w:r>
              <w:rPr>
                <w:rFonts w:hint="eastAsia" w:ascii="Times New Roman" w:hAnsi="Times New Roman" w:eastAsia="宋体"/>
                <w:sz w:val="18"/>
              </w:rPr>
              <w:t xml:space="preserve">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分别表示在1%、5%、10%水平上显著。Bootstrap</w:t>
      </w:r>
      <w:r>
        <w:rPr>
          <w:rFonts w:ascii="Times New Roman" w:hAnsi="Times New Roman" w:eastAsia="宋体"/>
          <w:b w:val="0"/>
          <w:sz w:val="21"/>
        </w:rPr>
        <w:t xml:space="preserve"> </w:t>
      </w:r>
      <w:r>
        <w:rPr>
          <w:rFonts w:hint="eastAsia" w:ascii="Times New Roman" w:hAnsi="Times New Roman" w:eastAsia="宋体"/>
          <w:b w:val="0"/>
          <w:sz w:val="21"/>
        </w:rPr>
        <w:t xml:space="preserve">为公司层面</w:t>
      </w:r>
      <w:r>
        <w:rPr>
          <w:rFonts w:ascii="Times New Roman" w:hAnsi="Times New Roman" w:eastAsia="宋体"/>
          <w:b w:val="0"/>
          <w:sz w:val="21"/>
        </w:rPr>
        <w:t xml:space="preserve"> cluster bootstrap。</w:t>
      </w:r>
      <w:r>
        <w:rPr>
          <w:rFonts w:ascii="Times New Roman" w:hAnsi="Times New Roman" w:eastAsia="宋体"/>
          <w:b w:val="0"/>
          <w:sz w:val="21"/>
        </w:rPr>
        <w:t xml:space="preserve"> </w:t>
      </w:r>
      <w:r>
        <w:rPr>
          <w:rFonts w:hint="eastAsia" w:ascii="Times New Roman" w:hAnsi="Times New Roman" w:eastAsia="宋体"/>
          <w:b w:val="0"/>
          <w:sz w:val="21"/>
        </w:rPr>
        <w:t xml:space="preserve">表4-8最关键的信息，是总效应与间接路径仍未形成稳健一致支撑。统一样本上的总效应（模型3）系数为0.0007，未达到常用显著性水平；其次，路径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虽为正，但并未达到常用显著性水平（</w:t>
      </w:r>
      <m:oMath>
        <m:r>
          <m:t>p</m:t>
        </m:r>
        <m:r>
          <m:rPr>
            <m:sty m:val="p"/>
          </m:rPr>
          <m:t>=</m:t>
        </m:r>
        <m:r>
          <m:t>0.212</m:t>
        </m:r>
      </m:oMath>
      <w:r>
        <w:rPr>
          <w:rFonts w:hint="eastAsia" w:ascii="Times New Roman" w:hAnsi="Times New Roman" w:eastAsia="宋体"/>
          <w:b w:val="0"/>
          <w:sz w:val="21"/>
        </w:rPr>
        <w:t xml:space="preserve">）；同时，在模型5中，Power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的系数为0.0117，仅在10%水平上边际显著，而补贴的直接效应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仍未显著。同一时期，间接效应的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0.000070]，跨越0，Sobel</w:t>
      </w:r>
      <w:r>
        <w:rPr>
          <w:rFonts w:ascii="Times New Roman" w:hAnsi="Times New Roman" w:eastAsia="宋体"/>
          <w:b w:val="0"/>
          <w:sz w:val="21"/>
        </w:rPr>
        <w:t xml:space="preserve"> </w:t>
      </w:r>
      <w:r>
        <w:rPr>
          <w:rFonts w:hint="eastAsia" w:ascii="Times New Roman" w:hAnsi="Times New Roman" w:eastAsia="宋体"/>
          <w:b w:val="0"/>
          <w:sz w:val="21"/>
        </w:rPr>
        <w:t xml:space="preserve">检验</w:t>
      </w:r>
      <w:r>
        <w:rPr>
          <w:rFonts w:ascii="Times New Roman" w:hAnsi="Times New Roman" w:eastAsia="宋体"/>
          <w:b w:val="0"/>
          <w:sz w:val="21"/>
        </w:rPr>
        <w:t xml:space="preserve"> </w:t>
      </w:r>
      <m:oMath>
        <m:r>
          <m:t>p</m:t>
        </m:r>
        <m:r>
          <m:rPr>
            <m:sty m:val="p"/>
          </m:rPr>
          <m:t>=</m:t>
        </m:r>
        <m:r>
          <m:t>0.2994</m:t>
        </m:r>
      </m:oMath>
      <w:r>
        <w:rPr>
          <w:rFonts w:hint="eastAsia" w:ascii="Times New Roman" w:hAnsi="Times New Roman" w:eastAsia="宋体"/>
          <w:b w:val="0"/>
          <w:sz w:val="21"/>
        </w:rPr>
        <w:t xml:space="preserve">，并未形成统计支撑。这说明在当前样本和经旋转双因子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口径下，管理层权力尚不足以为财政补贴与高管超额薪酬之间的关系提供稳健的中介效应支持。更稳妥的理解是：即便改用经旋转双因子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合成的管理层权力口径，“补贴先影响权力、再影响超额薪酬”的完整链条仍未得到</w:t>
      </w:r>
      <w:r>
        <w:rPr>
          <w:rFonts w:ascii="Times New Roman" w:hAnsi="Times New Roman" w:eastAsia="宋体"/>
          <w:b w:val="0"/>
          <w:sz w:val="21"/>
        </w:rPr>
        <w:t xml:space="preserve"> Bootstrap </w:t>
      </w:r>
      <w:r>
        <w:rPr>
          <w:rFonts w:hint="eastAsia" w:ascii="Times New Roman" w:hAnsi="Times New Roman" w:eastAsia="宋体"/>
          <w:b w:val="0"/>
          <w:sz w:val="21"/>
        </w:rPr>
        <w:t xml:space="preserve">证据的稳健支持，因此</w:t>
      </w:r>
      <w:r>
        <w:rPr>
          <w:rFonts w:ascii="Times New Roman" w:hAnsi="Times New Roman" w:eastAsia="宋体"/>
          <w:b w:val="0"/>
          <w:sz w:val="21"/>
        </w:rPr>
        <w:t xml:space="preserve"> H2 </w:t>
      </w:r>
      <w:r>
        <w:rPr>
          <w:rFonts w:hint="eastAsia" w:ascii="Times New Roman" w:hAnsi="Times New Roman" w:eastAsia="宋体"/>
          <w:b w:val="0"/>
          <w:sz w:val="21"/>
        </w:rPr>
        <w:t xml:space="preserve">在本文中仍未获支持，只能保留为机制讨论。作为测度敏感性的补充，本文又以相同四项底层指标提取前两个主成分构造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 xml:space="preserve">Power_PCA。该口径下前两个主成分累计方差贡献率为68.72%，但路径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w:t>
      </w:r>
      <m:oMath>
        <m:r>
          <m:t>p</m:t>
        </m:r>
        <m:r>
          <m:rPr>
            <m:sty m:val="p"/>
          </m:rPr>
          <m:t>=</m:t>
        </m:r>
        <m:r>
          <m:t>0.164</m:t>
        </m:r>
      </m:oMath>
      <w:r>
        <w:rPr>
          <w:rFonts w:hint="eastAsia" w:ascii="Times New Roman" w:hAnsi="Times New Roman" w:eastAsia="宋体"/>
          <w:b w:val="0"/>
          <w:sz w:val="21"/>
        </w:rPr>
        <w:t xml:space="preserve">），间接效应的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95%置信区间为[-0.000014,</w:t>
      </w:r>
      <w:r>
        <w:rPr>
          <w:rFonts w:ascii="Times New Roman" w:hAnsi="Times New Roman" w:eastAsia="宋体"/>
          <w:b w:val="0"/>
          <w:sz w:val="21"/>
        </w:rPr>
        <w:t xml:space="preserve"> </w:t>
      </w:r>
      <w:r>
        <w:rPr>
          <w:rFonts w:hint="eastAsia" w:ascii="Times New Roman" w:hAnsi="Times New Roman" w:eastAsia="宋体"/>
          <w:b w:val="0"/>
          <w:sz w:val="21"/>
        </w:rPr>
        <w:t xml:space="preserve">0.000106]，同样跨越0，说明即便改用双主成分</w:t>
      </w:r>
      <w:r>
        <w:rPr>
          <w:rFonts w:ascii="Times New Roman" w:hAnsi="Times New Roman" w:eastAsia="宋体"/>
          <w:b w:val="0"/>
          <w:sz w:val="21"/>
        </w:rPr>
        <w:t xml:space="preserve"> </w:t>
      </w:r>
      <w:r>
        <w:rPr>
          <w:rFonts w:hint="eastAsia" w:ascii="Times New Roman" w:hAnsi="Times New Roman" w:eastAsia="宋体"/>
          <w:b w:val="0"/>
          <w:sz w:val="21"/>
        </w:rPr>
        <w:t xml:space="preserve">PCA，对</w:t>
      </w:r>
      <w:r>
        <w:rPr>
          <w:rFonts w:ascii="Times New Roman" w:hAnsi="Times New Roman" w:eastAsia="宋体"/>
          <w:b w:val="0"/>
          <w:sz w:val="21"/>
        </w:rPr>
        <w:t xml:space="preserve"> H2 </w:t>
      </w:r>
      <w:r>
        <w:rPr>
          <w:rFonts w:hint="eastAsia" w:ascii="Times New Roman" w:hAnsi="Times New Roman" w:eastAsia="宋体"/>
          <w:b w:val="0"/>
          <w:sz w:val="21"/>
        </w:rPr>
        <w:t xml:space="preserve">的判断也没有改变。</w:t>
      </w:r>
    </w:p>
    <w:bookmarkEnd w:id="55"/>
    <w:bookmarkEnd w:id="56"/>
    <w:bookmarkStart w:id="59" w:name="异质性分析"/>
    <w:p>
      <w:pPr>
        <w:pStyle w:val="2"/>
        <w:spacing w:line="312" w:lineRule="auto" w:before="0" w:after="0"/>
        <w:ind w:firstLine="0"/>
        <w:jc w:val="left"/>
      </w:pPr>
      <w:bookmarkStart w:id="131" w:name="_TocAuto0059"/>
      <w:r>
        <w:rPr>
          <w:rFonts w:ascii="Times New Roman" w:hAnsi="Times New Roman" w:eastAsia="黑体"/>
          <w:b w:val="0"/>
          <w:sz w:val="28"/>
        </w:rPr>
        <w:t xml:space="preserve">4.7 </w:t>
      </w:r>
      <w:r>
        <w:rPr>
          <w:rFonts w:hint="eastAsia" w:ascii="Times New Roman" w:hAnsi="Times New Roman" w:eastAsia="黑体"/>
          <w:b w:val="0"/>
          <w:sz w:val="28"/>
        </w:rPr>
        <w:t xml:space="preserve">异质性分析</w:t>
      </w:r>
      <w:bookmarkEnd w:id="131"/>
    </w:p>
    <w:bookmarkStart w:id="60" w:name="产权性质差异"/>
    <w:p>
      <w:pPr>
        <w:pStyle w:val="31"/>
        <w:spacing w:line="312" w:lineRule="auto" w:before="0" w:after="0"/>
        <w:ind w:firstLine="420"/>
        <w:jc w:val="left"/>
      </w:pPr>
      <w:bookmarkStart w:id="132" w:name="_TocAuto0060"/>
      <w:r>
        <w:rPr>
          <w:rFonts w:ascii="Times New Roman" w:hAnsi="Times New Roman" w:eastAsia="宋体"/>
          <w:b w:val="0"/>
          <w:sz w:val="24"/>
        </w:rPr>
        <w:t xml:space="preserve">4.7.1 </w:t>
      </w:r>
      <w:r>
        <w:rPr>
          <w:rFonts w:hint="eastAsia" w:ascii="Times New Roman" w:hAnsi="Times New Roman" w:eastAsia="宋体"/>
          <w:b w:val="0"/>
          <w:sz w:val="24"/>
        </w:rPr>
        <w:t xml:space="preserve">产权性质差异</w:t>
      </w:r>
      <w:bookmarkEnd w:id="132"/>
    </w:p>
    <w:p>
      <w:pPr>
        <w:spacing w:line="312" w:lineRule="auto" w:before="0" w:after="0"/>
        <w:ind w:firstLine="420"/>
        <w:jc w:val="both"/>
      </w:pPr>
      <w:r>
        <w:rPr>
          <w:rFonts w:hint="eastAsia" w:ascii="Times New Roman" w:hAnsi="Times New Roman" w:eastAsia="宋体"/>
          <w:b w:val="0"/>
          <w:sz w:val="21"/>
        </w:rPr>
        <w:t xml:space="preserve">按照产权性质划分样本后，本文分别在国有企业样本与产权明确的私营企业样本中重复估计基准回归模型，结果见表4-9。</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0.0000（0.02）</w:t>
            </w:r>
          </w:p>
        </w:tc>
        <w:tc>
          <w:tcPr/>
          <w:p>
            <w:pPr>
              <w:pStyle w:val="Compact"/>
              <w:spacing w:line="240" w:lineRule="auto" w:before="0" w:after="0"/>
              <w:ind w:firstLine="0"/>
              <w:jc w:val="center"/>
            </w:pPr>
            <w:r>
              <w:rPr>
                <w:rFonts w:hint="eastAsia" w:ascii="Times New Roman" w:hAnsi="Times New Roman" w:eastAsia="宋体"/>
                <w:sz w:val="18"/>
              </w:rPr>
              <w:t xml:space="preserve">−0.0002（−0.11）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−0.1703（−1.31）</w:t>
            </w:r>
          </w:p>
        </w:tc>
        <w:tc>
          <w:tcPr/>
          <w:p>
            <w:pPr>
              <w:pStyle w:val="Compact"/>
              <w:spacing w:line="240" w:lineRule="auto" w:before="0" w:after="0"/>
              <w:ind w:firstLine="0"/>
              <w:jc w:val="center"/>
            </w:pPr>
            <w:r>
              <w:rPr>
                <w:rFonts w:hint="eastAsia" w:ascii="Times New Roman" w:hAnsi="Times New Roman" w:eastAsia="宋体"/>
                <w:sz w:val="18"/>
              </w:rPr>
              <w:t xml:space="preserve">−1.2358***（−14.92）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−0.1757***（−2.70）</w:t>
            </w:r>
          </w:p>
        </w:tc>
        <w:tc>
          <w:tcPr/>
          <w:p>
            <w:pPr>
              <w:pStyle w:val="Compact"/>
              <w:spacing w:line="240" w:lineRule="auto" w:before="0" w:after="0"/>
              <w:ind w:firstLine="0"/>
              <w:jc w:val="center"/>
            </w:pPr>
            <w:r>
              <w:rPr>
                <w:rFonts w:hint="eastAsia" w:ascii="Times New Roman" w:hAnsi="Times New Roman" w:eastAsia="宋体"/>
                <w:sz w:val="18"/>
              </w:rPr>
              <w:t xml:space="preserve">−0.0821（−1.50）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−0.0022*（−1.95）</w:t>
            </w:r>
          </w:p>
        </w:tc>
        <w:tc>
          <w:tcPr/>
          <w:p>
            <w:pPr>
              <w:pStyle w:val="Compact"/>
              <w:spacing w:line="240" w:lineRule="auto" w:before="0" w:after="0"/>
              <w:ind w:firstLine="0"/>
              <w:jc w:val="center"/>
            </w:pPr>
            <w:r>
              <w:rPr>
                <w:rFonts w:hint="eastAsia" w:ascii="Times New Roman" w:hAnsi="Times New Roman" w:eastAsia="宋体"/>
                <w:sz w:val="18"/>
              </w:rPr>
              <w:t xml:space="preserve">−0.0008（−0.71）</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20,233</w:t>
            </w:r>
          </w:p>
        </w:tc>
        <w:tc>
          <w:tcPr/>
          <w:p>
            <w:pPr>
              <w:pStyle w:val="Compact"/>
              <w:spacing w:line="240" w:lineRule="auto" w:before="0" w:after="0"/>
              <w:ind w:firstLine="0"/>
              <w:jc w:val="center"/>
            </w:pPr>
            <w:r>
              <w:rPr>
                <w:rFonts w:ascii="Times New Roman" w:hAnsi="Times New Roman" w:eastAsia="宋体"/>
                <w:sz w:val="18"/>
              </w:rPr>
              <w:t xml:space="preserve">25,099</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0.0317</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都非常接近于0，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57"/>
    <w:bookmarkStart w:id="61" w:name="行业管制强度差异"/>
    <w:p>
      <w:pPr>
        <w:pStyle w:val="31"/>
        <w:spacing w:line="312" w:lineRule="auto" w:before="0" w:after="0"/>
        <w:ind w:firstLine="420"/>
        <w:jc w:val="left"/>
      </w:pPr>
      <w:bookmarkStart w:id="133" w:name="_TocAuto0061"/>
      <w:r>
        <w:rPr>
          <w:rFonts w:ascii="Times New Roman" w:hAnsi="Times New Roman" w:eastAsia="宋体"/>
          <w:b w:val="0"/>
          <w:sz w:val="24"/>
        </w:rPr>
        <w:t xml:space="preserve">4.7.2 </w:t>
      </w:r>
      <w:r>
        <w:rPr>
          <w:rFonts w:hint="eastAsia" w:ascii="Times New Roman" w:hAnsi="Times New Roman" w:eastAsia="宋体"/>
          <w:b w:val="0"/>
          <w:sz w:val="24"/>
        </w:rPr>
        <w:t xml:space="preserve">行业管制强度差异</w:t>
      </w:r>
      <w:bookmarkEnd w:id="133"/>
    </w:p>
    <w:p>
      <w:pPr>
        <w:spacing w:line="312" w:lineRule="auto" w:before="0" w:after="0"/>
        <w:ind w:firstLine="420"/>
        <w:jc w:val="both"/>
      </w:pPr>
      <w:r>
        <w:rPr>
          <w:rFonts w:hint="eastAsia" w:ascii="Times New Roman" w:hAnsi="Times New Roman" w:eastAsia="宋体"/>
          <w:b w:val="0"/>
          <w:sz w:val="21"/>
        </w:rPr>
        <w:t xml:space="preserve">按行业监管强度将样本划分为管制行业与非管制行业两组，并在各组内分别重复估计基准回归模型，结果见表4-10。</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−0.0006（−0.36）</w:t>
            </w:r>
          </w:p>
        </w:tc>
        <w:tc>
          <w:tcPr/>
          <w:p>
            <w:pPr>
              <w:pStyle w:val="Compact"/>
              <w:spacing w:line="240" w:lineRule="auto" w:before="0" w:after="0"/>
              <w:ind w:firstLine="0"/>
              <w:jc w:val="center"/>
            </w:pPr>
            <w:r>
              <w:rPr>
                <w:rFonts w:hint="eastAsia" w:ascii="Times New Roman" w:hAnsi="Times New Roman" w:eastAsia="宋体"/>
                <w:sz w:val="18"/>
              </w:rPr>
              <w:t xml:space="preserve">0.0008（0.79）</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−1.4176***（−11.10）</w:t>
            </w:r>
          </w:p>
        </w:tc>
        <w:tc>
          <w:tcPr/>
          <w:p>
            <w:pPr>
              <w:pStyle w:val="Compact"/>
              <w:spacing w:line="240" w:lineRule="auto" w:before="0" w:after="0"/>
              <w:ind w:firstLine="0"/>
              <w:jc w:val="center"/>
            </w:pPr>
            <w:r>
              <w:rPr>
                <w:rFonts w:hint="eastAsia" w:ascii="Times New Roman" w:hAnsi="Times New Roman" w:eastAsia="宋体"/>
                <w:sz w:val="18"/>
              </w:rPr>
              <w:t xml:space="preserve">−0.8173***（−10.45）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−0.1312**（−2.06）</w:t>
            </w:r>
          </w:p>
        </w:tc>
        <w:tc>
          <w:tcPr/>
          <w:p>
            <w:pPr>
              <w:pStyle w:val="Compact"/>
              <w:spacing w:line="240" w:lineRule="auto" w:before="0" w:after="0"/>
              <w:ind w:firstLine="0"/>
              <w:jc w:val="center"/>
            </w:pPr>
            <w:r>
              <w:rPr>
                <w:rFonts w:hint="eastAsia" w:ascii="Times New Roman" w:hAnsi="Times New Roman" w:eastAsia="宋体"/>
                <w:sz w:val="18"/>
              </w:rPr>
              <w:t xml:space="preserve">−0.0712（−1.58）</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−0.0044***（−3.15）</w:t>
            </w:r>
          </w:p>
        </w:tc>
        <w:tc>
          <w:tcPr/>
          <w:p>
            <w:pPr>
              <w:pStyle w:val="Compact"/>
              <w:spacing w:line="240" w:lineRule="auto" w:before="0" w:after="0"/>
              <w:ind w:firstLine="0"/>
              <w:jc w:val="center"/>
            </w:pPr>
            <w:r>
              <w:rPr>
                <w:rFonts w:hint="eastAsia" w:ascii="Times New Roman" w:hAnsi="Times New Roman" w:eastAsia="宋体"/>
                <w:sz w:val="18"/>
              </w:rPr>
              <w:t xml:space="preserve">−0.0024***（−3.10）</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8,339</w:t>
            </w:r>
          </w:p>
        </w:tc>
        <w:tc>
          <w:tcPr/>
          <w:p>
            <w:pPr>
              <w:pStyle w:val="Compact"/>
              <w:spacing w:line="240" w:lineRule="auto" w:before="0" w:after="0"/>
              <w:ind w:firstLine="0"/>
              <w:jc w:val="center"/>
            </w:pPr>
            <w:r>
              <w:rPr>
                <w:rFonts w:ascii="Times New Roman" w:hAnsi="Times New Roman" w:eastAsia="宋体"/>
                <w:sz w:val="18"/>
              </w:rPr>
              <w:t xml:space="preserve">41,416</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0.0525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0.0132</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58"/>
    <w:bookmarkStart w:id="62" w:name="央企与地方国企差异"/>
    <w:p>
      <w:pPr>
        <w:pStyle w:val="31"/>
        <w:spacing w:line="312" w:lineRule="auto" w:before="0" w:after="0"/>
        <w:ind w:firstLine="420"/>
        <w:jc w:val="left"/>
      </w:pPr>
      <w:bookmarkStart w:id="134" w:name="_TocAuto0062"/>
      <w:r>
        <w:rPr>
          <w:rFonts w:ascii="Times New Roman" w:hAnsi="Times New Roman" w:eastAsia="宋体"/>
          <w:b w:val="0"/>
          <w:sz w:val="24"/>
        </w:rPr>
        <w:t xml:space="preserve">4.7.3 </w:t>
      </w:r>
      <w:r>
        <w:rPr>
          <w:rFonts w:hint="eastAsia" w:ascii="Times New Roman" w:hAnsi="Times New Roman" w:eastAsia="宋体"/>
          <w:b w:val="0"/>
          <w:sz w:val="24"/>
        </w:rPr>
        <w:t xml:space="preserve">央企与地方国企差异</w:t>
      </w:r>
      <w:bookmarkEnd w:id="134"/>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在可识别央地属性的国有样本内进一步细分后，本文分别在央企组和地方国企组中重复估计基准回归模型，结果见表4-11。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−0.0006（−0.33）</w:t>
            </w:r>
          </w:p>
        </w:tc>
        <w:tc>
          <w:tcPr/>
          <w:p>
            <w:pPr>
              <w:pStyle w:val="Compact"/>
              <w:spacing w:line="240" w:lineRule="auto" w:before="0" w:after="0"/>
              <w:ind w:firstLine="0"/>
              <w:jc w:val="center"/>
            </w:pPr>
            <w:r>
              <w:rPr>
                <w:rFonts w:hint="eastAsia" w:ascii="Times New Roman" w:hAnsi="Times New Roman" w:eastAsia="宋体"/>
                <w:sz w:val="18"/>
              </w:rPr>
              <w:t xml:space="preserve">−0.0012（−0.88）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−0.1620（−0.63）</w:t>
            </w:r>
          </w:p>
        </w:tc>
        <w:tc>
          <w:tcPr/>
          <w:p>
            <w:pPr>
              <w:pStyle w:val="Compact"/>
              <w:spacing w:line="240" w:lineRule="auto" w:before="0" w:after="0"/>
              <w:ind w:firstLine="0"/>
              <w:jc w:val="center"/>
            </w:pPr>
            <w:r>
              <w:rPr>
                <w:rFonts w:hint="eastAsia" w:ascii="Times New Roman" w:hAnsi="Times New Roman" w:eastAsia="宋体"/>
                <w:sz w:val="18"/>
              </w:rPr>
              <w:t xml:space="preserve">−0.1534（−0.92）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0.0020（0.01）</w:t>
            </w:r>
          </w:p>
        </w:tc>
        <w:tc>
          <w:tcPr/>
          <w:p>
            <w:pPr>
              <w:pStyle w:val="Compact"/>
              <w:spacing w:line="240" w:lineRule="auto" w:before="0" w:after="0"/>
              <w:ind w:firstLine="0"/>
              <w:jc w:val="center"/>
            </w:pPr>
            <w:r>
              <w:rPr>
                <w:rFonts w:hint="eastAsia" w:ascii="Times New Roman" w:hAnsi="Times New Roman" w:eastAsia="宋体"/>
                <w:sz w:val="18"/>
              </w:rPr>
              <w:t xml:space="preserve">−0.1519**（−2.00）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−0.0013（−0.71）</w:t>
            </w:r>
          </w:p>
        </w:tc>
        <w:tc>
          <w:tcPr/>
          <w:p>
            <w:pPr>
              <w:pStyle w:val="Compact"/>
              <w:spacing w:line="240" w:lineRule="auto" w:before="0" w:after="0"/>
              <w:ind w:firstLine="0"/>
              <w:jc w:val="center"/>
            </w:pPr>
            <w:r>
              <w:rPr>
                <w:rFonts w:hint="eastAsia" w:ascii="Times New Roman" w:hAnsi="Times New Roman" w:eastAsia="宋体"/>
                <w:sz w:val="18"/>
              </w:rPr>
              <w:t xml:space="preserve">−0.0034**（−2.19）</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4,647</w:t>
            </w:r>
          </w:p>
        </w:tc>
        <w:tc>
          <w:tcPr/>
          <w:p>
            <w:pPr>
              <w:pStyle w:val="Compact"/>
              <w:spacing w:line="240" w:lineRule="auto" w:before="0" w:after="0"/>
              <w:ind w:firstLine="0"/>
              <w:jc w:val="center"/>
            </w:pPr>
            <w:r>
              <w:rPr>
                <w:rFonts w:ascii="Times New Roman" w:hAnsi="Times New Roman" w:eastAsia="宋体"/>
                <w:sz w:val="18"/>
              </w:rPr>
              <w:t xml:space="preserve">10,494</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59"/>
    <w:bookmarkEnd w:id="60"/>
    <w:bookmarkStart w:id="63" w:name="基于机器学习的稳健性检验"/>
    <w:p>
      <w:pPr>
        <w:pStyle w:val="2"/>
        <w:spacing w:line="312" w:lineRule="auto" w:before="0" w:after="0"/>
        <w:ind w:firstLine="0"/>
        <w:jc w:val="left"/>
      </w:pPr>
      <w:bookmarkStart w:id="135" w:name="_TocAuto0063"/>
      <w:r>
        <w:rPr>
          <w:rFonts w:ascii="Times New Roman" w:hAnsi="Times New Roman" w:eastAsia="黑体"/>
          <w:b w:val="0"/>
          <w:sz w:val="28"/>
        </w:rPr>
        <w:t xml:space="preserve">4.8 </w:t>
      </w:r>
      <w:r>
        <w:rPr>
          <w:rFonts w:hint="eastAsia" w:ascii="Times New Roman" w:hAnsi="Times New Roman" w:eastAsia="黑体"/>
          <w:b w:val="0"/>
          <w:sz w:val="28"/>
        </w:rPr>
        <w:t xml:space="preserve">基于机器学习的稳健性检验</w:t>
      </w:r>
      <w:bookmarkEnd w:id="135"/>
    </w:p>
    <w:p>
      <w:pPr>
        <w:spacing w:line="312" w:lineRule="auto" w:before="0" w:after="0"/>
        <w:ind w:firstLine="420"/>
        <w:jc w:val="both"/>
      </w:pPr>
      <w:r>
        <w:rPr>
          <w:rFonts w:hint="eastAsia" w:ascii="Times New Roman" w:hAnsi="Times New Roman" w:eastAsia="宋体"/>
          <w:b w:val="0"/>
          <w:sz w:val="21"/>
        </w:rPr>
        <w:t xml:space="preserve">本节不再把机器学习当作独立研究任务，而是围绕表4-5的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主回归结果和表4-8的机制路径结果展开稳健性检验。为保证可比性，本节不额外加入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的底层分项或其他扩展特征，而是与模型3至模型5保持同样的样本边界和变量口径，仅在47,055个公司—年度统一样本上纳入</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五个变量。这样安排后，机器学习部分回答的是三个更贴近导师要求的问题：第一，在更灵活的非线性模型中，财政补贴是否仍位于重要变量前列，管理层权力是否仍保留可辨识信息含量；第二，在正则化筛选下，财政补贴和管理层权力是否会被压缩为0，以及其方向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判断一致；第三，在</w:t>
      </w:r>
      <w:r>
        <w:rPr>
          <w:rFonts w:ascii="Times New Roman" w:hAnsi="Times New Roman" w:eastAsia="宋体"/>
          <w:b w:val="0"/>
          <w:sz w:val="21"/>
        </w:rPr>
        <w:t xml:space="preserve"> XGBoost </w:t>
      </w:r>
      <w:r>
        <w:rPr>
          <w:rFonts w:hint="eastAsia" w:ascii="Times New Roman" w:hAnsi="Times New Roman" w:eastAsia="宋体"/>
          <w:b w:val="0"/>
          <w:sz w:val="21"/>
        </w:rPr>
        <w:t xml:space="preserve">这类更灵活的树模型中，财政补贴的部分依赖趋势是否整体向上。样本按公司分组划分为训练集37,647条和测试集9,408条，确保同一公司的全部年度观测只落在一端。</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机器学习稳健性检验与</w:t>
      </w:r>
      <w:r>
        <w:rPr>
          <w:rFonts w:ascii="Times New Roman" w:hAnsi="Times New Roman" w:eastAsia="宋体"/>
          <w:b/>
          <w:sz w:val="18"/>
        </w:rPr>
        <w:t xml:space="preserve"> </w:t>
      </w:r>
      <w:r>
        <w:rPr>
          <w:rFonts w:hint="eastAsia" w:ascii="Times New Roman" w:hAnsi="Times New Roman" w:eastAsia="宋体"/>
          <w:b/>
          <w:sz w:val="18"/>
        </w:rPr>
        <w:t xml:space="preserve">OLS/机制回归的对应关系</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模型</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验证角度</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主要结果</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与</w:t>
            </w:r>
            <w:r>
              <w:rPr>
                <w:rFonts w:ascii="Times New Roman" w:hAnsi="Times New Roman" w:eastAsia="宋体"/>
                <w:b/>
                <w:sz w:val="18"/>
              </w:rPr>
              <w:t xml:space="preserve"> OLS </w:t>
            </w:r>
            <w:r>
              <w:rPr>
                <w:rFonts w:hint="eastAsia" w:ascii="Times New Roman" w:hAnsi="Times New Roman" w:eastAsia="宋体"/>
                <w:b/>
                <w:sz w:val="18"/>
              </w:rPr>
              <w:t xml:space="preserve">的对应关系</w:t>
            </w:r>
          </w:p>
        </w:tc>
      </w:tr>
      <w:tr>
        <w:tc>
          <w:tcPr/>
          <w:p>
            <w:pPr>
              <w:pStyle w:val="Compact"/>
              <w:spacing w:line="240" w:lineRule="auto" w:before="0" w:after="0"/>
              <w:ind w:firstLine="0"/>
              <w:jc w:val="left"/>
            </w:pPr>
            <w:r>
              <w:rPr>
                <w:rFonts w:hint="eastAsia" w:ascii="Times New Roman" w:hAnsi="Times New Roman" w:eastAsia="宋体"/>
                <w:sz w:val="18"/>
              </w:rPr>
              <w:t xml:space="preserve">随机森林</w:t>
            </w:r>
          </w:p>
        </w:tc>
        <w:tc>
          <w:tcPr/>
          <w:p>
            <w:pPr>
              <w:pStyle w:val="Compact"/>
              <w:spacing w:line="240" w:lineRule="auto" w:before="0" w:after="0"/>
              <w:ind w:firstLine="0"/>
              <w:jc w:val="center"/>
            </w:pPr>
            <w:r>
              <w:rPr>
                <w:rFonts w:hint="eastAsia" w:ascii="Times New Roman" w:hAnsi="Times New Roman" w:eastAsia="宋体"/>
                <w:sz w:val="18"/>
              </w:rPr>
              <w:t xml:space="preserve">特征重要性</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排名第3，Power_FA</w:t>
            </w:r>
            <w:r>
              <w:rPr>
                <w:rFonts w:ascii="Times New Roman" w:hAnsi="Times New Roman" w:eastAsia="宋体"/>
                <w:sz w:val="18"/>
              </w:rPr>
              <w:t xml:space="preserve"> </w:t>
            </w:r>
            <w:r>
              <w:rPr>
                <w:rFonts w:hint="eastAsia" w:ascii="Times New Roman" w:hAnsi="Times New Roman" w:eastAsia="宋体"/>
                <w:sz w:val="18"/>
              </w:rPr>
              <w:t xml:space="preserve">排名第5</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说明财政补贴信号稳定，管理层权力未被边缘化</w:t>
            </w:r>
          </w:p>
        </w:tc>
      </w:tr>
      <w:tr>
        <w:tc>
          <w:tcPr/>
          <w:p>
            <w:pPr>
              <w:pStyle w:val="Compact"/>
              <w:spacing w:line="240" w:lineRule="auto" w:before="0" w:after="0"/>
              <w:ind w:firstLine="0"/>
              <w:jc w:val="left"/>
            </w:pPr>
            <w:r>
              <w:rPr>
                <w:rFonts w:ascii="Times New Roman" w:hAnsi="Times New Roman" w:eastAsia="宋体"/>
                <w:sz w:val="18"/>
              </w:rPr>
              <w:t xml:space="preserve">Lasso</w:t>
            </w:r>
          </w:p>
        </w:tc>
        <w:tc>
          <w:tcPr/>
          <w:p>
            <w:pPr>
              <w:pStyle w:val="Compact"/>
              <w:spacing w:line="240" w:lineRule="auto" w:before="0" w:after="0"/>
              <w:ind w:firstLine="0"/>
              <w:jc w:val="center"/>
            </w:pPr>
            <w:r>
              <w:rPr>
                <w:rFonts w:hint="eastAsia" w:ascii="Times New Roman" w:hAnsi="Times New Roman" w:eastAsia="宋体"/>
                <w:sz w:val="18"/>
              </w:rPr>
              <w:t xml:space="preserve">变量保留与方向</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与</w:t>
            </w:r>
            <w:r>
              <w:rPr>
                <w:rFonts w:ascii="Times New Roman" w:hAnsi="Times New Roman" w:eastAsia="宋体"/>
                <w:sz w:val="18"/>
              </w:rPr>
              <w:t xml:space="preserve"> Power_FA </w:t>
            </w:r>
            <w:r>
              <w:rPr>
                <w:rFonts w:hint="eastAsia" w:ascii="Times New Roman" w:hAnsi="Times New Roman" w:eastAsia="宋体"/>
                <w:sz w:val="18"/>
              </w:rPr>
              <w:t xml:space="preserve">均未被压缩为0，且系数均为正</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说明财政补贴与管理层权力方向判断与</w:t>
            </w:r>
            <w:r>
              <w:rPr>
                <w:rFonts w:ascii="Times New Roman" w:hAnsi="Times New Roman" w:eastAsia="宋体"/>
                <w:sz w:val="18"/>
              </w:rPr>
              <w:t xml:space="preserve"> OLS </w:t>
            </w:r>
            <w:r>
              <w:rPr>
                <w:rFonts w:hint="eastAsia" w:ascii="Times New Roman" w:hAnsi="Times New Roman" w:eastAsia="宋体"/>
                <w:sz w:val="18"/>
              </w:rPr>
              <w:t xml:space="preserve">结果一致</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XGBoost</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重要性与部分依赖趋势</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排名第2，Power_FA</w:t>
            </w:r>
            <w:r>
              <w:rPr>
                <w:rFonts w:ascii="Times New Roman" w:hAnsi="Times New Roman" w:eastAsia="宋体"/>
                <w:sz w:val="18"/>
              </w:rPr>
              <w:t xml:space="preserve"> </w:t>
            </w:r>
            <w:r>
              <w:rPr>
                <w:rFonts w:hint="eastAsia" w:ascii="Times New Roman" w:hAnsi="Times New Roman" w:eastAsia="宋体"/>
                <w:sz w:val="18"/>
              </w:rPr>
              <w:t xml:space="preserve">排名第5，lnSubsidy_l1</w:t>
            </w:r>
            <w:r>
              <w:rPr>
                <w:rFonts w:ascii="Times New Roman" w:hAnsi="Times New Roman" w:eastAsia="宋体"/>
                <w:sz w:val="18"/>
              </w:rPr>
              <w:t xml:space="preserve"> </w:t>
            </w:r>
            <w:r>
              <w:rPr>
                <w:rFonts w:hint="eastAsia" w:ascii="Times New Roman" w:hAnsi="Times New Roman" w:eastAsia="宋体"/>
                <w:sz w:val="18"/>
              </w:rPr>
              <w:t xml:space="preserve">的部分依赖整体上升</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说明在更灵活模型中财政补贴趋势判断仍保持一致，管理层权力仍保留信息含量</w:t>
            </w:r>
          </w:p>
        </w:tc>
      </w:tr>
    </w:tbl>
    <w:p>
      <w:pPr>
        <w:spacing w:line="312" w:lineRule="auto" w:before="0" w:after="0"/>
        <w:ind w:firstLine="0"/>
        <w:jc w:val="left"/>
      </w:pPr>
      <w:r>
        <w:rPr>
          <w:rFonts w:hint="eastAsia" w:ascii="Times New Roman" w:hAnsi="Times New Roman" w:eastAsia="宋体"/>
          <w:b w:val="0"/>
          <w:sz w:val="21"/>
        </w:rPr>
        <w:t xml:space="preserve">注：本节机器学习结果仅用于复核财政补贴与管理层权力的相对重要性、保留情况和方向一致性，不替代第四章计量回归中的显著性判断与识别边界。</w:t>
      </w:r>
    </w:p>
    <w:bookmarkStart w:id="64" w:name="随机森林特征重要性验证"/>
    <w:p>
      <w:pPr>
        <w:pStyle w:val="31"/>
        <w:spacing w:line="312" w:lineRule="auto" w:before="0" w:after="0"/>
        <w:ind w:firstLine="420"/>
        <w:jc w:val="left"/>
      </w:pPr>
      <w:bookmarkStart w:id="136" w:name="_TocAuto0064"/>
      <w:r>
        <w:rPr>
          <w:rFonts w:ascii="Times New Roman" w:hAnsi="Times New Roman" w:eastAsia="宋体"/>
          <w:b w:val="0"/>
          <w:sz w:val="24"/>
        </w:rPr>
        <w:t xml:space="preserve">4.8.1 </w:t>
      </w:r>
      <w:r>
        <w:rPr>
          <w:rFonts w:hint="eastAsia" w:ascii="Times New Roman" w:hAnsi="Times New Roman" w:eastAsia="宋体"/>
          <w:b w:val="0"/>
          <w:sz w:val="24"/>
        </w:rPr>
        <w:t xml:space="preserve">随机森林特征重要性验证</w:t>
      </w:r>
      <w:bookmarkEnd w:id="136"/>
    </w:p>
    <w:p>
      <w:pPr>
        <w:spacing w:line="312" w:lineRule="auto" w:before="0" w:after="0"/>
        <w:ind w:firstLine="420"/>
        <w:jc w:val="both"/>
      </w:pPr>
      <w:r>
        <w:rPr>
          <w:rFonts w:hint="eastAsia" w:ascii="Times New Roman" w:hAnsi="Times New Roman" w:eastAsia="宋体"/>
          <w:b w:val="0"/>
          <w:sz w:val="21"/>
        </w:rPr>
        <w:t xml:space="preserve">随机森林部分的核心任务，是观察财政补贴与管理层权力在非线性模型中的重要性排序。结果显示，在5个输入变量中，Roa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排名第5。这说明财政补贴在随机森林中仍位于前列，而管理层权力虽然没有进入最前几位，但也并未被完全边缘化。换句话说，随机森林并没有否定财政补贴和管理层权力在</w:t>
      </w:r>
      <w:r>
        <w:rPr>
          <w:rFonts w:ascii="Times New Roman" w:hAnsi="Times New Roman" w:eastAsia="宋体"/>
          <w:b w:val="0"/>
          <w:sz w:val="21"/>
        </w:rPr>
        <w:t xml:space="preserve"> OLS </w:t>
      </w:r>
      <w:r>
        <w:rPr>
          <w:rFonts w:hint="eastAsia" w:ascii="Times New Roman" w:hAnsi="Times New Roman" w:eastAsia="宋体"/>
          <w:b w:val="0"/>
          <w:sz w:val="21"/>
        </w:rPr>
        <w:t xml:space="preserve">框架中的信息含量，它只是表明在五个核心变量共同竞争时，业绩和股权监督变量的分割能力更强。</w:t>
      </w:r>
    </w:p>
    <w:p xmlns:a="http://schemas.openxmlformats.org/drawingml/2006/main" xmlns:pic="http://schemas.openxmlformats.org/drawingml/2006/picture">
      <w:pPr>
        <w:pStyle w:val="a4"/>
      </w:pPr>
      <w:r>
        <w:drawing>
          <wp:inline>
            <wp:extent cx="5753100" cy="3157425"/>
            <wp:effectExtent b="0" l="0" r="0" t="0"/>
            <wp:docPr descr="" title="" id="2" name="Picture"/>
            <a:graphic>
              <a:graphicData uri="http://schemas.openxmlformats.org/drawingml/2006/picture">
                <pic:pic>
                  <pic:nvPicPr>
                    <pic:cNvPr descr="./images/fig2_rf_importance.png" id="2" name="Picture"/>
                    <pic:cNvPicPr>
                      <a:picLocks noChangeArrowheads="1" noChangeAspect="1"/>
                    </pic:cNvPicPr>
                  </pic:nvPicPr>
                  <pic:blipFill>
                    <a:blip r:embed="rId24"/>
                    <a:stretch>
                      <a:fillRect/>
                    </a:stretch>
                  </pic:blipFill>
                  <pic:spPr bwMode="auto">
                    <a:xfrm>
                      <a:off x="0" y="0"/>
                      <a:ext cx="5753100" cy="3157425"/>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需要注意的是，随机森林的重要性不等同于计量回归中的系数显著性，它回答的是“哪个变量对模型划分更重要”，而不是“哪一个变量已经被严格识别为因果因素”。因此，本节更稳妥的结论是：财政补贴在随机森林中仍处于重要变量前列，管理层权力也保留了可辨识的重要性，这与第四章把两者视作核心解释与机制变量的做法基本一致。</w:t>
      </w:r>
    </w:p>
    <w:bookmarkEnd w:id="61"/>
    <w:bookmarkStart w:id="65" w:name="lasso-系数保留与方向验证"/>
    <w:p>
      <w:pPr>
        <w:pStyle w:val="31"/>
        <w:spacing w:line="312" w:lineRule="auto" w:before="0" w:after="0"/>
        <w:ind w:firstLine="420"/>
        <w:jc w:val="left"/>
      </w:pPr>
      <w:bookmarkStart w:id="137" w:name="_TocAuto0065"/>
      <w:r>
        <w:rPr>
          <w:rFonts w:ascii="Times New Roman" w:hAnsi="Times New Roman" w:eastAsia="宋体"/>
          <w:b w:val="0"/>
          <w:sz w:val="24"/>
        </w:rPr>
        <w:t xml:space="preserve">4.8.2 Lasso </w:t>
      </w:r>
      <w:r>
        <w:rPr>
          <w:rFonts w:hint="eastAsia" w:ascii="Times New Roman" w:hAnsi="Times New Roman" w:eastAsia="宋体"/>
          <w:b w:val="0"/>
          <w:sz w:val="24"/>
        </w:rPr>
        <w:t xml:space="preserve">系数保留与方向验证</w:t>
      </w:r>
      <w:bookmarkEnd w:id="137"/>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部分关注的是：当财政补贴、管理层权力与其他核心控制变量共同进入正则化回归后，lnSubsidy_l1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是否会被压缩为0，以及其方向是否仍与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判断一致。结果显示，最优惩罚参数约为</w:t>
      </w:r>
      <w:r>
        <w:rPr>
          <w:rFonts w:ascii="Times New Roman" w:hAnsi="Times New Roman" w:eastAsia="宋体"/>
          <w:b w:val="0"/>
          <w:sz w:val="21"/>
        </w:rPr>
        <w:t xml:space="preserve"> </w:t>
      </w:r>
      <m:oMath>
        <m:sSup>
          <m:e>
            <m:r>
              <m:t>λ</m:t>
            </m:r>
          </m:e>
          <m:sup>
            <m:r>
              <m:rPr>
                <m:sty m:val="p"/>
              </m:rPr>
              <m:t>*</m:t>
            </m:r>
          </m:sup>
        </m:sSup>
        <m:r>
          <m:rPr>
            <m:sty m:val="p"/>
          </m:rPr>
          <m:t>=</m:t>
        </m:r>
        <m:r>
          <m:t>0.0013</m:t>
        </m:r>
      </m:oMath>
      <w:r>
        <w:rPr>
          <w:rFonts w:hint="eastAsia" w:ascii="Times New Roman" w:hAnsi="Times New Roman" w:eastAsia="宋体"/>
          <w:b w:val="0"/>
          <w:sz w:val="21"/>
        </w:rPr>
        <w:t xml:space="preserve">，5个候选特征全部被保留下来，其中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的系数为0.0154，Power_FA</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的系数为0.0145，二者方向均为正。这意味着财政补贴和管理层权力变量都未在特征竞争中消失，其方向判断也没有发生反转。</w:t>
      </w:r>
    </w:p>
    <w:p xmlns:a="http://schemas.openxmlformats.org/drawingml/2006/main" xmlns:pic="http://schemas.openxmlformats.org/drawingml/2006/picture">
      <w:pPr>
        <w:pStyle w:val="a4"/>
      </w:pPr>
      <w:r>
        <w:drawing>
          <wp:inline>
            <wp:extent cx="5753100" cy="3118683"/>
            <wp:effectExtent b="0" l="0" r="0" t="0"/>
            <wp:docPr descr="" title="" id="3" name="Picture"/>
            <a:graphic>
              <a:graphicData uri="http://schemas.openxmlformats.org/drawingml/2006/picture">
                <pic:pic>
                  <pic:nvPicPr>
                    <pic:cNvPr descr="./images/fig1_lasso_path.png" id="3" name="Picture"/>
                    <pic:cNvPicPr>
                      <a:picLocks noChangeArrowheads="1" noChangeAspect="1"/>
                    </pic:cNvPicPr>
                  </pic:nvPicPr>
                  <pic:blipFill>
                    <a:blip r:embed="rId25"/>
                    <a:stretch>
                      <a:fillRect/>
                    </a:stretch>
                  </pic:blipFill>
                  <pic:spPr bwMode="auto">
                    <a:xfrm>
                      <a:off x="0" y="0"/>
                      <a:ext cx="5753100" cy="3118683"/>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图4-2展示了随着惩罚参数增大，各特征系数逐步向零收缩的路径。对本文而言，最关键的不是哪条曲线下降得更快，而是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在最优参数附近都保持正向系数。由于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主回归中的财政补贴系数方向为正，机制检验中路径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w:t>
      </w:r>
      <w:r>
        <w:rPr>
          <w:rFonts w:ascii="Times New Roman" w:hAnsi="Times New Roman" w:eastAsia="宋体"/>
          <w:b w:val="0"/>
          <w:sz w:val="21"/>
        </w:rPr>
        <w:t xml:space="preserve"> Power </w:t>
      </w:r>
      <w:r>
        <w:rPr>
          <w:rFonts w:hint="eastAsia" w:ascii="Times New Roman" w:hAnsi="Times New Roman" w:eastAsia="宋体"/>
          <w:b w:val="0"/>
          <w:sz w:val="21"/>
        </w:rPr>
        <w:t xml:space="preserve">系数也为正，因此</w:t>
      </w:r>
      <w:r>
        <w:rPr>
          <w:rFonts w:ascii="Times New Roman" w:hAnsi="Times New Roman" w:eastAsia="宋体"/>
          <w:b w:val="0"/>
          <w:sz w:val="21"/>
        </w:rPr>
        <w:t xml:space="preserve"> Lasso </w:t>
      </w:r>
      <w:r>
        <w:rPr>
          <w:rFonts w:hint="eastAsia" w:ascii="Times New Roman" w:hAnsi="Times New Roman" w:eastAsia="宋体"/>
          <w:b w:val="0"/>
          <w:sz w:val="21"/>
        </w:rPr>
        <w:t xml:space="preserve">的结果可以被理解为一种方向一致性验证：在更严格的变量筛选条件下，财政补贴和管理层权力都未被压缩掉，而且方向仍与计量回归判断一致。</w:t>
      </w:r>
    </w:p>
    <w:bookmarkEnd w:id="62"/>
    <w:bookmarkStart w:id="66" w:name="xgboost-特征重要性与部分依赖验证"/>
    <w:p>
      <w:pPr>
        <w:pStyle w:val="31"/>
        <w:spacing w:line="312" w:lineRule="auto" w:before="0" w:after="0"/>
        <w:ind w:firstLine="420"/>
        <w:jc w:val="left"/>
      </w:pPr>
      <w:bookmarkStart w:id="138" w:name="_TocAuto0066"/>
      <w:r>
        <w:rPr>
          <w:rFonts w:ascii="Times New Roman" w:hAnsi="Times New Roman" w:eastAsia="宋体"/>
          <w:b w:val="0"/>
          <w:sz w:val="24"/>
        </w:rPr>
        <w:t xml:space="preserve">4.8.3 XGBoost </w:t>
      </w:r>
      <w:r>
        <w:rPr>
          <w:rFonts w:hint="eastAsia" w:ascii="Times New Roman" w:hAnsi="Times New Roman" w:eastAsia="宋体"/>
          <w:b w:val="0"/>
          <w:sz w:val="24"/>
        </w:rPr>
        <w:t xml:space="preserve">特征重要性与部分依赖验证</w:t>
      </w:r>
      <w:bookmarkEnd w:id="138"/>
    </w:p>
    <w:p>
      <w:pPr>
        <w:spacing w:line="312" w:lineRule="auto" w:before="0" w:after="0"/>
        <w:ind w:firstLine="420"/>
        <w:jc w:val="both"/>
      </w:pPr>
      <w:r>
        <w:rPr>
          <w:rFonts w:ascii="Times New Roman" w:hAnsi="Times New Roman" w:eastAsia="宋体"/>
          <w:b w:val="0"/>
          <w:sz w:val="21"/>
        </w:rPr>
        <w:t xml:space="preserve">XGBoost </w:t>
      </w:r>
      <w:r>
        <w:rPr>
          <w:rFonts w:hint="eastAsia" w:ascii="Times New Roman" w:hAnsi="Times New Roman" w:eastAsia="宋体"/>
          <w:b w:val="0"/>
          <w:sz w:val="21"/>
        </w:rPr>
        <w:t xml:space="preserve">部分承担两项任务。第一，继续观察财政补贴与管理层权力在更灵活树模型中的重要性排序；第二，利用部分依赖图判断财政补贴与超额薪酬之间的局部趋势是否整体向上。结果显示，在</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的特征重要性排序中，Roa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同时，财政补贴的部分依赖曲线整体由负值区间上移至正值区间，呈现总体上升趋势。这表明，当模型允许更复杂的非线性关系时，财政补贴仍然是靠前的重要特征，管理层权力也保留了稳定的信息含量，而且财政补贴的局部趋势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主回归中的正向系数方向保持一致。</w:t>
      </w:r>
    </w:p>
    <w:p xmlns:a="http://schemas.openxmlformats.org/drawingml/2006/main" xmlns:pic="http://schemas.openxmlformats.org/drawingml/2006/picture">
      <w:pPr>
        <w:pStyle w:val="a4"/>
      </w:pPr>
      <w:r>
        <w:drawing>
          <wp:inline>
            <wp:extent cx="5753100" cy="1964607"/>
            <wp:effectExtent b="0" l="0" r="0" t="0"/>
            <wp:docPr descr="" title="" id="4" name="Picture"/>
            <a:graphic>
              <a:graphicData uri="http://schemas.openxmlformats.org/drawingml/2006/picture">
                <pic:pic>
                  <pic:nvPicPr>
                    <pic:cNvPr descr="./images/fig4_shap_subsidy.png" id="4" name="Picture"/>
                    <pic:cNvPicPr>
                      <a:picLocks noChangeArrowheads="1" noChangeAspect="1"/>
                    </pic:cNvPicPr>
                  </pic:nvPicPr>
                  <pic:blipFill>
                    <a:blip r:embed="rId26"/>
                    <a:stretch>
                      <a:fillRect/>
                    </a:stretch>
                  </pic:blipFill>
                  <pic:spPr bwMode="auto">
                    <a:xfrm>
                      <a:off x="0" y="0"/>
                      <a:ext cx="5753100" cy="1964607"/>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图4-3右侧的部分依赖图揭示的是“在控制其他变量平均作用后，财政补贴变化如何影响模型预测的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Overpay”，它并不是计量经济学意义上的边际因果效应。更稳妥的理解是：XGBoost</w:t>
      </w:r>
      <w:r>
        <w:rPr>
          <w:rFonts w:ascii="Times New Roman" w:hAnsi="Times New Roman" w:eastAsia="宋体"/>
          <w:b w:val="0"/>
          <w:sz w:val="21"/>
        </w:rPr>
        <w:t xml:space="preserve"> </w:t>
      </w:r>
      <w:r>
        <w:rPr>
          <w:rFonts w:hint="eastAsia" w:ascii="Times New Roman" w:hAnsi="Times New Roman" w:eastAsia="宋体"/>
          <w:b w:val="0"/>
          <w:sz w:val="21"/>
        </w:rPr>
        <w:t xml:space="preserve">在更灵活的函数形式下，仍给出了财政补贴与超额薪酬总体正向关联的趋势图像。综合随机森林、Lasso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三项结果，可以得出一个谨慎但清晰的判断：机器学习稳健性检验并没有改变第四章主回归未显著、机制链条未稳健成立的事实，但它从变量重要性、系数保留与方向、部分依赖趋势三个角度，对财政补贴和管理层权力这两个核心变量的研究性判断提供了额外证据。</w:t>
      </w:r>
    </w:p>
    <w:bookmarkEnd w:id="63"/>
    <w:bookmarkEnd w:id="64"/>
    <w:bookmarkEnd w:id="65"/>
    <w:bookmarkStart w:id="67" w:name="第五章-结论"/>
    <w:p>
      <w:pPr>
        <w:pStyle w:val="1"/>
        <w:pageBreakBefore/>
        <w:spacing w:line="312" w:lineRule="auto" w:before="0" w:after="0"/>
        <w:ind w:firstLine="0"/>
        <w:jc w:val="center"/>
      </w:pPr>
      <w:bookmarkStart w:id="139" w:name="_TocAuto0067"/>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139"/>
    </w:p>
    <w:bookmarkStart w:id="68" w:name="研究结论"/>
    <w:p>
      <w:pPr>
        <w:pStyle w:val="2"/>
        <w:spacing w:line="312" w:lineRule="auto" w:before="0" w:after="0"/>
        <w:ind w:firstLine="0"/>
        <w:jc w:val="left"/>
      </w:pPr>
      <w:bookmarkStart w:id="140" w:name="_TocAuto0068"/>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4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本文的主要研究结论可概括为以下五点。整体上，本文发现财政补贴与高管超额薪酬之间存在一定关联，但全样本平均直接效应不稳固，且对变量口径、样本设定和识别设计较为敏感，现有证据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在以</w:t>
      </w:r>
      <w:r>
        <w:rPr>
          <w:rFonts w:ascii="Times New Roman" w:hAnsi="Times New Roman" w:eastAsia="宋体"/>
          <w:b w:val="0"/>
          <w:bCs/>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bCs/>
          <w:sz w:val="21"/>
        </w:rPr>
        <w:t xml:space="preserve"> </w:t>
      </w:r>
      <w:r>
        <w:rPr>
          <w:rFonts w:hint="eastAsia" w:ascii="Times New Roman" w:hAnsi="Times New Roman" w:eastAsia="宋体"/>
          <w:b w:val="0"/>
          <w:bCs/>
          <w:sz w:val="21"/>
        </w:rPr>
        <w:t xml:space="preserve">为基准口径的公司和年份固定效应设定下，滞后一期财政补贴与高管超额薪酬之间未形成稳定显著的全样本直接关系。</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基准回归中，滞后一期财政补贴变量</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的系数为0.0005（</w:t>
      </w:r>
      <m:oMath>
        <m:r>
          <m:t>p</m:t>
        </m:r>
        <m:r>
          <m:rPr>
            <m:sty m:val="p"/>
          </m:rPr>
          <m:t>=</m:t>
        </m:r>
        <m:r>
          <m:t>0.591</m:t>
        </m:r>
      </m:oMath>
      <w:r>
        <w:rPr>
          <w:rFonts w:hint="eastAsia" w:ascii="Times New Roman" w:hAnsi="Times New Roman" w:eastAsia="宋体"/>
          <w:b w:val="0"/>
          <w:sz w:val="21"/>
        </w:rPr>
        <w:t xml:space="preserve">）；把固定效应设定改为“公司固定效应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行业×年份固定效应”后，系数仍约为0.0004（</w:t>
      </w:r>
      <m:oMath>
        <m:r>
          <m:t>p</m:t>
        </m:r>
        <m:r>
          <m:rPr>
            <m:sty m:val="p"/>
          </m:rPr>
          <m:t>=</m:t>
        </m:r>
        <m:r>
          <m:t>0.592</m:t>
        </m:r>
      </m:oMath>
      <w:r>
        <w:rPr>
          <w:rFonts w:hint="eastAsia" w:ascii="Times New Roman" w:hAnsi="Times New Roman" w:eastAsia="宋体"/>
          <w:b w:val="0"/>
          <w:sz w:val="21"/>
        </w:rPr>
        <w:t xml:space="preserve">），说明吸收行业年度共同冲击后结论并未改变。稳健性检验同时表明，该关系对变量口径和样本范围较为敏感。需要区分的是，全样本口径混合了“是否获得补助”和“获得补助后的强弱差异”，而仅正补助口径只比较已获补助企业内部差异，两者对应的不是同一个经济问题。由此，更稳妥的表述是：财政补贴与高管薪酬之间存在一定关联，但全样本平均直接效应并不稳固。</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在识别策略层面，不同工具变量设定下的补贴系数方向并不完全一致，现有证据更适合被理解为“出现了几组正向估计，但统计支撑仍不一致”。</w:t>
      </w:r>
      <w:r>
        <w:rPr>
          <w:rFonts w:ascii="Times New Roman" w:hAnsi="Times New Roman" w:eastAsia="宋体"/>
          <w:b w:val="0"/>
          <w:sz w:val="21"/>
        </w:rPr>
        <w:t xml:space="preserve"> </w:t>
      </w:r>
      <w:r>
        <w:rPr>
          <w:rFonts w:hint="eastAsia" w:ascii="Times New Roman" w:hAnsi="Times New Roman" w:eastAsia="宋体"/>
          <w:b w:val="0"/>
          <w:sz w:val="21"/>
        </w:rPr>
        <w:t xml:space="preserve">近端滞后（L1）的“同城同年”“同行业同年”和精炼双工具变量均给出负向估计，但精炼双工具的过度识别检验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值约为0.034，排除限制存在争议，且近端工具仍混入公司质量与薪酬规范化之间的截面因素。与之相对，滞后三期省均值工具变量（Partial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）给出显著正向估计（</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）；Lewbel（2012）异方差内生工具变量给出正向但不显著估计（</w:t>
      </w:r>
      <m:oMath>
        <m:r>
          <m:t>β</m:t>
        </m:r>
        <m:r>
          <m:rPr>
            <m:sty m:val="p"/>
          </m:rPr>
          <m:t>=</m:t>
        </m:r>
        <m:r>
          <m:t>0.0040</m:t>
        </m:r>
      </m:oMath>
      <w:r>
        <w:rPr>
          <w:rFonts w:hint="eastAsia" w:ascii="Times New Roman" w:hAnsi="Times New Roman" w:eastAsia="宋体"/>
          <w:b w:val="0"/>
          <w:sz w:val="21"/>
        </w:rPr>
        <w:t xml:space="preserve">）；采用公司固定效应与年份固定效应设定的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两组方案系数也均为正（</w:t>
      </w:r>
      <m:oMath>
        <m:r>
          <m:t>β</m:t>
        </m:r>
        <m:r>
          <m:rPr>
            <m:sty m:val="p"/>
          </m:rPr>
          <m:t>=</m:t>
        </m:r>
        <m:r>
          <m:t>0.145</m:t>
        </m:r>
      </m:oMath>
      <w:r>
        <w:rPr>
          <w:rFonts w:hint="eastAsia" w:ascii="Times New Roman" w:hAnsi="Times New Roman" w:eastAsia="宋体"/>
          <w:b w:val="0"/>
          <w:sz w:val="21"/>
        </w:rPr>
        <w:t xml:space="preserve">，</w:t>
      </w:r>
      <m:oMath>
        <m:r>
          <m:t>β</m:t>
        </m:r>
        <m:r>
          <m:rPr>
            <m:sty m:val="p"/>
          </m:rPr>
          <m:t>=</m:t>
        </m:r>
        <m:r>
          <m:t>0.093</m:t>
        </m:r>
      </m:oMath>
      <w:r>
        <w:rPr>
          <w:rFonts w:hint="eastAsia" w:ascii="Times New Roman" w:hAnsi="Times New Roman" w:eastAsia="宋体"/>
          <w:b w:val="0"/>
          <w:sz w:val="21"/>
        </w:rPr>
        <w:t xml:space="preserve">），但第一阶段仍偏弱。总体而言，识别结果会随着工具变量设计、第一阶段强度和排除限制设定发生明显变化，因此本文不将补贴效应写成已经被稳健识别的单一因果结论。</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对仅正补助口径实施</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两步校正后，逆米尔斯比率显著，说明正补助样本确实存在选择偏差，但校正后的补贴系数仍为正且显著；同时，围绕首次大额补贴暴露年份的事件研究未见显著预趋势，但事后系数整体转正。</w:t>
      </w:r>
      <w:r>
        <w:rPr>
          <w:rFonts w:ascii="Times New Roman" w:hAnsi="Times New Roman" w:eastAsia="宋体"/>
          <w:b w:val="0"/>
          <w:sz w:val="21"/>
        </w:rPr>
        <w:t xml:space="preserve"> </w:t>
      </w:r>
      <w:r>
        <w:rPr>
          <w:rFonts w:hint="eastAsia" w:ascii="Times New Roman" w:hAnsi="Times New Roman" w:eastAsia="宋体"/>
          <w:b w:val="0"/>
          <w:sz w:val="21"/>
        </w:rPr>
        <w:t xml:space="preserve">这意味着表4-7中正补助口径的正向结果并非完全由样本选择驱动，而首次大额补贴之后的超额薪酬抬升更像是一种动态伴随现象。另一方面，未来一期和未来两期补贴安慰剂在基准设定下分别为0.0018（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）；改用行业×年份固定效应后，未来一期被压弱至0.0017（</w:t>
      </w:r>
      <m:oMath>
        <m:r>
          <m:t>p</m:t>
        </m:r>
        <m:r>
          <m:rPr>
            <m:sty m:val="p"/>
          </m:rPr>
          <m:t>=</m:t>
        </m:r>
        <m:r>
          <m:t>0.057</m:t>
        </m:r>
      </m:oMath>
      <w:r>
        <w:rPr>
          <w:rFonts w:hint="eastAsia" w:ascii="Times New Roman" w:hAnsi="Times New Roman" w:eastAsia="宋体"/>
          <w:b w:val="0"/>
          <w:sz w:val="21"/>
        </w:rPr>
        <w:t xml:space="preserve">），未来两期仍为0.0021（</w:t>
      </w:r>
      <m:oMath>
        <m:r>
          <m:t>p</m:t>
        </m:r>
        <m:r>
          <m:rPr>
            <m:sty m:val="p"/>
          </m:rPr>
          <m:t>=</m:t>
        </m:r>
        <m:r>
          <m:t>0.019</m:t>
        </m:r>
      </m:oMath>
      <w:r>
        <w:rPr>
          <w:rFonts w:hint="eastAsia" w:ascii="Times New Roman" w:hAnsi="Times New Roman" w:eastAsia="宋体"/>
          <w:b w:val="0"/>
          <w:sz w:val="21"/>
        </w:rPr>
        <w:t xml:space="preserve">）。这说明时变行业冲击只能解释前瞻性相关的一部分，因此本文仍不将事件研究结果直接解释为准自然实验意义上的因果效应。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Power </w:t>
      </w:r>
      <w:r>
        <w:rPr>
          <w:rFonts w:hint="eastAsia" w:ascii="Times New Roman" w:hAnsi="Times New Roman" w:eastAsia="宋体"/>
          <w:b w:val="0"/>
          <w:bCs/>
          <w:sz w:val="21"/>
        </w:rPr>
        <w:t xml:space="preserve">只是基于可观测治理特征构造的经验性综合测度，统计支撑有限；在这一口径下，管理层权力的中介效应仍未获稳健支持。</w:t>
      </w:r>
      <w:r>
        <w:rPr>
          <w:rFonts w:ascii="Times New Roman" w:hAnsi="Times New Roman" w:eastAsia="宋体"/>
          <w:b w:val="0"/>
          <w:sz w:val="21"/>
        </w:rPr>
        <w:t xml:space="preserve"> </w:t>
      </w:r>
      <w:r>
        <w:rPr>
          <w:rFonts w:ascii="Times New Roman" w:hAnsi="Times New Roman" w:eastAsia="宋体"/>
          <w:b w:val="0"/>
          <w:sz w:val="21"/>
        </w:rPr>
        <w:t xml:space="preserve">FA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约为0.577，前两个公共因子累计解释率约为39.13%，且</w:t>
      </w:r>
      <w:r>
        <w:rPr>
          <w:rFonts w:ascii="Times New Roman" w:hAnsi="Times New Roman" w:eastAsia="宋体"/>
          <w:b w:val="0"/>
          <w:sz w:val="21"/>
        </w:rPr>
        <w:t xml:space="preserve"> Dual </w:t>
      </w:r>
      <w:r>
        <w:rPr>
          <w:rFonts w:hint="eastAsia" w:ascii="Times New Roman" w:hAnsi="Times New Roman" w:eastAsia="宋体"/>
          <w:b w:val="0"/>
          <w:sz w:val="21"/>
        </w:rPr>
        <w:t xml:space="preserve">的共同度明显偏低，因此本文不把</w:t>
      </w:r>
      <w:r>
        <w:rPr>
          <w:rFonts w:ascii="Times New Roman" w:hAnsi="Times New Roman" w:eastAsia="宋体"/>
          <w:b w:val="0"/>
          <w:sz w:val="21"/>
        </w:rPr>
        <w:t xml:space="preserve"> Power </w:t>
      </w:r>
      <w:r>
        <w:rPr>
          <w:rFonts w:hint="eastAsia" w:ascii="Times New Roman" w:hAnsi="Times New Roman" w:eastAsia="宋体"/>
          <w:b w:val="0"/>
          <w:sz w:val="21"/>
        </w:rPr>
        <w:t xml:space="preserve">解释为统计上更优的唯一测度，而仅将其作为经验性综合指标使用。路径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虽为正，但未达到常用显著性水平（</w:t>
      </w:r>
      <m:oMath>
        <m:r>
          <m:t>p</m:t>
        </m:r>
        <m:r>
          <m:rPr>
            <m:sty m:val="p"/>
          </m:rPr>
          <m:t>=</m:t>
        </m:r>
        <m:r>
          <m:t>0.212</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仅在10%水平上边际显著，间接效应的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0.000070]，仍跨越0；进一步改用双主成分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口径后，间接效应区间同样跨越0。这意味着，改用</w:t>
      </w:r>
      <w:r>
        <w:rPr>
          <w:rFonts w:ascii="Times New Roman" w:hAnsi="Times New Roman" w:eastAsia="宋体"/>
          <w:b w:val="0"/>
          <w:sz w:val="21"/>
        </w:rPr>
        <w:t xml:space="preserve"> FA </w:t>
      </w:r>
      <w:r>
        <w:rPr>
          <w:rFonts w:hint="eastAsia" w:ascii="Times New Roman" w:hAnsi="Times New Roman" w:eastAsia="宋体"/>
          <w:b w:val="0"/>
          <w:sz w:val="21"/>
        </w:rPr>
        <w:t xml:space="preserve">和</w:t>
      </w:r>
      <w:r>
        <w:rPr>
          <w:rFonts w:ascii="Times New Roman" w:hAnsi="Times New Roman" w:eastAsia="宋体"/>
          <w:b w:val="0"/>
          <w:sz w:val="21"/>
        </w:rPr>
        <w:t xml:space="preserve"> PCA </w:t>
      </w:r>
      <w:r>
        <w:rPr>
          <w:rFonts w:hint="eastAsia" w:ascii="Times New Roman" w:hAnsi="Times New Roman" w:eastAsia="宋体"/>
          <w:b w:val="0"/>
          <w:sz w:val="21"/>
        </w:rPr>
        <w:t xml:space="preserve">两种综合测度口径，并未改变本文对</w:t>
      </w:r>
      <w:r>
        <w:rPr>
          <w:rFonts w:ascii="Times New Roman" w:hAnsi="Times New Roman" w:eastAsia="宋体"/>
          <w:b w:val="0"/>
          <w:sz w:val="21"/>
        </w:rPr>
        <w:t xml:space="preserve"> H2 </w:t>
      </w:r>
      <w:r>
        <w:rPr>
          <w:rFonts w:hint="eastAsia" w:ascii="Times New Roman" w:hAnsi="Times New Roman" w:eastAsia="宋体"/>
          <w:b w:val="0"/>
          <w:sz w:val="21"/>
        </w:rPr>
        <w:t xml:space="preserve">的基本判断，即“补贴先影响权力、再影响超额薪酬”的完整链条仍未得到稳健支持。</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机器学习稳健性检验在与机制检验一致的47,055条统一样本上，从变量重要性、系数保留与方向一致性、部分依赖趋势三个角度，对</w:t>
      </w:r>
      <w:r>
        <w:rPr>
          <w:rFonts w:ascii="Times New Roman" w:hAnsi="Times New Roman" w:eastAsia="宋体"/>
          <w:b w:val="0"/>
          <w:bCs/>
          <w:sz w:val="21"/>
        </w:rPr>
        <w:t xml:space="preserve"> OLS </w:t>
      </w:r>
      <w:r>
        <w:rPr>
          <w:rFonts w:hint="eastAsia" w:ascii="Times New Roman" w:hAnsi="Times New Roman" w:eastAsia="宋体"/>
          <w:b w:val="0"/>
          <w:bCs/>
          <w:sz w:val="21"/>
        </w:rPr>
        <w:t xml:space="preserve">主回归和管理层权力路径提供了辅助证据，但并不改变全样本主回归未显著的边界。</w:t>
      </w:r>
      <w:r>
        <w:rPr>
          <w:rFonts w:ascii="Times New Roman" w:hAnsi="Times New Roman" w:eastAsia="宋体"/>
          <w:b w:val="0"/>
          <w:sz w:val="21"/>
        </w:rPr>
        <w:t xml:space="preserve"> </w:t>
      </w:r>
      <w:r>
        <w:rPr>
          <w:rFonts w:hint="eastAsia" w:ascii="Times New Roman" w:hAnsi="Times New Roman" w:eastAsia="宋体"/>
          <w:b w:val="0"/>
          <w:sz w:val="21"/>
        </w:rPr>
        <w:t xml:space="preserve">随机森林结果显示，lnSubsidy_l1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在5个输入特征中排名第3，Power_FA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排名第5；Lasso</w:t>
      </w:r>
      <w:r>
        <w:rPr>
          <w:rFonts w:ascii="Times New Roman" w:hAnsi="Times New Roman" w:eastAsia="宋体"/>
          <w:b w:val="0"/>
          <w:sz w:val="21"/>
        </w:rPr>
        <w:t xml:space="preserve"> </w:t>
      </w:r>
      <w:r>
        <w:rPr>
          <w:rFonts w:hint="eastAsia" w:ascii="Times New Roman" w:hAnsi="Times New Roman" w:eastAsia="宋体"/>
          <w:b w:val="0"/>
          <w:sz w:val="21"/>
        </w:rPr>
        <w:t xml:space="preserve">结果表明</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与</w:t>
      </w:r>
      <w:r>
        <w:rPr>
          <w:rFonts w:ascii="Times New Roman" w:hAnsi="Times New Roman" w:eastAsia="宋体"/>
          <w:b w:val="0"/>
          <w:sz w:val="21"/>
        </w:rPr>
        <w:t xml:space="preserve"> Power_FA </w:t>
      </w:r>
      <w:r>
        <w:rPr>
          <w:rFonts w:hint="eastAsia" w:ascii="Times New Roman" w:hAnsi="Times New Roman" w:eastAsia="宋体"/>
          <w:b w:val="0"/>
          <w:sz w:val="21"/>
        </w:rPr>
        <w:t xml:space="preserve">均未被压缩为0，且系数均为正；XGBoost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排名第2，Power_FA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排名第5，财政补贴的部分依赖曲线整体呈上升趋势。这说明在更严格对齐</w:t>
      </w:r>
      <w:r>
        <w:rPr>
          <w:rFonts w:ascii="Times New Roman" w:hAnsi="Times New Roman" w:eastAsia="宋体"/>
          <w:b w:val="0"/>
          <w:sz w:val="21"/>
        </w:rPr>
        <w:t xml:space="preserve"> OLS </w:t>
      </w:r>
      <w:r>
        <w:rPr>
          <w:rFonts w:hint="eastAsia" w:ascii="Times New Roman" w:hAnsi="Times New Roman" w:eastAsia="宋体"/>
          <w:b w:val="0"/>
          <w:sz w:val="21"/>
        </w:rPr>
        <w:t xml:space="preserve">与机制回归的变量设定下，财政补贴的正向方向判断较为稳定，管理层权力变量也并未在机器学习框架中消失。但由于机器学习结果本质上仍属于辅助检验，而非正式识别，因此它更适合作为对主回归方向判断、机制变量保留情况和相对重要性的稳健性检验，不能替代计量回归中的显著性与因果识别结论。</w:t>
      </w:r>
    </w:p>
    <w:bookmarkEnd w:id="66"/>
    <w:bookmarkStart w:id="69" w:name="政策建议"/>
    <w:p>
      <w:pPr>
        <w:pStyle w:val="2"/>
        <w:spacing w:line="312" w:lineRule="auto" w:before="0" w:after="0"/>
        <w:ind w:firstLine="0"/>
        <w:jc w:val="left"/>
      </w:pPr>
      <w:bookmarkStart w:id="141" w:name="_TocAuto0069"/>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41"/>
    </w:p>
    <w:p>
      <w:pPr>
        <w:spacing w:line="312" w:lineRule="auto" w:before="0" w:after="0"/>
        <w:ind w:firstLine="420"/>
        <w:jc w:val="both"/>
      </w:pPr>
      <w:r>
        <w:rPr>
          <w:rFonts w:hint="eastAsia" w:ascii="Times New Roman" w:hAnsi="Times New Roman" w:eastAsia="宋体"/>
          <w:b w:val="0"/>
          <w:sz w:val="21"/>
        </w:rPr>
        <w:t xml:space="preserve">基于上述研究结论，本文从财政补贴监管以及薪酬治理与信息披露两个维度提出政策建议。由于本文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本文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稳健性检验中持续表现出较高重要性的企业，可把数据分析结果作为内部核查线索的补充参考，但不宜把机器学习图形或排序结果直接当作处罚和政策调整依据。监管重点应放在提高透明度、降低识别异常薪酬的成本，而不是把探索性模型结果误用为可靠证据。</w:t>
      </w:r>
    </w:p>
    <w:bookmarkEnd w:id="67"/>
    <w:bookmarkStart w:id="70" w:name="研究局限与展望"/>
    <w:p>
      <w:pPr>
        <w:pStyle w:val="2"/>
        <w:spacing w:line="312" w:lineRule="auto" w:before="0" w:after="0"/>
        <w:ind w:firstLine="0"/>
        <w:jc w:val="left"/>
      </w:pPr>
      <w:bookmarkStart w:id="142" w:name="_TocAuto0070"/>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4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本文借助公司固定效应、滞后一期补助、近端替代工具变量、深度滞后省均值工具变量、Lewbel（2012）异方差内生工具变量、shift-share</w:t>
      </w:r>
      <w:r>
        <w:rPr>
          <w:rFonts w:ascii="Times New Roman" w:hAnsi="Times New Roman" w:eastAsia="宋体"/>
          <w:b w:val="0"/>
          <w:sz w:val="21"/>
        </w:rPr>
        <w:t xml:space="preserve"> </w:t>
      </w:r>
      <w:r>
        <w:rPr>
          <w:rFonts w:hint="eastAsia" w:ascii="Times New Roman" w:hAnsi="Times New Roman" w:eastAsia="宋体"/>
          <w:b w:val="0"/>
          <w:sz w:val="21"/>
        </w:rPr>
        <w:t xml:space="preserve">Bartik、未来补贴安慰剂检验、首次大额补贴事件研究以及针对正补助样本的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两步法，对内生性与选择偏差问题进行了较为系统的处理。尽管如此，不同识别设定下的补贴系数方向仍不完全一致，部分工具变量的第一阶段强度也相对有限（如深度滞后省均值工具变量的</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ascii="Times New Roman" w:hAnsi="Times New Roman" w:eastAsia="宋体"/>
          <w:b w:val="0"/>
          <w:sz w:val="21"/>
        </w:rPr>
        <w:t xml:space="preserve">、shift-share </w:t>
      </w:r>
      <w:r>
        <w:rPr>
          <w:rFonts w:hint="eastAsia" w:ascii="Times New Roman" w:hAnsi="Times New Roman" w:eastAsia="宋体"/>
          <w:b w:val="0"/>
          <w:sz w:val="21"/>
        </w:rPr>
        <w:t xml:space="preserve">的</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约为4—5），Lewbel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本文的机器学习分析虽然已经采用训练集、测试集划分和按公司分组的交叉验证，但总体上仍局限于当前样本框架，年报、社会责任报告和媒体报道等文本信息的利用也相对有限，相关结果更多体现为对传统回归结论的稳健性检验。由于本文将机器学习部分严格限制在与机制检验一致的统一样本和五变量设定之内，因此第四章最后一节的结果更适合被理解为对“财政补贴—管理层权力—超额薪酬”这条研究主线的辅助稳健性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68"/>
    <w:bookmarkEnd w:id="69"/>
    <w:bookmarkStart w:id="71" w:name="参考文献"/>
    <w:p>
      <w:pPr>
        <w:pStyle w:val="1"/>
        <w:pageBreakBefore/>
        <w:spacing w:line="312" w:lineRule="auto" w:before="0" w:after="0"/>
        <w:ind w:firstLine="0"/>
        <w:jc w:val="center"/>
      </w:pPr>
      <w:bookmarkStart w:id="143" w:name="_TocAuto0071"/>
      <w:r>
        <w:rPr>
          <w:rFonts w:hint="eastAsia" w:ascii="Times New Roman" w:hAnsi="Times New Roman" w:eastAsia="黑体"/>
          <w:b/>
          <w:sz w:val="32"/>
        </w:rPr>
        <w:t xml:space="preserve">参考文献</w:t>
      </w:r>
      <w:bookmarkEnd w:id="143"/>
    </w:p>
    <w:p>
      <w:pPr>
        <w:spacing w:line="312" w:lineRule="auto" w:before="0" w:after="0"/>
        <w:ind w:firstLine="0"/>
        <w:jc w:val="both"/>
      </w:pPr>
      <w:r>
        <w:rPr>
          <w:rFonts w:ascii="Times New Roman" w:hAnsi="Times New Roman" w:eastAsia="宋体"/>
          <w:b w:val="0"/>
          <w:sz w:val="21"/>
        </w:rPr>
        <w:t xml:space="preserve">[1]BEBCHUK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[2]LI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[3]CORE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[6]JIANG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[7]RJIBA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[8]BHATTACHARYA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[11]SPENCE M. Job market signaling[J]. The Quarterly Journal of Economics, 1973, 87(3): 355–374.</w:t>
      </w:r>
    </w:p>
    <w:p>
      <w:pPr>
        <w:spacing w:line="312" w:lineRule="auto" w:before="0" w:after="0"/>
        <w:ind w:firstLine="0"/>
        <w:jc w:val="both"/>
      </w:pPr>
      <w:r>
        <w:rPr>
          <w:rFonts w:ascii="Times New Roman" w:hAnsi="Times New Roman" w:eastAsia="宋体"/>
          <w:b w:val="0"/>
          <w:sz w:val="21"/>
        </w:rPr>
        <w:t xml:space="preserve">[12]BARON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[13]FINKELSTEIN S. Power in top management teams: Dimensions, measurement, and validation[J]. Academy of Management Journal, 1992, 35(3): 505–538.</w:t>
      </w:r>
    </w:p>
    <w:p>
      <w:pPr>
        <w:spacing w:line="312" w:lineRule="auto" w:before="0" w:after="0"/>
        <w:ind w:firstLine="0"/>
        <w:jc w:val="both"/>
      </w:pPr>
      <w:r>
        <w:rPr>
          <w:rFonts w:hint="eastAsia" w:ascii="Times New Roman" w:hAnsi="Times New Roman" w:eastAsia="宋体"/>
          <w:b w:val="0"/>
          <w:sz w:val="21"/>
        </w:rPr>
        <w:t xml:space="preserve">[14]罗昆，曹光宇.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[15]李哲，王文翰，王遥.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[16]步丹璐，王晓艳.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[17]唐清泉，罗党论.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[18]潘红波，夏新平，余明桂.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[19]陈冬华，陈信元，万华林.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[20]卢锐，柳建华，许宁.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[21]罗进辉.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[22]王克敏，王华杰，李栋栋，等.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[23]陆瑶，张叶青，黎波，等.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[24]马长峰，陈志娟，张顺明.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[25]吴妍.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[26]张莉莉.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p>
      <w:pPr>
        <w:spacing w:line="312" w:lineRule="auto" w:before="0" w:after="0"/>
        <w:ind w:firstLine="0"/>
        <w:jc w:val="both"/>
      </w:pPr>
      <w:r>
        <w:rPr>
          <w:rFonts w:hint="eastAsia" w:ascii="Times New Roman" w:hAnsi="Times New Roman" w:eastAsia="宋体"/>
          <w:b w:val="0"/>
          <w:sz w:val="21"/>
        </w:rPr>
        <w:t xml:space="preserve">[27]连君莎.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bookmarkEnd w:id="70"/>
    <w:bookmarkStart w:id="72" w:name="致谢"/>
    <w:p>
      <w:pPr>
        <w:pStyle w:val="1"/>
        <w:pageBreakBefore/>
        <w:spacing w:line="312" w:lineRule="auto" w:before="0" w:after="0"/>
        <w:ind w:firstLine="0"/>
        <w:jc w:val="center"/>
      </w:pPr>
      <w:bookmarkStart w:id="144" w:name="_TocAuto0072"/>
      <w:r>
        <w:rPr>
          <w:rFonts w:hint="eastAsia" w:ascii="Times New Roman" w:hAnsi="Times New Roman" w:eastAsia="黑体"/>
          <w:b/>
          <w:sz w:val="32"/>
        </w:rPr>
        <w:t xml:space="preserve">致谢</w:t>
      </w:r>
      <w:bookmarkEnd w:id="144"/>
    </w:p>
    <w:p>
      <w:pPr>
        <w:spacing w:line="312" w:lineRule="auto" w:before="0" w:after="0"/>
        <w:ind w:firstLine="420"/>
        <w:jc w:val="both"/>
      </w:pPr>
      <w:r>
        <w:rPr>
          <w:rFonts w:hint="eastAsia" w:ascii="Times New Roman" w:hAnsi="Times New Roman" w:eastAsia="宋体"/>
          <w:b w:val="0"/>
          <w:sz w:val="21"/>
        </w:rPr>
        <w:t xml:space="preserve">在本论文写作过程中，感谢指导教师周一真老师在选题、研究设计、实证分析和论文修改等方面给予的耐心指导。老师严谨的治学态度和细致的修改建议，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仍有不足之处，恳请各位老师批评指正。</w:t>
      </w:r>
    </w:p>
    <w:bookmarkEnd w:id="71"/>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