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eastAsia="黑体" w:hint="eastAsia"/>
          <w:b/>
          <w:bCs/>
          <w:sz w:val="52"/>
          <w:szCs w:val="52"/>
        </w:rPr>
        <w:t>本</w:t>
      </w:r>
      <w:r>
        <w:rPr>
          <w:rFonts w:eastAsia="黑体" w:hint="eastAsia"/>
          <w:b/>
          <w:bCs/>
          <w:sz w:val="52"/>
          <w:szCs w:val="52"/>
        </w:rPr>
        <w:t xml:space="preserve"> </w:t>
      </w:r>
      <w:r>
        <w:rPr>
          <w:rFonts w:eastAsia="黑体" w:hint="eastAsia"/>
          <w:b/>
          <w:bCs/>
          <w:sz w:val="52"/>
          <w:szCs w:val="52"/>
        </w:rPr>
        <w:t>科</w:t>
      </w:r>
      <w:r>
        <w:rPr>
          <w:rFonts w:eastAsia="黑体" w:hint="eastAsia"/>
          <w:b/>
          <w:bCs/>
          <w:sz w:val="52"/>
          <w:szCs w:val="52"/>
        </w:rPr>
        <w:t xml:space="preserve"> </w:t>
      </w:r>
      <w:r>
        <w:rPr>
          <w:rFonts w:eastAsia="黑体" w:hint="eastAsia"/>
          <w:b/>
          <w:bCs/>
          <w:sz w:val="52"/>
          <w:szCs w:val="52"/>
        </w:rPr>
        <w:t>生</w:t>
      </w:r>
      <w:r>
        <w:rPr>
          <w:rFonts w:eastAsia="黑体" w:hint="eastAsia"/>
          <w:b/>
          <w:bCs/>
          <w:sz w:val="52"/>
          <w:szCs w:val="52"/>
        </w:rPr>
        <w:t xml:space="preserve"> </w:t>
      </w:r>
      <w:r>
        <w:rPr>
          <w:rFonts w:eastAsia="黑体" w:hint="eastAsia"/>
          <w:b/>
          <w:bCs/>
          <w:sz w:val="52"/>
          <w:szCs w:val="52"/>
        </w:rPr>
        <w:t>毕</w:t>
      </w:r>
      <w:r>
        <w:rPr>
          <w:rFonts w:eastAsia="黑体" w:hint="eastAsia"/>
          <w:b/>
          <w:bCs/>
          <w:sz w:val="52"/>
          <w:szCs w:val="52"/>
        </w:rPr>
        <w:t xml:space="preserve"> </w:t>
      </w:r>
      <w:r>
        <w:rPr>
          <w:rFonts w:eastAsia="黑体" w:hint="eastAsia"/>
          <w:b/>
          <w:bCs/>
          <w:sz w:val="52"/>
          <w:szCs w:val="52"/>
        </w:rPr>
        <w:t>业</w:t>
      </w:r>
      <w:r>
        <w:rPr>
          <w:rFonts w:eastAsia="黑体" w:hint="eastAsia"/>
          <w:b/>
          <w:bCs/>
          <w:sz w:val="52"/>
          <w:szCs w:val="52"/>
        </w:rPr>
        <w:t xml:space="preserve"> </w:t>
      </w:r>
      <w:r>
        <w:rPr>
          <w:rFonts w:eastAsia="黑体" w:hint="eastAsia"/>
          <w:b/>
          <w:bCs/>
          <w:sz w:val="52"/>
          <w:szCs w:val="52"/>
        </w:rPr>
        <w:t>论</w:t>
      </w:r>
      <w:r>
        <w:rPr>
          <w:rFonts w:eastAsia="黑体" w:hint="eastAsia"/>
          <w:b/>
          <w:bCs/>
          <w:sz w:val="52"/>
          <w:szCs w:val="52"/>
        </w:rPr>
        <w:t xml:space="preserve"> </w:t>
      </w:r>
      <w:r>
        <w:rPr>
          <w:rFonts w:eastAsia="黑体" w:hint="eastAsia"/>
          <w:b/>
          <w:bCs/>
          <w:sz w:val="52"/>
          <w:szCs w:val="52"/>
        </w:rPr>
        <w:t>文</w:t>
      </w:r>
      <w:r>
        <w:rPr>
          <w:rFonts w:eastAsia="黑体" w:hint="eastAsia"/>
          <w:b/>
          <w:bCs/>
          <w:sz w:val="52"/>
          <w:szCs w:val="52"/>
        </w:rPr>
        <w:t xml:space="preserve"> </w:t>
      </w:r>
      <w:r>
        <w:rPr>
          <w:rFonts w:eastAsia="黑体" w:hint="eastAsia"/>
          <w:b/>
          <w:bCs/>
          <w:sz w:val="52"/>
          <w:szCs w:val="52"/>
        </w:rPr>
        <w:t>正</w:t>
      </w:r>
      <w:r>
        <w:rPr>
          <w:rFonts w:eastAsia="黑体" w:hint="eastAsia"/>
          <w:b/>
          <w:bCs/>
          <w:sz w:val="52"/>
          <w:szCs w:val="52"/>
        </w:rPr>
        <w:t xml:space="preserve"> </w:t>
      </w:r>
      <w:r>
        <w:rPr>
          <w:rFonts w:eastAsia="黑体" w:hint="eastAsia"/>
          <w:b/>
          <w:bCs/>
          <w:sz w:val="52"/>
          <w:szCs w:val="52"/>
        </w:rPr>
        <w:t>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eastAsia="楷体"/>
          <w:noProof/>
        </w:rPr>
        <mc:AlternateContent>
          <mc:Choice Requires="wps"/>
          <mc:Fallback/>
        </mc:AlternateContent>
      </w:r>
      <w:r>
        <w:rPr>
          <w:rFonts w:eastAsia="楷体"/>
          <w:bCs/>
          <w:sz w:val="32"/>
        </w:rPr>
        <w:t>（</w:t>
      </w:r>
      <w:r>
        <w:rPr>
          <w:rFonts w:eastAsia="楷体"/>
          <w:bCs/>
          <w:sz w:val="32"/>
          <w:u w:val="single"/>
        </w:rPr>
        <w:t xml:space="preserve"> 202</w:t>
      </w:r>
      <w:r>
        <w:rPr>
          <w:rFonts w:eastAsia="楷体" w:hint="eastAsia"/>
          <w:bCs/>
          <w:sz w:val="32"/>
          <w:u w:val="single"/>
        </w:rPr>
        <w:t>5</w:t>
      </w:r>
      <w:r>
        <w:rPr>
          <w:rFonts w:eastAsia="楷体"/>
          <w:bCs/>
          <w:sz w:val="32"/>
          <w:u w:val="single"/>
        </w:rPr>
        <w:t xml:space="preserve"> </w:t>
      </w:r>
      <w:r>
        <w:rPr>
          <w:rFonts w:eastAsia="楷体"/>
          <w:bCs/>
          <w:sz w:val="32"/>
        </w:rPr>
        <w:t>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r>
              <w:rPr>
                <w:rFonts w:hint="eastAsia"/>
                <w:noProof/>
                <w:sz w:val="32"/>
              </w:rPr>
              <mc:AlternateContent>
                <mc:Choice Requires="wps"/>
                <mc:Fallback/>
              </mc:AlternateConten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eastAsia="仿宋" w:hAnsi="仿宋" w:hint="eastAsia"/>
          <w:b/>
          <w:bCs/>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基于数据挖掘的上市公司财政补贴</w:t>
        <w:br/>
        <w:t>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left"/>
      </w:pPr>
      <w:r>
        <w:rPr>
          <w:rFonts w:hint="eastAsia" w:ascii="Times New Roman" w:hAnsi="Times New Roman" w:eastAsia="宋体"/>
          <w:sz w:val="21"/>
        </w:rPr>
        <w:t xml:space="preserve">本文以2003—2024年沪深A股非金融上市公司为观察对象，将基准回归限定在上一年已获财政补贴的公司年度，考察补贴强度与高管超额薪酬的关系。估计显示，滞后一期正补助对数系数为正且显著。加入行业×年份固定效应、缩短样本期、仅保留制造业样本，并实施Heckman校正和事件动态检验后，结论方向保持一致。异质性发现表明，这一关联在民营企业和非管制行业更明显。管理层权力可能参与传导，但经济幅度较小。机器学习部分仅提供预测层面的补充线索。总体来看，已获补贴企业内部的补贴强度上升，往往伴随更高的超额薪酬，相关解释仍需保持审慎。</w:t>
      </w:r>
    </w:p>
    <w:p>
      <w:pPr>
        <w:spacing w:line="240" w:lineRule="auto" w:before="0" w:after="0"/>
        <w:ind w:firstLine="0"/>
        <w:jc w:val="left"/>
      </w:pPr>
      <w:r>
        <w:rPr>
          <w:rFonts w:ascii="Times New Roman" w:hAnsi="Times New Roman" w:eastAsia="宋体"/>
          <w:sz w:val="21"/>
        </w:rPr>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240" w:lineRule="auto" w:before="0" w:after="0"/>
        <w:ind w:firstLine="0"/>
        <w:jc w:val="center"/>
      </w:pPr>
      <w:r>
        <w:rPr>
          <w:rFonts w:ascii="Times New Roman" w:hAnsi="Times New Roman" w:eastAsia="宋体"/>
          <w:sz w:val="21"/>
        </w:rPr>
      </w:r>
    </w:p>
    <w:p>
      <w:pPr>
        <w:spacing w:line="240" w:lineRule="auto" w:before="0" w:after="0"/>
        <w:ind w:firstLine="0"/>
        <w:jc w:val="center"/>
      </w:pPr>
      <w:r>
        <w:rPr>
          <w:rFonts w:ascii="Times New Roman" w:hAnsi="Times New Roman" w:eastAsia="宋体"/>
          <w:sz w:val="21"/>
        </w:rPr>
      </w:r>
    </w:p>
    <w:p>
      <w:pPr>
        <w:spacing w:line="240" w:lineRule="auto" w:before="0" w:after="0"/>
        <w:ind w:firstLine="0"/>
        <w:jc w:val="left"/>
      </w:pPr>
      <w:r>
        <w:rPr>
          <w:rFonts w:ascii="Times New Roman" w:hAnsi="Times New Roman" w:eastAsia="宋体"/>
          <w:sz w:val="21"/>
        </w:rPr>
      </w:r>
    </w:p>
    <w:p>
      <w:pPr>
        <w:pageBreakBefore w:val="0"/>
        <w:spacing w:line="312" w:lineRule="auto" w:before="0" w:after="0"/>
        <w:ind w:firstLine="0"/>
        <w:jc w:val="center"/>
      </w:pPr>
      <w:r>
        <w:rPr>
          <w:rFonts w:ascii="Times New Roman" w:hAnsi="Times New Roman" w:eastAsia="Times New Roman"/>
          <w:b/>
          <w:sz w:val="32"/>
        </w:rPr>
        <w:t>RESEARCH ON FISCAL SUBSIDIES AND EXECUTIVE</w:t>
      </w:r>
    </w:p>
    <w:p>
      <w:pPr>
        <w:spacing w:line="312" w:lineRule="auto" w:before="0" w:after="0"/>
        <w:ind w:firstLine="0"/>
        <w:jc w:val="center"/>
      </w:pPr>
      <w:r>
        <w:rPr>
          <w:rFonts w:ascii="Times New Roman" w:hAnsi="Times New Roman" w:eastAsia="Times New Roman"/>
          <w:b/>
          <w:sz w:val="32"/>
        </w:rPr>
        <w:t>EXCESS COMPENSATION OF LISTED COMPANIES</w:t>
      </w:r>
    </w:p>
    <w:p>
      <w:pPr>
        <w:spacing w:line="312" w:lineRule="auto" w:before="0" w:after="0"/>
        <w:ind w:firstLine="0"/>
        <w:jc w:val="center"/>
      </w:pPr>
      <w:r>
        <w:rPr>
          <w:rFonts w:ascii="Times New Roman" w:hAnsi="Times New Roman" w:eastAsia="Times New Roman"/>
          <w:b/>
          <w:sz w:val="32"/>
        </w:rPr>
        <w:t>BASED ON DATA MINING</w:t>
      </w:r>
    </w:p>
    <w:p>
      <w:pPr>
        <w:spacing w:line="240" w:lineRule="auto" w:before="0" w:after="0"/>
        <w:ind w:firstLine="0"/>
        <w:jc w:val="center"/>
      </w:pPr>
      <w:r>
        <w:rPr>
          <w:rFonts w:ascii="Times New Roman" w:hAnsi="Times New Roman" w:eastAsia="宋体"/>
          <w:sz w:val="21"/>
        </w:rPr>
      </w:r>
    </w:p>
    <w:p>
      <w:pPr>
        <w:spacing w:line="312" w:lineRule="auto" w:before="0" w:after="0"/>
        <w:ind w:firstLine="0"/>
        <w:jc w:val="center"/>
      </w:pPr>
      <w:r>
        <w:rPr>
          <w:rFonts w:ascii="Times New Roman" w:hAnsi="Times New Roman" w:eastAsia="Times New Roman"/>
          <w:b/>
          <w:sz w:val="28"/>
        </w:rPr>
        <w:t xml:space="preserve">ABSTRACT</w:t>
      </w:r>
    </w:p>
    <w:p>
      <w:pPr>
        <w:spacing w:line="240" w:lineRule="auto" w:before="0" w:after="0"/>
        <w:ind w:firstLine="0"/>
        <w:jc w:val="center"/>
      </w:pPr>
      <w:r>
        <w:rPr>
          <w:rFonts w:ascii="Times New Roman" w:hAnsi="Times New Roman" w:eastAsia="宋体"/>
          <w:sz w:val="21"/>
        </w:rPr>
      </w:r>
    </w:p>
    <w:p>
      <w:pPr>
        <w:spacing w:line="312" w:lineRule="auto" w:before="0" w:after="0"/>
        <w:ind w:firstLine="420"/>
        <w:jc w:val="left"/>
      </w:pPr>
      <w:r>
        <w:rPr>
          <w:rFonts w:ascii="Times New Roman" w:hAnsi="Times New Roman" w:eastAsia="Times New Roman"/>
          <w:sz w:val="21"/>
        </w:rPr>
        <w:t xml:space="preserve">Using non-financial A-share listed firms from 2003 to 2024 as the observation frame, this study restricts the baseline regression to firm-year observations that had already received fiscal subsidies in the previous year and examines the association between subsidy intensity and executive excess compensation. The coefficient on the logarithm of lagged positive subsidies is positive and statistically significant. The direction remains stable after adding industry-by-year fixed effects, shortening the sample period, retaining only manufacturing firms, applying Heckman correction, and conducting an event-study dynamic check. Heterogeneity tests suggest that the association is more evident in private firms and non-regulated industries. Managerial power may serve as a partial channel, but its economic magnitude is small. The machine-learning section only provides predictive supplementary evidence. Overall, within already subsidized firms, higher subsidy intensity tends to be accompanied by higher executive excess compensation, while the interpretation remains cautious.</w:t>
      </w:r>
    </w:p>
    <w:p>
      <w:pPr>
        <w:spacing w:line="240" w:lineRule="auto" w:before="0" w:after="0"/>
        <w:ind w:firstLine="0"/>
        <w:jc w:val="left"/>
      </w:pPr>
      <w:r>
        <w:rPr>
          <w:rFonts w:ascii="Times New Roman" w:hAnsi="Times New Roman" w:eastAsia="宋体"/>
          <w:sz w:val="21"/>
        </w:rPr>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r>
        <w:rPr>
          <w:noProof/>
          <w:webHidden/>
        </w:rPr>
        <w:fldChar w:fldCharType="begin"/>
      </w:r>
      <w:r>
        <w:rPr>
          <w:noProof/>
          <w:webHidden/>
        </w:rPr>
        <w:instrText xml:space="preserve"> TOC \o "1-3" \h \z \u </w:instrText>
      </w:r>
      <w:r>
        <w:rPr>
          <w:noProof/>
          <w:webHidden/>
        </w:rPr>
        <w:fldChar w:fldCharType="separate"/>
      </w: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2</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3</w:t>
        </w:r>
        <w:r>
          <w:rPr>
            <w:noProof/>
            <w:webHidden/>
          </w:rPr>
          <w:fldChar w:fldCharType="end"/>
        </w:r>
      </w:hyperlink>
    </w:p>
    <w:p>
      <w:pPr>
        <w:pStyle w:val="TOC2"/>
      </w:pPr>
      <w:hyperlink w:anchor="_TocAuto0005"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7</w:t>
        </w:r>
        <w:r>
          <w:rPr>
            <w:noProof/>
            <w:webHidden/>
          </w:rPr>
          <w:fldChar w:fldCharType="end"/>
        </w:r>
      </w:hyperlink>
    </w:p>
    <w:p>
      <w:pPr>
        <w:pStyle w:val="TOC1"/>
      </w:pPr>
      <w:hyperlink w:anchor="_TocAuto0006"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10</w:t>
        </w:r>
        <w:r>
          <w:rPr>
            <w:noProof/>
            <w:webHidden/>
          </w:rPr>
          <w:fldChar w:fldCharType="end"/>
        </w:r>
      </w:hyperlink>
    </w:p>
    <w:p>
      <w:pPr>
        <w:pStyle w:val="TOC2"/>
      </w:pPr>
      <w:hyperlink w:anchor="_TocAuto0007"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10</w:t>
        </w:r>
        <w:r>
          <w:rPr>
            <w:noProof/>
            <w:webHidden/>
          </w:rPr>
          <w:fldChar w:fldCharType="end"/>
        </w:r>
      </w:hyperlink>
    </w:p>
    <w:p>
      <w:pPr>
        <w:pStyle w:val="TOC2"/>
      </w:pPr>
      <w:hyperlink w:anchor="_TocAuto0008"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13</w:t>
        </w:r>
        <w:r>
          <w:rPr>
            <w:noProof/>
            <w:webHidden/>
          </w:rPr>
          <w:fldChar w:fldCharType="end"/>
        </w:r>
      </w:hyperlink>
    </w:p>
    <w:p>
      <w:pPr>
        <w:pStyle w:val="TOC2"/>
      </w:pPr>
      <w:hyperlink w:anchor="_TocAuto0009"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19</w:t>
        </w:r>
        <w:r>
          <w:rPr>
            <w:noProof/>
            <w:webHidden/>
          </w:rPr>
          <w:fldChar w:fldCharType="end"/>
        </w:r>
      </w:hyperlink>
    </w:p>
    <w:p>
      <w:pPr>
        <w:pStyle w:val="TOC1"/>
      </w:pPr>
      <w:hyperlink w:anchor="_TocAuto0010"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21</w:t>
        </w:r>
        <w:r>
          <w:rPr>
            <w:noProof/>
            <w:webHidden/>
          </w:rPr>
          <w:fldChar w:fldCharType="end"/>
        </w:r>
      </w:hyperlink>
    </w:p>
    <w:p>
      <w:pPr>
        <w:pStyle w:val="TOC2"/>
      </w:pPr>
      <w:hyperlink w:anchor="_TocAuto0011" w:history="1">
        <w:r>
          <w:rPr>
            <w:rStyle w:val="af"/>
            <w:noProof/>
          </w:rPr>
          <w:t>3.1</w:t>
        </w:r>
        <w:r>
          <w:rPr>
            <w:rStyle w:val="af"/>
            <w:noProof/>
          </w:rPr>
          <w:t xml:space="preserve"> </w:t>
        </w:r>
        <w:r>
          <w:rPr>
            <w:rStyle w:val="af"/>
            <w:noProof/>
          </w:rPr>
          <w:t>研究问题界定与分析框架</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21</w:t>
        </w:r>
        <w:r>
          <w:rPr>
            <w:noProof/>
            <w:webHidden/>
          </w:rPr>
          <w:fldChar w:fldCharType="end"/>
        </w:r>
      </w:hyperlink>
    </w:p>
    <w:p>
      <w:pPr>
        <w:pStyle w:val="TOC2"/>
      </w:pPr>
      <w:hyperlink w:anchor="_TocAuto0012"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22</w:t>
        </w:r>
        <w:r>
          <w:rPr>
            <w:noProof/>
            <w:webHidden/>
          </w:rPr>
          <w:fldChar w:fldCharType="end"/>
        </w:r>
      </w:hyperlink>
    </w:p>
    <w:p>
      <w:pPr>
        <w:pStyle w:val="TOC2"/>
      </w:pPr>
      <w:hyperlink w:anchor="_TocAuto0013"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24</w:t>
        </w:r>
        <w:r>
          <w:rPr>
            <w:noProof/>
            <w:webHidden/>
          </w:rPr>
          <w:fldChar w:fldCharType="end"/>
        </w:r>
      </w:hyperlink>
    </w:p>
    <w:p>
      <w:pPr>
        <w:pStyle w:val="TOC2"/>
      </w:pPr>
      <w:hyperlink w:anchor="_TocAuto0014"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27</w:t>
        </w:r>
        <w:r>
          <w:rPr>
            <w:noProof/>
            <w:webHidden/>
          </w:rPr>
          <w:fldChar w:fldCharType="end"/>
        </w:r>
      </w:hyperlink>
    </w:p>
    <w:p>
      <w:pPr>
        <w:pStyle w:val="TOC2"/>
      </w:pPr>
      <w:hyperlink w:anchor="_TocAuto0015"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30</w:t>
        </w:r>
        <w:r>
          <w:rPr>
            <w:noProof/>
            <w:webHidden/>
          </w:rPr>
          <w:fldChar w:fldCharType="end"/>
        </w:r>
      </w:hyperlink>
    </w:p>
    <w:p>
      <w:pPr>
        <w:pStyle w:val="TOC1"/>
      </w:pPr>
      <w:hyperlink w:anchor="_TocAuto0016"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37</w:t>
        </w:r>
        <w:r>
          <w:rPr>
            <w:noProof/>
            <w:webHidden/>
          </w:rPr>
          <w:fldChar w:fldCharType="end"/>
        </w:r>
      </w:hyperlink>
    </w:p>
    <w:p>
      <w:pPr>
        <w:pStyle w:val="TOC2"/>
      </w:pPr>
      <w:hyperlink w:anchor="_TocAuto0017"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37</w:t>
        </w:r>
        <w:r>
          <w:rPr>
            <w:noProof/>
            <w:webHidden/>
          </w:rPr>
          <w:fldChar w:fldCharType="end"/>
        </w:r>
      </w:hyperlink>
    </w:p>
    <w:p>
      <w:pPr>
        <w:pStyle w:val="TOC2"/>
      </w:pPr>
      <w:hyperlink w:anchor="_TocAuto0018"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38</w:t>
        </w:r>
        <w:r>
          <w:rPr>
            <w:noProof/>
            <w:webHidden/>
          </w:rPr>
          <w:fldChar w:fldCharType="end"/>
        </w:r>
      </w:hyperlink>
    </w:p>
    <w:p>
      <w:pPr>
        <w:pStyle w:val="TOC2"/>
      </w:pPr>
      <w:hyperlink w:anchor="_TocAuto0019"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40</w:t>
        </w:r>
        <w:r>
          <w:rPr>
            <w:noProof/>
            <w:webHidden/>
          </w:rPr>
          <w:fldChar w:fldCharType="end"/>
        </w:r>
      </w:hyperlink>
    </w:p>
    <w:p>
      <w:pPr>
        <w:pStyle w:val="TOC2"/>
      </w:pPr>
      <w:hyperlink w:anchor="_TocAuto0020"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43</w:t>
        </w:r>
        <w:r>
          <w:rPr>
            <w:noProof/>
            <w:webHidden/>
          </w:rPr>
          <w:fldChar w:fldCharType="end"/>
        </w:r>
      </w:hyperlink>
    </w:p>
    <w:p>
      <w:pPr>
        <w:pStyle w:val="TOC2"/>
      </w:pPr>
      <w:hyperlink w:anchor="_TocAuto0021"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47</w:t>
        </w:r>
        <w:r>
          <w:rPr>
            <w:noProof/>
            <w:webHidden/>
          </w:rPr>
          <w:fldChar w:fldCharType="end"/>
        </w:r>
      </w:hyperlink>
    </w:p>
    <w:p>
      <w:pPr>
        <w:pStyle w:val="TOC2"/>
      </w:pPr>
      <w:hyperlink w:anchor="_TocAuto0022" w:history="1">
        <w:r>
          <w:rPr>
            <w:rStyle w:val="af"/>
            <w:noProof/>
          </w:rPr>
          <w:t>4.6</w:t>
        </w:r>
        <w:r>
          <w:rPr>
            <w:rStyle w:val="af"/>
            <w:noProof/>
          </w:rPr>
          <w:t xml:space="preserve"> </w:t>
        </w:r>
        <w:r>
          <w:rPr>
            <w:rStyle w:val="af"/>
            <w:noProof/>
          </w:rPr>
          <w:t>基于机器学习方法的补充验证</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49</w:t>
        </w:r>
        <w:r>
          <w:rPr>
            <w:noProof/>
            <w:webHidden/>
          </w:rPr>
          <w:fldChar w:fldCharType="end"/>
        </w:r>
      </w:hyperlink>
    </w:p>
    <w:p>
      <w:pPr>
        <w:pStyle w:val="TOC2"/>
      </w:pPr>
      <w:hyperlink w:anchor="_TocAuto0023" w:history="1">
        <w:r>
          <w:rPr>
            <w:rStyle w:val="af"/>
            <w:noProof/>
          </w:rPr>
          <w:t>4.7</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55</w:t>
        </w:r>
        <w:r>
          <w:rPr>
            <w:noProof/>
            <w:webHidden/>
          </w:rPr>
          <w:fldChar w:fldCharType="end"/>
        </w:r>
      </w:hyperlink>
    </w:p>
    <w:p>
      <w:pPr>
        <w:pStyle w:val="TOC2"/>
      </w:pPr>
      <w:hyperlink w:anchor="_TocAuto0024" w:history="1">
        <w:r>
          <w:rPr>
            <w:rStyle w:val="af"/>
            <w:noProof/>
          </w:rPr>
          <w:t>4.8</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58</w:t>
        </w:r>
        <w:r>
          <w:rPr>
            <w:noProof/>
            <w:webHidden/>
          </w:rPr>
          <w:fldChar w:fldCharType="end"/>
        </w:r>
      </w:hyperlink>
    </w:p>
    <w:p>
      <w:pPr>
        <w:pStyle w:val="TOC1"/>
      </w:pPr>
      <w:hyperlink w:anchor="_TocAuto0025"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63</w:t>
        </w:r>
        <w:r>
          <w:rPr>
            <w:noProof/>
            <w:webHidden/>
          </w:rPr>
          <w:fldChar w:fldCharType="end"/>
        </w:r>
      </w:hyperlink>
    </w:p>
    <w:p>
      <w:pPr>
        <w:pStyle w:val="TOC2"/>
      </w:pPr>
      <w:hyperlink w:anchor="_TocAuto0026"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63</w:t>
        </w:r>
        <w:r>
          <w:rPr>
            <w:noProof/>
            <w:webHidden/>
          </w:rPr>
          <w:fldChar w:fldCharType="end"/>
        </w:r>
      </w:hyperlink>
    </w:p>
    <w:p>
      <w:pPr>
        <w:pStyle w:val="TOC2"/>
      </w:pPr>
      <w:hyperlink w:anchor="_TocAuto0027"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65</w:t>
        </w:r>
        <w:r>
          <w:rPr>
            <w:noProof/>
            <w:webHidden/>
          </w:rPr>
          <w:fldChar w:fldCharType="end"/>
        </w:r>
      </w:hyperlink>
    </w:p>
    <w:p>
      <w:pPr>
        <w:pStyle w:val="TOC2"/>
      </w:pPr>
      <w:hyperlink w:anchor="_TocAuto0028"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66</w:t>
        </w:r>
        <w:r>
          <w:rPr>
            <w:noProof/>
            <w:webHidden/>
          </w:rPr>
          <w:fldChar w:fldCharType="end"/>
        </w:r>
      </w:hyperlink>
    </w:p>
    <w:p>
      <w:pPr>
        <w:pStyle w:val="TOC1"/>
      </w:pPr>
      <w:hyperlink w:anchor="_TocAuto0029" w:history="1">
        <w:r>
          <w:rPr>
            <w:rStyle w:val="af"/>
            <w:noProof/>
          </w:rPr>
          <w:t>参考文献</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68</w:t>
        </w:r>
        <w:r>
          <w:rPr>
            <w:noProof/>
            <w:webHidden/>
          </w:rPr>
          <w:fldChar w:fldCharType="end"/>
        </w:r>
      </w:hyperlink>
    </w:p>
    <w:p>
      <w:pPr>
        <w:pStyle w:val="TOC1"/>
      </w:pPr>
      <w:hyperlink w:anchor="_TocAuto0030" w:history="1">
        <w:r>
          <w:rPr>
            <w:rStyle w:val="af"/>
            <w:noProof/>
          </w:rPr>
          <w:t>致谢</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71</w:t>
        </w:r>
        <w:r>
          <w:rPr>
            <w:noProof/>
            <w:webHidden/>
          </w:rPr>
          <w:fldChar w:fldCharType="end"/>
        </w:r>
      </w:hyperlink>
      <w:r>
        <w:rPr>
          <w:noProof/>
          <w:webHidden/>
        </w:rPr>
        <w:fldChar w:fldCharType="end"/>
      </w:r>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5"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5"/>
    </w:p>
    <w:bookmarkStart w:id="2" w:name="研究背景与问题提出"/>
    <w:p>
      <w:pPr>
        <w:pStyle w:val="2"/>
        <w:spacing w:line="312" w:lineRule="auto" w:before="0" w:after="0"/>
        <w:ind w:firstLine="0"/>
        <w:jc w:val="left"/>
      </w:pPr>
      <w:bookmarkStart w:id="76"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6"/>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承担政策功能，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 xml:space="preserve">统计，2003至2024年间沪深A股非金融上市公司的政府补助规模持续扩大，获补企业数量和平均补贴强度均呈上升趋势。财政补贴已成为中国资本市场一类常规的制度性变量。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区间”，现有文献主要沿两条路径解释。“最优契约说”强调市场竞争与治理约束，视薪酬为董事会与高管博弈后的均衡状态，最终应反映高管的边际贡献；“管理权力说”则关注现实中的治理偏差，认为所有权与控制权分离的公司中，高管可以通过干预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空间、为寻租行为提供空间。本文便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边际贡献、系数保留与方向一致性、部分依赖趋势四个角度，为基准回归提供补充观察？</w:t>
      </w:r>
    </w:p>
    <w:bookmarkEnd w:id="0"/>
    <w:bookmarkStart w:id="3" w:name="研究目的与研究意义"/>
    <w:p>
      <w:pPr>
        <w:pStyle w:val="2"/>
        <w:spacing w:line="312" w:lineRule="auto" w:before="0" w:after="0"/>
        <w:ind w:firstLine="0"/>
        <w:jc w:val="left"/>
      </w:pPr>
      <w:bookmarkStart w:id="77"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7"/>
    </w:p>
    <w:p>
      <w:pPr>
        <w:spacing w:line="312" w:lineRule="auto" w:before="0" w:after="0"/>
        <w:ind w:firstLine="420"/>
        <w:jc w:val="both"/>
      </w:pPr>
      <w:r>
        <w:rPr>
          <w:rFonts w:hint="eastAsia" w:ascii="Times New Roman" w:hAnsi="Times New Roman" w:eastAsia="宋体"/>
          <w:b w:val="0"/>
          <w:sz w:val="21"/>
        </w:rPr>
        <w:t xml:space="preserve">在理论层面，本文将政府补贴这一政策变量纳入高管超额薪酬的经验结构，把“外部资源输入”与“内部权力结构”纳入同一条解释链。实证设计上主动区分“是否获得补贴”和“获得补贴后的强弱差异”，把核心命题收束为已获补贴企业内部的强度效应，有助于避免把两个不同经济议题混成一条回归。测量层面采用</w:t>
      </w:r>
      <w:r>
        <w:rPr>
          <w:rFonts w:ascii="Times New Roman" w:hAnsi="Times New Roman" w:eastAsia="宋体"/>
          <w:b w:val="0"/>
          <w:sz w:val="21"/>
        </w:rPr>
        <w:t xml:space="preserve"> PCA </w:t>
      </w:r>
      <w:r>
        <w:rPr>
          <w:rFonts w:hint="eastAsia" w:ascii="Times New Roman" w:hAnsi="Times New Roman" w:eastAsia="宋体"/>
          <w:b w:val="0"/>
          <w:sz w:val="21"/>
        </w:rPr>
        <w:t xml:space="preserve">构造管理层权力综合指标，同时将固定效应、选择偏差校正和机器学习补充验证并行使用，使线性识别与非线性观察能够相互补充。</w:t>
      </w:r>
    </w:p>
    <w:p>
      <w:pPr>
        <w:spacing w:line="312" w:lineRule="auto" w:before="0" w:after="0"/>
        <w:ind w:firstLine="420"/>
        <w:jc w:val="both"/>
      </w:pPr>
      <w:r>
        <w:rPr>
          <w:rFonts w:hint="eastAsia" w:ascii="Times New Roman" w:hAnsi="Times New Roman" w:eastAsia="宋体"/>
          <w:b w:val="0"/>
          <w:sz w:val="21"/>
        </w:rPr>
        <w:t xml:space="preserve">在实践层面，本文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1"/>
    <w:bookmarkStart w:id="4" w:name="国内外研究现状"/>
    <w:p>
      <w:pPr>
        <w:pStyle w:val="2"/>
        <w:spacing w:line="312" w:lineRule="auto" w:before="0" w:after="0"/>
        <w:ind w:firstLine="0"/>
        <w:jc w:val="left"/>
      </w:pPr>
      <w:bookmarkStart w:id="78"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8"/>
    </w:p>
    <w:bookmarkStart w:id="5" w:name="高管超额薪酬的界定与测量方法"/>
    <w:p>
      <w:pPr>
        <w:pStyle w:val="31"/>
        <w:spacing w:line="312" w:lineRule="auto" w:before="0" w:after="0"/>
        <w:ind w:firstLine="420"/>
        <w:jc w:val="left"/>
      </w:pPr>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p>
    <w:p>
      <w:pPr>
        <w:spacing w:line="312" w:lineRule="auto" w:before="0" w:after="0"/>
        <w:ind w:firstLine="420"/>
        <w:jc w:val="both"/>
      </w:pPr>
      <w:r>
        <w:rPr>
          <w:rFonts w:hint="eastAsia" w:ascii="Times New Roman" w:hAnsi="Times New Roman" w:eastAsia="宋体"/>
          <w:b w:val="0"/>
          <w:sz w:val="21"/>
        </w:rPr>
        <w:t xml:space="preserve">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讨论视角从“薪酬高不高”转向“薪酬契约如何形成”，指出所有权分散的上市公司中，管理层可通过干预董事会提名、薪酬委员会构成和条款设计来抬高自身报酬。期权、退休福利和其他隐性收益因此成为识别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[24]</w:t>
      </w:r>
      <w:r>
        <w:rPr>
          <w:rFonts w:hint="eastAsia" w:ascii="Times New Roman" w:hAnsi="Times New Roman" w:eastAsia="宋体"/>
          <w:b w:val="0"/>
          <w:sz w:val="21"/>
        </w:rPr>
        <w:t xml:space="preserve">则直接使用残差法刻画超额薪酬，二者切入点不同，却都把政府补贴纳入了解释框架，并得到补贴与高管额外收益正向联系的结论。吴妍（2019）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[32]</w:t>
      </w:r>
      <w:r>
        <w:rPr>
          <w:rFonts w:hint="eastAsia" w:ascii="Times New Roman" w:hAnsi="Times New Roman" w:eastAsia="宋体"/>
          <w:b w:val="0"/>
          <w:sz w:val="21"/>
        </w:rPr>
        <w:t xml:space="preserve">等学位论文则提供了更贴近中国制度环境的变量设定和样本处理经验。这至少表明，在中国资本市场语境下，把超额薪酬构造成一个可比较、可检验的经验变量是可行的。超额薪酬的形成并不只受高管自身权力变化牵动，企业获得的外部资源，尤其是财政补贴，也会进入这一过程，下一节即转入补贴分配逻辑及其公司行为效应的讨论。</w:t>
      </w:r>
    </w:p>
    <w:bookmarkEnd w:id="2"/>
    <w:bookmarkStart w:id="6" w:name="财政补贴的分配逻辑与公司行为效应"/>
    <w:p>
      <w:pPr>
        <w:pStyle w:val="31"/>
        <w:spacing w:line="312" w:lineRule="auto" w:before="0" w:after="0"/>
        <w:ind w:firstLine="420"/>
        <w:jc w:val="left"/>
      </w:pPr>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[27]</w:t>
      </w:r>
      <w:r>
        <w:rPr>
          <w:rFonts w:hint="eastAsia" w:ascii="Times New Roman" w:hAnsi="Times New Roman" w:eastAsia="宋体"/>
          <w:b w:val="0"/>
          <w:sz w:val="21"/>
        </w:rPr>
        <w:t xml:space="preserve">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[26]</w:t>
      </w:r>
      <w:r>
        <w:rPr>
          <w:rFonts w:hint="eastAsia" w:ascii="Times New Roman" w:hAnsi="Times New Roman" w:eastAsia="宋体"/>
          <w:b w:val="0"/>
          <w:sz w:val="21"/>
        </w:rPr>
        <w:t xml:space="preserve">进一步发现政治关联更强的企业更容易获得政策支持。补贴兼具财务资源和治理关系的双重属性：它进入企业后会牵动利润表，并改变管理层在企业内部的资源支配位置。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将视角延伸至补贴到账后的资源消化环节，观察到政府补贴与管理冗余显著正相关，在内部控制较弱、社会信任基础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既然补贴的获取和使用都并非中性过程，补贴进入企业后能否外溢到高管薪酬，便取决于内部治理机制的约束强度，这正是下一节的讨论重点。</w:t>
      </w:r>
    </w:p>
    <w:bookmarkEnd w:id="3"/>
    <w:bookmarkStart w:id="7" w:name="内部治理机制对补贴薪酬关联的调节"/>
    <w:p>
      <w:pPr>
        <w:pStyle w:val="31"/>
        <w:spacing w:line="312" w:lineRule="auto" w:before="0" w:after="0"/>
        <w:ind w:firstLine="420"/>
        <w:jc w:val="left"/>
      </w:pPr>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观察到政府补助会扩大高管与员工之间的薪酬差距，治理约束较弱的企业表现更为明显。陈冬华、陈信元和万华林（2005）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 xml:space="preserve">显示内控质量越高，高管薪酬对业绩变化的敏感度越强，这显示完善的内部约束有助于将薪酬拉回激励逻辑。罗进辉（2018）</w:t>
      </w:r>
      <w:r>
        <w:rPr>
          <w:rFonts w:ascii="Times New Roman" w:hAnsi="Times New Roman" w:eastAsia="宋体"/>
          <w:b w:val="0"/>
          <w:sz w:val="21"/>
          <w:vertAlign w:val="superscript"/>
        </w:rPr>
        <w:t>[23]</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[28]</w:t>
      </w:r>
      <w:r>
        <w:rPr>
          <w:rFonts w:hint="eastAsia" w:ascii="Times New Roman" w:hAnsi="Times New Roman" w:eastAsia="宋体"/>
          <w:b w:val="0"/>
          <w:sz w:val="21"/>
        </w:rPr>
        <w:t xml:space="preserve">将视角延伸至年报文本，得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[20]</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[31]</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[30]</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上述文献主要依赖线性计量框架，而补贴与薪酬之间可能存在的非线性关系和交互结构，则需要借助机器学习工具加以补充观察。</w:t>
      </w:r>
    </w:p>
    <w:bookmarkEnd w:id="4"/>
    <w:bookmarkStart w:id="8" w:name="机器学习与数据挖掘方法在会计金融研究中的应用"/>
    <w:p>
      <w:pPr>
        <w:pStyle w:val="31"/>
        <w:spacing w:line="312" w:lineRule="auto" w:before="0" w:after="0"/>
        <w:ind w:firstLine="420"/>
        <w:jc w:val="left"/>
      </w:pPr>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p>
    <w:p>
      <w:pPr>
        <w:spacing w:line="312" w:lineRule="auto" w:before="0" w:after="0"/>
        <w:ind w:firstLine="420"/>
        <w:jc w:val="both"/>
      </w:pPr>
      <w:r>
        <w:rPr>
          <w:rFonts w:hint="eastAsia" w:ascii="Times New Roman" w:hAnsi="Times New Roman" w:eastAsia="宋体"/>
          <w:b w:val="0"/>
          <w:sz w:val="21"/>
        </w:rPr>
        <w:t xml:space="preserve">机器学习文献与本文的关联在于，它能处理线性回归不太擅长处理的情形。Li（2008）</w:t>
      </w:r>
      <w:r>
        <w:rPr>
          <w:rFonts w:ascii="Times New Roman" w:hAnsi="Times New Roman" w:eastAsia="宋体"/>
          <w:b w:val="0"/>
          <w:sz w:val="21"/>
          <w:vertAlign w:val="superscript"/>
        </w:rPr>
        <w:t>[11]</w:t>
      </w:r>
      <w:r>
        <w:rPr>
          <w:rFonts w:hint="eastAsia" w:ascii="Times New Roman" w:hAnsi="Times New Roman" w:eastAsia="宋体"/>
          <w:b w:val="0"/>
          <w:sz w:val="21"/>
        </w:rPr>
        <w:t xml:space="preserve">较早将文本特征与经济后果联系起来，这意味着非结构化信息也可以进入会计议题。Gu、Kelly</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Xiu（2020）</w:t>
      </w:r>
      <w:r>
        <w:rPr>
          <w:rFonts w:ascii="Times New Roman" w:hAnsi="Times New Roman" w:eastAsia="宋体"/>
          <w:b w:val="0"/>
          <w:sz w:val="21"/>
          <w:vertAlign w:val="superscript"/>
        </w:rPr>
        <w:t>[7]</w:t>
      </w:r>
      <w:r>
        <w:rPr>
          <w:rFonts w:hint="eastAsia" w:ascii="Times New Roman" w:hAnsi="Times New Roman" w:eastAsia="宋体"/>
          <w:b w:val="0"/>
          <w:sz w:val="21"/>
        </w:rPr>
        <w:t xml:space="preserve">在实证资产定价领域系统比较了多种机器学习工具，提示集成树和神经网络在捕捉非线性模式方面具有显著优势。Perols、Bowen、Zimmermann等（2017）</w:t>
      </w:r>
      <w:r>
        <w:rPr>
          <w:rFonts w:ascii="Times New Roman" w:hAnsi="Times New Roman" w:eastAsia="宋体"/>
          <w:b w:val="0"/>
          <w:sz w:val="21"/>
          <w:vertAlign w:val="superscript"/>
        </w:rPr>
        <w:t>[12]</w:t>
      </w:r>
      <w:r>
        <w:rPr>
          <w:rFonts w:hint="eastAsia" w:ascii="Times New Roman" w:hAnsi="Times New Roman" w:eastAsia="宋体"/>
          <w:b w:val="0"/>
          <w:sz w:val="21"/>
        </w:rPr>
        <w:t xml:space="preserve">在财务舞弊识别中观察到，随机森林、神经网络和Boosting等方法相较传统逻辑回归有更好的预测表现，关键在于模型能自动捕捉更高阶的交互结构。陆瑶、张叶青、黎波和赵浩宇（2020）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将梯度提升树用于高管特征与公司业绩关系的考察，显示某些变量的作用不一定沿线性方式平稳展开，在特定区间或特定组合下才明显增强。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[25]</w:t>
      </w:r>
      <w:r>
        <w:rPr>
          <w:rFonts w:hint="eastAsia" w:ascii="Times New Roman" w:hAnsi="Times New Roman" w:eastAsia="宋体"/>
          <w:b w:val="0"/>
          <w:sz w:val="21"/>
        </w:rPr>
        <w:t xml:space="preserve">在综述中提到，机器学习更适合承担探索性和补充性任务，不宜直接替代因果推断。Rjiba、Saadi、Boubaker等（2021）</w:t>
      </w:r>
      <w:r>
        <w:rPr>
          <w:rFonts w:ascii="Times New Roman" w:hAnsi="Times New Roman" w:eastAsia="宋体"/>
          <w:b w:val="0"/>
          <w:sz w:val="21"/>
          <w:vertAlign w:val="superscript"/>
        </w:rPr>
        <w:t>[13]</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[10]</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综合以上四个维度的文献积累，下面对现有文献的总体贡献和仍待填补的空白进行述评。</w:t>
      </w:r>
    </w:p>
    <w:bookmarkEnd w:id="5"/>
    <w:bookmarkStart w:id="9" w:name="研究述评与现有文献的局限"/>
    <w:p>
      <w:pPr>
        <w:pStyle w:val="31"/>
        <w:spacing w:line="312" w:lineRule="auto" w:before="0" w:after="0"/>
        <w:ind w:firstLine="420"/>
        <w:jc w:val="left"/>
      </w:pPr>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p>
    <w:p>
      <w:pPr>
        <w:spacing w:line="312" w:lineRule="auto" w:before="0" w:after="0"/>
        <w:ind w:firstLine="420"/>
        <w:jc w:val="both"/>
      </w:pPr>
      <w:r>
        <w:rPr>
          <w:rFonts w:hint="eastAsia" w:ascii="Times New Roman" w:hAnsi="Times New Roman" w:eastAsia="宋体"/>
          <w:b w:val="0"/>
          <w:sz w:val="21"/>
        </w:rPr>
        <w:t xml:space="preserve">综合前述文献，现有文献对几个基础命题已形成较清晰的认识：超额薪酬的界定与测量已有较稳定的处理路径，财政补贴对高管收入的作用在中国情境下积累了不少证据，内部控制、媒体监督和披露复杂性等因素对补贴效应强弱的调节效应也得到了较多支持。</w:t>
      </w:r>
    </w:p>
    <w:p>
      <w:pPr>
        <w:spacing w:line="312" w:lineRule="auto" w:before="0" w:after="0"/>
        <w:ind w:firstLine="420"/>
        <w:jc w:val="both"/>
      </w:pPr>
      <w:r>
        <w:rPr>
          <w:rFonts w:hint="eastAsia" w:ascii="Times New Roman" w:hAnsi="Times New Roman" w:eastAsia="宋体"/>
          <w:b w:val="0"/>
          <w:sz w:val="21"/>
        </w:rPr>
        <w:t xml:space="preserve">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6"/>
    <w:bookmarkEnd w:id="7"/>
    <w:bookmarkStart w:id="10" w:name="研究方法与技术路线"/>
    <w:p>
      <w:pPr>
        <w:pStyle w:val="2"/>
        <w:spacing w:line="312" w:lineRule="auto" w:before="0" w:after="0"/>
        <w:ind w:firstLine="0"/>
        <w:jc w:val="left"/>
      </w:pPr>
      <w:bookmarkStart w:id="79" w:name="_TocAuto0005"/>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79"/>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技术路线的设计让每类工具回答不同层面的任务。前半部分完成文献梳理与理论推演，明确两条检验主线：财政补贴与高管超额薪酬是否存在稳定联系，管理层权力是否承担传导角色。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的设定构造超额薪酬变量，并把基准回归聚焦为“上一年已获得补贴企业内部的补贴强度效应”：在公司和年份固定效应下，检验滞后一期正补助对数是否与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 xml:space="preserve">同步变化。更严格的行业×年份固定效应、选择偏差校正和事件动态检验用于收紧识别边界，中介检验观察权力渠道是否存在，异质性分析判断联系是否随制度情境而分化。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补充验证置于第四章稳健性检验之后，并与基准回归保持相同的样本边界和核心变量口径。随机森林复核财政补贴与控制变量的相对重要性；SHAP补充解释财政补贴的边际贡献强度；Lasso检验财政补贴变量是否被保留且方向一致；XGBoost则通过特征重要性与财政补贴的部分依赖图，观察更灵活模型中的趋势是否与OLS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3505200" cy="15113000"/>
            <wp:effectExtent b="0" l="0" r="0" t="0"/>
            <wp:docPr descr="" title="" id="2" name="Picture"/>
            <a:graphic>
              <a:graphicData uri="http://schemas.openxmlformats.org/drawingml/2006/picture">
                <pic:pic>
                  <pic:nvPicPr>
                    <pic:cNvPr descr="./images/fig1_1_techroute.png" id="2" name="Picture"/>
                    <pic:cNvPicPr>
                      <a:picLocks noChangeArrowheads="1" noChangeAspect="1"/>
                    </pic:cNvPicPr>
                  </pic:nvPicPr>
                  <pic:blipFill>
                    <a:blip r:embed="rId24"/>
                    <a:stretch>
                      <a:fillRect/>
                    </a:stretch>
                  </pic:blipFill>
                  <pic:spPr bwMode="auto">
                    <a:xfrm>
                      <a:off x="0" y="0"/>
                      <a:ext cx="3505200" cy="15113000"/>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图1-1</w:t>
      </w:r>
      <w:r>
        <w:rPr>
          <w:rFonts w:ascii="Times New Roman" w:hAnsi="Times New Roman" w:eastAsia="宋体"/>
          <w:b/>
          <w:sz w:val="18"/>
        </w:rPr>
        <w:t xml:space="preserve"> </w:t>
      </w:r>
      <w:r>
        <w:rPr>
          <w:rFonts w:hint="eastAsia" w:ascii="Times New Roman" w:hAnsi="Times New Roman" w:eastAsia="宋体"/>
          <w:b/>
          <w:sz w:val="18"/>
        </w:rPr>
        <w:t xml:space="preserve">技术路线图</w:t>
      </w:r>
    </w:p>
    <w:bookmarkEnd w:id="8"/>
    <w:bookmarkEnd w:id="9"/>
    <w:bookmarkStart w:id="11" w:name="第二章-理论分析与假设"/>
    <w:p>
      <w:pPr>
        <w:pStyle w:val="1"/>
        <w:pageBreakBefore/>
        <w:spacing w:line="312" w:lineRule="auto" w:before="0" w:after="0"/>
        <w:ind w:firstLine="0"/>
        <w:jc w:val="center"/>
      </w:pPr>
      <w:bookmarkStart w:id="80" w:name="_TocAuto0006"/>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0"/>
    </w:p>
    <w:bookmarkStart w:id="12" w:name="概念界定"/>
    <w:p>
      <w:pPr>
        <w:pStyle w:val="2"/>
        <w:spacing w:line="312" w:lineRule="auto" w:before="0" w:after="0"/>
        <w:ind w:firstLine="0"/>
        <w:jc w:val="left"/>
      </w:pPr>
      <w:bookmarkStart w:id="81" w:name="_TocAuto0007"/>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81"/>
    </w:p>
    <w:bookmarkStart w:id="13" w:name="财政补贴"/>
    <w:p>
      <w:pPr>
        <w:pStyle w:val="31"/>
        <w:spacing w:line="312" w:lineRule="auto" w:before="0" w:after="0"/>
        <w:ind w:firstLine="420"/>
        <w:jc w:val="left"/>
      </w:pPr>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w:t>
      </w:r>
      <w:r>
        <w:rPr>
          <w:rFonts w:hint="eastAsia" w:ascii="Times New Roman" w:hAnsi="Times New Roman" w:eastAsia="宋体"/>
          <w:b w:val="0"/>
          <w:sz w:val="21"/>
        </w:rPr>
        <w:t xml:space="preserve">“与资产相关”</w:t>
      </w:r>
      <w:r>
        <w:rPr>
          <w:rFonts w:hint="eastAsia" w:ascii="Times New Roman" w:hAnsi="Times New Roman" w:eastAsia="宋体"/>
          <w:b w:val="0"/>
          <w:sz w:val="21"/>
        </w:rPr>
        <w:t xml:space="preserve">的补助通过递延收益逐期摊销进入利润，</w:t>
      </w:r>
      <w:r>
        <w:rPr>
          <w:rFonts w:hint="eastAsia" w:ascii="Times New Roman" w:hAnsi="Times New Roman" w:eastAsia="宋体"/>
          <w:b w:val="0"/>
          <w:sz w:val="21"/>
        </w:rPr>
        <w:t xml:space="preserve">“与收益相关”</w:t>
      </w:r>
      <w:r>
        <w:rPr>
          <w:rFonts w:hint="eastAsia" w:ascii="Times New Roman" w:hAnsi="Times New Roman" w:eastAsia="宋体"/>
          <w:b w:val="0"/>
          <w:sz w:val="21"/>
        </w:rPr>
        <w:t xml:space="preserve">的补助在满足确认条件后一次性或分期计入当期损益。补贴的到账时间、规模和附带约束因而会直接改变企业的资源配置方式和财务报表表现。此外，我国财政补贴存在使用约束弱、事后监督不足特征，很容易成为管理层权力寻租渠道。</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带动管理层安排资源的空间。在我国制度环境下，补贴使用约束相对有限、事后跟踪并不总是充分，这使其容易成为管理层寻租的渠道。本文据此将财政补贴置于“补贴—治理—薪酬”关系链条的起点。这种外部资源属性不等同于补贴具有准自然实验性质，全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在具体度量上，本文同时保留两类补贴口径。描述性统计和对照考察中使用企业年度政府补助金额经零值保留后的对数形式，即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基准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检验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表现、资产结构、区域与行业等客观因素后仍高出正常基准的那部分报酬。这一概念的关键在于先回答一个基础疑问：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结构，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数额、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1"/>
    <w:bookmarkStart w:id="15" w:name="管理层权力"/>
    <w:p>
      <w:pPr>
        <w:pStyle w:val="31"/>
        <w:spacing w:line="312" w:lineRule="auto" w:before="0" w:after="0"/>
        <w:ind w:firstLine="420"/>
        <w:jc w:val="left"/>
      </w:pPr>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改变的空间，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还要看到，中国公司治理结构中党委、董事会和管理层之间的权力边界并不总是清晰，国有企业尤其如此。党政体系中的关系网络、与上级主管部门的信任程度等真正牵动高管地位的因素，在公开年报中几乎无法直接量化。把“管理层权力”放到中国上市公司语境下理解，其复杂性明显高于西方主流文献的标准设定。这里的处理方式保留了可操作性，部分非正式权力渠道仍可能被低估，后文区分国有与民营企业的异质性检验也有这层考虑。</w:t>
      </w:r>
    </w:p>
    <w:bookmarkEnd w:id="12"/>
    <w:bookmarkEnd w:id="13"/>
    <w:bookmarkStart w:id="16" w:name="理论基础"/>
    <w:p>
      <w:pPr>
        <w:pStyle w:val="2"/>
        <w:spacing w:line="312" w:lineRule="auto" w:before="0" w:after="0"/>
        <w:ind w:firstLine="0"/>
        <w:jc w:val="left"/>
      </w:pPr>
      <w:bookmarkStart w:id="82" w:name="_TocAuto0008"/>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82"/>
    </w:p>
    <w:bookmarkStart w:id="17" w:name="管理者权力理论"/>
    <w:p>
      <w:pPr>
        <w:pStyle w:val="31"/>
        <w:spacing w:line="312" w:lineRule="auto" w:before="0" w:after="0"/>
        <w:ind w:firstLine="420"/>
        <w:jc w:val="left"/>
      </w:pPr>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说明，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思路。本文以两职合一、董事会规模、内部董事比例和高管持股四个指标刻画管理层权力，延续了多角度检验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经验结构，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权力，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位置因而更加突出。外部资源扩张与内部权力强化一并发生时，补贴便容易转化为薪酬谈判中的额外筹码。据此，本文不直接用薪酬规模讨论边界，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 xml:space="preserve">关于内控质量越高、薪酬—绩效敏感性越强的证据，也支持了这种理解。方军雄（2009）</w:t>
      </w:r>
      <w:r>
        <w:rPr>
          <w:rFonts w:ascii="Times New Roman" w:hAnsi="Times New Roman" w:eastAsia="宋体"/>
          <w:b w:val="0"/>
          <w:sz w:val="21"/>
          <w:vertAlign w:val="superscript"/>
        </w:rPr>
        <w:t>[18]</w:t>
      </w:r>
      <w:r>
        <w:rPr>
          <w:rFonts w:hint="eastAsia" w:ascii="Times New Roman" w:hAnsi="Times New Roman" w:eastAsia="宋体"/>
          <w:b w:val="0"/>
          <w:sz w:val="21"/>
        </w:rPr>
        <w:t xml:space="preserve">进一步提示我国上市公司高管薪酬存在显著粘性，即业绩下降时薪酬调整幅度不如业绩上升时明显，这说明薪酬契约对绩效的约束本身就存在不对称性，财政补贴带来的账面收益改善更容易被纳入薪酬上调范围。本文采用期望薪酬残差（Overpay）而非薪酬数额，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[14]</w:t>
      </w:r>
      <w:r>
        <w:rPr>
          <w:rFonts w:hint="eastAsia" w:ascii="Times New Roman" w:hAnsi="Times New Roman" w:eastAsia="宋体"/>
          <w:b w:val="0"/>
          <w:sz w:val="21"/>
        </w:rPr>
        <w:t xml:space="preserve">讨论的核心疑问是：在信息不对称条件下，掌握更多信息的一方会主动释放可观察信号，以引导外部对其质量的判断。后来这一路线常见于企业财务和资本市场课题，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放在补贴与薪酬的关系中，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力度往往与信息控制权相伴而生，而信息控制权又会回到薪酬谈判过程。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[28]</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p>
    <w:p>
      <w:pPr>
        <w:spacing w:line="312" w:lineRule="auto" w:before="0" w:after="0"/>
        <w:ind w:firstLine="420"/>
        <w:jc w:val="both"/>
      </w:pPr>
      <w:r>
        <w:rPr>
          <w:rFonts w:hint="eastAsia" w:ascii="Times New Roman" w:hAnsi="Times New Roman" w:eastAsia="宋体"/>
          <w:b w:val="0"/>
          <w:bCs/>
          <w:sz w:val="21"/>
        </w:rPr>
        <w:t xml:space="preserve">管理者权力理论、代理理论和信号传递理论的比较</w:t>
      </w:r>
    </w:p>
    <w:p>
      <w:pPr>
        <w:spacing w:line="312" w:lineRule="auto" w:before="0" w:after="0"/>
        <w:ind w:firstLine="420"/>
        <w:jc w:val="both"/>
      </w:pPr>
      <w:r>
        <w:rPr>
          <w:rFonts w:hint="eastAsia" w:ascii="Times New Roman" w:hAnsi="Times New Roman" w:eastAsia="宋体"/>
          <w:b w:val="0"/>
          <w:sz w:val="21"/>
        </w:rPr>
        <w:t xml:space="preserve">管理者权力理论、代理理论和信号传递理论是理解补贴与薪酬关系的三个重要理论视角。管理者权力理论回答的是“补贴在什么条件下会被管理层截留”，代理理论回答的是“这种截留依托什么内部安排发生”，信号传递理论则补充了“外部信息环境为什么会放大或压缩这一过程”。</w:t>
      </w:r>
    </w:p>
    <w:p>
      <w:pPr>
        <w:spacing w:line="312" w:lineRule="auto" w:before="0" w:after="0"/>
        <w:ind w:firstLine="420"/>
        <w:jc w:val="both"/>
      </w:pPr>
      <w:r>
        <w:rPr>
          <w:rFonts w:hint="eastAsia" w:ascii="Times New Roman" w:hAnsi="Times New Roman" w:eastAsia="宋体"/>
          <w:b w:val="0"/>
          <w:bCs/>
          <w:sz w:val="21"/>
        </w:rPr>
        <w:t xml:space="preserve">理论视角的内在张力</w:t>
      </w:r>
    </w:p>
    <w:p>
      <w:pPr>
        <w:spacing w:line="312" w:lineRule="auto" w:before="0" w:after="0"/>
        <w:ind w:firstLine="420"/>
        <w:jc w:val="both"/>
      </w:pPr>
      <w:r>
        <w:rPr>
          <w:rFonts w:hint="eastAsia" w:ascii="Times New Roman" w:hAnsi="Times New Roman" w:eastAsia="宋体"/>
          <w:b w:val="0"/>
          <w:sz w:val="21"/>
        </w:rPr>
        <w:t xml:space="preserve">虽然这三个理论视角可以相互补充，但它们也存在一些内在张力。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bookmarkEnd w:id="17"/>
    <w:bookmarkStart w:id="21" w:name="中国制度情境下的理论延展"/>
    <w:p>
      <w:pPr>
        <w:pStyle w:val="31"/>
        <w:spacing w:line="312" w:lineRule="auto" w:before="0" w:after="0"/>
        <w:ind w:firstLine="420"/>
        <w:jc w:val="left"/>
      </w:pPr>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角色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地方财政余裕和招商策略共同牵动。</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但如后文第四章所述，这些工具变量在当前基准样本中一阶段整体偏弱，因此仅作为后台诊断而不承担正文主识别功能。</w:t>
      </w:r>
    </w:p>
    <w:p>
      <w:pPr>
        <w:spacing w:line="312" w:lineRule="auto" w:before="0" w:after="0"/>
        <w:ind w:firstLine="420"/>
        <w:jc w:val="both"/>
      </w:pPr>
      <w:r>
        <w:rPr>
          <w:rFonts w:hint="eastAsia" w:ascii="Times New Roman" w:hAnsi="Times New Roman" w:eastAsia="宋体"/>
          <w:b w:val="0"/>
          <w:sz w:val="21"/>
        </w:rPr>
        <w:t xml:space="preserve">考虑到新的基准回归聚焦于已获补贴样本内部的强度差异，文中更强调两类与新口径直接相关的补充识别做法：一是用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处理“谁更容易进入正补助样本”的选择偏差。二是通过事件动态检验和行业×年份固定效应设定，观察补贴强度抬升前是否已存在明显的预趋势，并尽量压缩时变行业冲击。传统留一法工具变量仅作为后台诊断，若一阶段整体偏弱、二阶段方向不稳，则不作为正文识别证据。</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讨论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基准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保持一致。第二章的理论推演，归根到底要回答两个层面的追问：补贴为何会与超额薪酬上升相伴随，以及为什么这一关系在不同企业中强度并不相同。</w:t>
      </w:r>
    </w:p>
    <w:bookmarkEnd w:id="18"/>
    <w:bookmarkEnd w:id="19"/>
    <w:bookmarkStart w:id="22" w:name="研究假设"/>
    <w:p>
      <w:pPr>
        <w:pStyle w:val="2"/>
        <w:spacing w:line="312" w:lineRule="auto" w:before="0" w:after="0"/>
        <w:ind w:firstLine="0"/>
        <w:jc w:val="left"/>
      </w:pPr>
      <w:bookmarkStart w:id="83" w:name="_TocAuto0009"/>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83"/>
    </w:p>
    <w:p>
      <w:pPr>
        <w:spacing w:line="312" w:lineRule="auto" w:before="0" w:after="0"/>
        <w:ind w:firstLine="420"/>
        <w:jc w:val="both"/>
      </w:pPr>
      <w:r>
        <w:rPr>
          <w:rFonts w:hint="eastAsia" w:ascii="Times New Roman" w:hAnsi="Times New Roman" w:eastAsia="宋体"/>
          <w:b w:val="0"/>
          <w:sz w:val="21"/>
        </w:rPr>
        <w:t xml:space="preserve">以上讨论可以收束为一个分层安排：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安排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基于上述理论梳理，提出以下两个核心理论假设：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便易于与更高的高管超额薪酬相伴随。H1主要建立在代理理论的资源侵占逻辑之上：补贴进入企业账面之后，若激励契约没有把这部分“非经营性收益”从绩效薪酬基数中剔除，高管有条件在未作出相应经营努力的情况下同步受益；同时，资源扩张也会放松董事会在薪酬谈判中的支付约束。基于此，H1预期在已获补贴企业内部，补贴强度与高管超额薪酬之间存在正向联系，并在较严格的控制设定下仍可被观察。</w:t>
      </w:r>
    </w:p>
    <w:p>
      <w:pPr>
        <w:spacing w:line="312" w:lineRule="auto" w:before="0" w:after="0"/>
        <w:ind w:firstLine="420"/>
        <w:jc w:val="both"/>
      </w:pPr>
      <w:r>
        <w:rPr>
          <w:rFonts w:hint="eastAsia" w:ascii="Times New Roman" w:hAnsi="Times New Roman" w:eastAsia="宋体"/>
          <w:b w:val="0"/>
          <w:bCs/>
          <w:sz w:val="21"/>
        </w:rPr>
        <w:t xml:space="preserve">假设H2（约束路径假设）</w:t>
      </w:r>
      <w:r>
        <w:rPr>
          <w:rFonts w:hint="eastAsia" w:ascii="Times New Roman" w:hAnsi="Times New Roman" w:eastAsia="宋体"/>
          <w:b w:val="0"/>
          <w:sz w:val="21"/>
        </w:rPr>
        <w:t xml:space="preserve">：本文检验管理层权力是否可能构成财政补贴与高管超额薪酬之间的中介路径。财政补贴的获取和使用往往强化高管在资源配置中的核心地位，并进一步提升其在薪酬谈判中的议价条件；若控制管理层权力后，补贴对超额薪酬的直接效应收窄，且管理层权力的系数显著为正，才可将其视为存在间接传导的经验线索。H2主要来自管理者权力理论：补贴获取过程中高管的深度介入，往往强化其在组织内部的议程设置权；补贴使用中的自由裁量越大，补贴资源被转化为薪酬议价筹码的空间也越大。管理层权力的测度本身仍带有经验性，相关路径始终需要审慎解释。第四章的中介检验即围绕这一待检验链条展开。</w:t>
      </w:r>
    </w:p>
    <w:bookmarkEnd w:id="20"/>
    <w:bookmarkEnd w:id="21"/>
    <w:bookmarkStart w:id="23" w:name="第三章-研究设计"/>
    <w:p>
      <w:pPr>
        <w:pStyle w:val="1"/>
        <w:pageBreakBefore/>
        <w:spacing w:line="312" w:lineRule="auto" w:before="0" w:after="0"/>
        <w:ind w:firstLine="0"/>
        <w:jc w:val="center"/>
      </w:pPr>
      <w:bookmarkStart w:id="84" w:name="_TocAuto0010"/>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84"/>
    </w:p>
    <w:bookmarkStart w:id="24" w:name="研究问题界定与分析框架"/>
    <w:p>
      <w:pPr>
        <w:pStyle w:val="2"/>
        <w:spacing w:line="312" w:lineRule="auto" w:before="0" w:after="0"/>
        <w:ind w:firstLine="0"/>
        <w:jc w:val="left"/>
      </w:pPr>
      <w:bookmarkStart w:id="85" w:name="_TocAuto0011"/>
      <w:r>
        <w:rPr>
          <w:rFonts w:ascii="Times New Roman" w:hAnsi="Times New Roman" w:eastAsia="黑体"/>
          <w:b w:val="0"/>
          <w:sz w:val="28"/>
        </w:rPr>
        <w:t xml:space="preserve">3.1 </w:t>
      </w:r>
      <w:r>
        <w:rPr>
          <w:rFonts w:hint="eastAsia" w:ascii="Times New Roman" w:hAnsi="Times New Roman" w:eastAsia="黑体"/>
          <w:b w:val="0"/>
          <w:sz w:val="28"/>
        </w:rPr>
        <w:t xml:space="preserve">研究问题界定与分析框架</w:t>
      </w:r>
      <w:bookmarkEnd w:id="85"/>
    </w:p>
    <w:p>
      <w:pPr>
        <w:spacing w:line="312" w:lineRule="auto" w:before="0" w:after="0"/>
        <w:ind w:firstLine="420"/>
        <w:jc w:val="both"/>
      </w:pPr>
      <w:r>
        <w:rPr>
          <w:rFonts w:hint="eastAsia" w:ascii="Times New Roman" w:hAnsi="Times New Roman" w:eastAsia="宋体"/>
          <w:b w:val="0"/>
          <w:sz w:val="21"/>
        </w:rPr>
        <w:t xml:space="preserve">本章实证设计围绕一个明确的核心命题展开：</w:t>
      </w:r>
      <w:r>
        <w:rPr>
          <w:rFonts w:hint="eastAsia" w:ascii="Times New Roman" w:hAnsi="Times New Roman" w:eastAsia="宋体"/>
          <w:b w:val="0"/>
          <w:bCs/>
          <w:sz w:val="21"/>
        </w:rPr>
        <w:t xml:space="preserve">在已经获得财政补贴的上市公司内部，补贴强度的差异是否与高管超额薪酬存在显著的正向关联？</w:t>
      </w:r>
      <w:r>
        <w:rPr>
          <w:rFonts w:ascii="Times New Roman" w:hAnsi="Times New Roman" w:eastAsia="宋体"/>
          <w:b w:val="0"/>
          <w:sz w:val="21"/>
        </w:rPr>
        <w:t xml:space="preserve"> </w:t>
      </w:r>
      <w:r>
        <w:rPr>
          <w:rFonts w:hint="eastAsia" w:ascii="Times New Roman" w:hAnsi="Times New Roman" w:eastAsia="宋体"/>
          <w:b w:val="0"/>
          <w:sz w:val="21"/>
        </w:rPr>
        <w:t xml:space="preserve">这一考察边界有意将”是否获得补贴”的获得边际与”获得补贴后拿得多还是少”的强度边际区分开来。既有文献多在全样本上估计补贴的平均效应，将零补助企业与正补助企业混合比较，难以厘清结论究竟来自”有无补贴”还是”补贴多少”。本文将基准回归限定在上一年已获得正补助的公司年度，使估计对象聚焦于已获补贴企业之间的补贴强度差异，而非全部上市公司平均意义上的补贴效应。围绕这一核心命题，还需进一步检验两个延伸边界：管理层权力是否可能构成补贴强度向超额薪酬传导的中介路径（H2）？上述关联在不同产权性质和行业管制强度下是否呈现显著差异？</w:t>
      </w:r>
    </w:p>
    <w:p>
      <w:pPr>
        <w:spacing w:line="312" w:lineRule="auto" w:before="0" w:after="0"/>
        <w:ind w:firstLine="420"/>
        <w:jc w:val="both"/>
      </w:pPr>
      <w:r>
        <w:rPr>
          <w:rFonts w:hint="eastAsia" w:ascii="Times New Roman" w:hAnsi="Times New Roman" w:eastAsia="宋体"/>
          <w:b w:val="0"/>
          <w:sz w:val="21"/>
        </w:rPr>
        <w:t xml:space="preserve">整体经验结构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检验主关联，再用稳健性检验考察关系是否对样本和设定变化敏感；随后开展选择偏差校正、中介效应拆解和异质性考察，尽量把识别边界、传导路径与制度情境差异说明清楚；最后再借助机器学习补充验证，在与基准回归一致的变量设定下复核财政补贴的重要性、方向一致性和局部趋势。这样的安排旨在让不同做法分别回答不同命题，而不是简单叠加工具以堆砌结论。</w:t>
      </w:r>
    </w:p>
    <w:bookmarkEnd w:id="22"/>
    <w:bookmarkStart w:id="25" w:name="样本选择与数据来源"/>
    <w:p>
      <w:pPr>
        <w:pStyle w:val="2"/>
        <w:spacing w:line="312" w:lineRule="auto" w:before="0" w:after="0"/>
        <w:ind w:firstLine="0"/>
        <w:jc w:val="left"/>
      </w:pPr>
      <w:bookmarkStart w:id="86" w:name="_TocAuto0012"/>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86"/>
    </w:p>
    <w:p>
      <w:pPr>
        <w:spacing w:line="312" w:lineRule="auto" w:before="0" w:after="0"/>
        <w:ind w:firstLine="420"/>
        <w:jc w:val="both"/>
      </w:pPr>
      <w:r>
        <w:rPr>
          <w:rFonts w:hint="eastAsia" w:ascii="Times New Roman" w:hAnsi="Times New Roman" w:eastAsia="宋体"/>
          <w:b w:val="0"/>
          <w:sz w:val="21"/>
        </w:rPr>
        <w:t xml:space="preserve">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疑问。</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时按0处理。正文中的基准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基准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进一步要求“上一年补助金额大于0”且滞后一期补贴强度可得后，模型2样本为43,417条；机器学习补充验证与基准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为了避免不同实证模块的样本口径被混为一谈，这里专门说明样本量的变化。第一步，基准薪酬模型使用52,805条观测构造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Overpay；第二步，基准回归模型2在加入“上一年获得正补助”的样本限制后，样本降至43,417条；第三步，机器学习补充验证直接沿用基准回归样本，只保留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四个输入变量，因此其样本量保持在43,417条；第四步，中介检验需要管理层权力综合指标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Power（PCA）完整，因此统一样本进一步降至41,186条。这样的处理可以把“基准回归样本”“机器学习样本”和“中介样本”清楚区分开来，避免在答辩时把不同样本边界混为一谈。</w:t>
      </w:r>
    </w:p>
    <w:bookmarkEnd w:id="23"/>
    <w:bookmarkStart w:id="26" w:name="变量设定与说明"/>
    <w:p>
      <w:pPr>
        <w:pStyle w:val="2"/>
        <w:spacing w:line="312" w:lineRule="auto" w:before="0" w:after="0"/>
        <w:ind w:firstLine="0"/>
        <w:jc w:val="left"/>
      </w:pPr>
      <w:bookmarkStart w:id="87" w:name="_TocAuto0013"/>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87"/>
    </w:p>
    <w:bookmarkStart w:id="27" w:name="被解释变量高管超额薪酬overpay"/>
    <w:p>
      <w:pPr>
        <w:pStyle w:val="31"/>
        <w:spacing w:line="312" w:lineRule="auto" w:before="0" w:after="0"/>
        <w:ind w:firstLine="420"/>
        <w:jc w:val="left"/>
      </w:pPr>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p>
    <w:p>
      <w:pPr>
        <w:spacing w:line="312" w:lineRule="auto" w:before="0" w:after="0"/>
        <w:ind w:firstLine="420"/>
        <w:jc w:val="both"/>
      </w:pPr>
      <w:r>
        <w:rPr>
          <w:rFonts w:hint="eastAsia" w:ascii="Times New Roman" w:hAnsi="Times New Roman" w:eastAsia="宋体"/>
          <w:b w:val="0"/>
          <w:sz w:val="21"/>
        </w:rPr>
        <w:t xml:space="preserve">高管超额薪酬以基准薪酬模型的回归残差直接度量。具体以高管前三名薪酬总额的对数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lnSale、盈利表现</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基准薪酬模型的残差项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主要是为了降低个别年份单一职位数据缺失或异常的带动。此外，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p>
    <w:p>
      <w:pPr>
        <w:spacing w:line="312" w:lineRule="auto" w:before="0" w:after="0"/>
        <w:ind w:firstLine="420"/>
        <w:jc w:val="both"/>
      </w:pPr>
      <w:r>
        <w:rPr>
          <w:rFonts w:hint="eastAsia" w:ascii="Times New Roman" w:hAnsi="Times New Roman" w:eastAsia="宋体"/>
          <w:b w:val="0"/>
          <w:sz w:val="21"/>
        </w:rPr>
        <w:t xml:space="preserve">为区分“是否获得补贴”和“获得补贴后的强弱差异”，本文同时保留两类补贴度量。第一类是描述性统计和对照检验中使用的全样本口径：</w:t>
      </w:r>
    </w:p>
    <w:p>
      <w:pPr>
        <w:tabs>
          <w:tab w:pos="8617" w:val="right"/>
        </w:tabs>
        <w:spacing w:line="312" w:lineRule="auto" w:before="0" w:after="0"/>
        <w:ind w:firstLine="0"/>
        <w:jc w:val="center"/>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第二类是基准回归使用的强度口径，仅在补助金额大于0时取自然对数：</w:t>
      </w:r>
    </w:p>
    <w:p>
      <w:pPr>
        <w:tabs>
          <w:tab w:pos="8617" w:val="right"/>
        </w:tabs>
        <w:spacing w:line="312" w:lineRule="auto" w:before="0" w:after="0"/>
        <w:ind w:firstLine="0"/>
        <w:jc w:val="center"/>
      </w:pPr>
      <m:oMathPara>
        <m:oMathParaPr>
          <m:jc m:val="center"/>
        </m:oMathParaPr>
        <m:oMath>
          <m:r>
            <m:rPr>
              <m:sty m:val="p"/>
            </m:rPr>
            <m:t>ln</m:t>
          </m:r>
          <m:sSubSup>
            <m:e>
              <m:r>
                <m:rPr>
                  <m:nor/>
                  <m:sty m:val="p"/>
                </m:rPr>
                <m:t>Subsidy</m:t>
              </m:r>
            </m:e>
            <m:sub>
              <m:r>
                <m:t>i</m:t>
              </m:r>
              <m:r>
                <m:t>t</m:t>
              </m:r>
            </m:sub>
            <m:sup>
              <m:r>
                <m:rPr>
                  <m:sty m:val="p"/>
                </m:rPr>
                <m:t>+</m:t>
              </m:r>
            </m:sup>
          </m:sSubSup>
          <m:r>
            <m:rPr>
              <m:sty m:val="p"/>
            </m:rPr>
            <m:t>=</m:t>
          </m:r>
          <m:r>
            <m:rPr>
              <m:sty m:val="p"/>
            </m:rPr>
            <m:t>ln</m:t>
          </m:r>
          <m:r>
            <m:rPr>
              <m:sty m:val="p"/>
            </m:rPr>
            <m:t>(</m:t>
          </m:r>
          <m:sSub>
            <m:e>
              <m:r>
                <m:rPr>
                  <m:nor/>
                  <m:sty m:val="p"/>
                </m:rPr>
                <m:t>GovernmentSubsidy</m:t>
              </m:r>
            </m:e>
            <m:sub>
              <m:r>
                <m:t>i</m:t>
              </m:r>
              <m:r>
                <m:t>t</m:t>
              </m:r>
            </m:sub>
          </m:sSub>
          <m:r>
            <m:rPr>
              <m:sty m:val="p"/>
            </m:rPr>
            <m:t>)</m:t>
          </m:r>
          <m:r>
            <m:rPr>
              <m:sty m:val="p"/>
            </m:rPr>
            <m:t>,</m:t>
          </m:r>
          <m:r>
            <m:t>  </m:t>
          </m:r>
          <m:sSub>
            <m:e>
              <m:r>
                <m:rPr>
                  <m:nor/>
                  <m:sty m:val="p"/>
                </m:rPr>
                <m:t>GovernmentSubsidy</m:t>
              </m:r>
            </m:e>
            <m:sub>
              <m:r>
                <m:t>i</m:t>
              </m:r>
              <m:r>
                <m:t>t</m:t>
              </m:r>
            </m:sub>
          </m:sSub>
          <m:r>
            <m:rPr>
              <m:sty m:val="p"/>
            </m:rPr>
            <m:t>&gt;</m:t>
          </m:r>
          <m:r>
            <m:t>0</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其中，第二阶段基准回归实际使用的是滞后一期变量</w:t>
      </w:r>
      <w:r>
        <w:rPr>
          <w:rFonts w:ascii="Times New Roman" w:hAnsi="Times New Roman" w:eastAsia="宋体"/>
          <w:b w:val="0"/>
          <w:sz w:val="21"/>
        </w:rPr>
        <w:t xml:space="preserve"> </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。这样处理的考虑有两点：</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适合保留零补助公司年度，用于描述整体样本与对照口径；若核心疑问聚焦于“已经拿到补贴之后，拿得更多是否伴随更高的超额薪酬”，则更自然的做法是把基准回归限制在上一年已获得补贴的公司年度，并直接比较补贴强弱差异。也即，全文主线更关注补贴的强度边际，而不是全体公司平均层面上的混合效应。</w:t>
      </w:r>
    </w:p>
    <w:bookmarkEnd w:id="25"/>
    <w:bookmarkStart w:id="29" w:name="控制变量"/>
    <w:p>
      <w:pPr>
        <w:pStyle w:val="31"/>
        <w:spacing w:line="312" w:lineRule="auto" w:before="0" w:after="0"/>
        <w:ind w:firstLine="420"/>
        <w:jc w:val="left"/>
      </w:pPr>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控制变量分成两个阶段来设定，原因在于两阶段模型各自承担的任务并不一样。第一阶段的目标，是尽量准确地估计“合理薪酬”或“基准薪酬”，因此控制项要尽量覆盖那些决定正常薪酬数额的公司特征，包括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盈利表现</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（Zone），并进一步控制行业和年份效应，把规模、业绩、资产结构以及地区薪酬基准这些常规差异尽量吸收进基准薪酬模型。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盈利表现</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条件，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所以，两阶段控制变量的差异并不意味着模型设定前后不一致，而是分别服务于“尽量拟合合理薪酬基准”和“在固定效应设定下观察补贴强度与超额薪酬的条件相关”这两个不同经验任务。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393199"/>
            <wp:effectExtent b="0" l="0" r="0" t="0"/>
            <wp:docPr descr="" title="" id="3" name="Picture"/>
            <a:graphic>
              <a:graphicData uri="http://schemas.openxmlformats.org/drawingml/2006/picture">
                <pic:pic>
                  <pic:nvPicPr>
                    <pic:cNvPr descr="generated_tables/table_01.png" id="3" name="Picture"/>
                    <pic:cNvPicPr>
                      <a:picLocks noChangeArrowheads="1" noChangeAspect="1"/>
                    </pic:cNvPicPr>
                  </pic:nvPicPr>
                  <pic:blipFill>
                    <a:blip r:embed="rId25"/>
                    <a:stretch>
                      <a:fillRect/>
                    </a:stretch>
                  </pic:blipFill>
                  <pic:spPr bwMode="auto">
                    <a:xfrm>
                      <a:off x="0" y="0"/>
                      <a:ext cx="5579999" cy="2393199"/>
                    </a:xfrm>
                    <a:prstGeom prst="rect">
                      <a:avLst/>
                    </a:prstGeom>
                    <a:noFill/>
                    <a:ln w="9525">
                      <a:noFill/>
                      <a:headEnd/>
                      <a:tailEnd/>
                    </a:ln>
                  </pic:spPr>
                </pic:pic>
              </a:graphicData>
            </a:graphic>
          </wp:inline>
        </w:drawing>
      </w:r>
    </w:p>
    <w:bookmarkEnd w:id="26"/>
    <w:bookmarkStart w:id="30" w:name="路径变量管理层权力power"/>
    <w:p>
      <w:pPr>
        <w:pStyle w:val="31"/>
        <w:spacing w:line="312" w:lineRule="auto" w:before="0" w:after="0"/>
        <w:ind w:firstLine="420"/>
        <w:jc w:val="left"/>
      </w:pPr>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PCA </w:t>
      </w:r>
      <w:r>
        <w:rPr>
          <w:rFonts w:hint="eastAsia" w:ascii="Times New Roman" w:hAnsi="Times New Roman" w:eastAsia="宋体"/>
          <w:b w:val="0"/>
          <w:sz w:val="21"/>
        </w:rPr>
        <w:t xml:space="preserve">综合得分，用于刻画高管在正式职位、董事会结构与所有权层面的综合控制力。有关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PCA </w:t>
      </w:r>
      <w:r>
        <w:rPr>
          <w:rFonts w:hint="eastAsia" w:ascii="Times New Roman" w:hAnsi="Times New Roman" w:eastAsia="宋体"/>
          <w:b w:val="0"/>
          <w:sz w:val="21"/>
        </w:rPr>
        <w:t xml:space="preserve">诊断信息，统一放在第四章中介效应讨论部分展开。</w:t>
      </w:r>
    </w:p>
    <w:p>
      <w:pPr>
        <w:spacing w:line="312" w:lineRule="auto" w:before="0" w:after="0"/>
        <w:ind w:firstLine="420"/>
        <w:jc w:val="both"/>
      </w:pPr>
      <w:r>
        <w:rPr>
          <w:rFonts w:hint="eastAsia" w:ascii="Times New Roman" w:hAnsi="Times New Roman" w:eastAsia="宋体"/>
          <w:b w:val="0"/>
          <w:sz w:val="21"/>
        </w:rPr>
        <w:t xml:space="preserve">这里不把</w:t>
      </w:r>
      <w:r>
        <w:rPr>
          <w:rFonts w:ascii="Times New Roman" w:hAnsi="Times New Roman" w:eastAsia="宋体"/>
          <w:b w:val="0"/>
          <w:sz w:val="21"/>
        </w:rPr>
        <w:t xml:space="preserve"> Power </w:t>
      </w:r>
      <w:r>
        <w:rPr>
          <w:rFonts w:hint="eastAsia" w:ascii="Times New Roman" w:hAnsi="Times New Roman" w:eastAsia="宋体"/>
          <w:b w:val="0"/>
          <w:sz w:val="21"/>
        </w:rPr>
        <w:t xml:space="preserve">直接纳入基准回归，是为了先保持主模型的变量口径简洁，再在传导路径部分单独检验权力渠道。这样的安排也便于区分“补贴强度本身的条件相关”和“管理层权力可能参与的间接传导”。</w:t>
      </w:r>
    </w:p>
    <w:bookmarkEnd w:id="27"/>
    <w:bookmarkEnd w:id="28"/>
    <w:bookmarkStart w:id="31" w:name="模型设定"/>
    <w:p>
      <w:pPr>
        <w:pStyle w:val="2"/>
        <w:spacing w:line="312" w:lineRule="auto" w:before="0" w:after="0"/>
        <w:ind w:firstLine="0"/>
        <w:jc w:val="left"/>
      </w:pPr>
      <w:bookmarkStart w:id="88" w:name="_TocAuto0014"/>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88"/>
    </w:p>
    <w:p>
      <w:pPr>
        <w:spacing w:line="312" w:lineRule="auto" w:before="0" w:after="0"/>
        <w:ind w:firstLine="420"/>
        <w:jc w:val="both"/>
      </w:pPr>
      <w:r>
        <w:rPr>
          <w:rFonts w:hint="eastAsia" w:ascii="Times New Roman" w:hAnsi="Times New Roman" w:eastAsia="宋体"/>
          <w:b w:val="0"/>
          <w:sz w:val="21"/>
        </w:rPr>
        <w:t xml:space="preserve">模型设定分为两个阶段。第一阶段先估计企业在既有规模、业绩和地区条件下的基准薪酬数值，以便把”正常薪酬”与”异常偏离”区分开来。第二阶段再以超额薪酬为被解释变量，考察补贴强度与异常薪酬之间的条件相关。两阶段所用控制变量不同，核心原因在于两阶段的任务并不一样。第一阶段的目标是尽量准确地估计”合理薪酬”或”基准薪酬”，因此控制项要尽量覆盖那些决定正常薪酬规模的公司特征。第二阶段的关注点转向财政补贴与”超额薪酬”之间的联系，因此控制项收缩为更直接关系到薪酬契约合理性、监督强度和寻租空间的变量。</w:t>
      </w:r>
    </w:p>
    <w:bookmarkStart w:id="32" w:name="基准薪酬模型"/>
    <w:p>
      <w:pPr>
        <w:pStyle w:val="31"/>
        <w:spacing w:line="312" w:lineRule="auto" w:before="0" w:after="0"/>
        <w:ind w:firstLine="420"/>
        <w:jc w:val="left"/>
      </w:pPr>
      <w:r>
        <w:rPr>
          <w:rFonts w:ascii="Times New Roman" w:hAnsi="Times New Roman" w:eastAsia="宋体"/>
          <w:b w:val="0"/>
          <w:sz w:val="24"/>
        </w:rPr>
        <w:t xml:space="preserve">3.4.1 </w:t>
      </w:r>
      <w:r>
        <w:rPr>
          <w:rFonts w:hint="eastAsia" w:ascii="Times New Roman" w:hAnsi="Times New Roman" w:eastAsia="宋体"/>
          <w:b w:val="0"/>
          <w:sz w:val="24"/>
        </w:rPr>
        <w:t xml:space="preserve">基准薪酬模型</w:t>
      </w:r>
    </w:p>
    <w:p>
      <w:pPr>
        <w:spacing w:line="312" w:lineRule="auto" w:before="0" w:after="0"/>
        <w:ind w:firstLine="420"/>
        <w:jc w:val="both"/>
      </w:pPr>
      <w:r>
        <w:rPr>
          <w:rFonts w:hint="eastAsia" w:ascii="Times New Roman" w:hAnsi="Times New Roman" w:eastAsia="宋体"/>
          <w:b w:val="0"/>
          <w:sz w:val="21"/>
        </w:rPr>
        <w:t xml:space="preserve">基准薪酬模型直接沿用Core等（1999）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tabs>
          <w:tab w:pos="8617" w:val="right"/>
        </w:tabs>
        <w:spacing w:line="312" w:lineRule="auto" w:before="0" w:after="0"/>
        <w:ind w:firstLine="0"/>
        <w:jc w:val="center"/>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，正值表示实际薪酬高于基准状态，负值则相反。</w:t>
      </w:r>
    </w:p>
    <w:p>
      <w:pPr>
        <w:spacing w:line="312" w:lineRule="auto" w:before="0" w:after="0"/>
        <w:ind w:firstLine="420"/>
        <w:jc w:val="both"/>
      </w:pPr>
      <w:r>
        <w:rPr>
          <w:rFonts w:hint="eastAsia" w:ascii="Times New Roman" w:hAnsi="Times New Roman" w:eastAsia="宋体"/>
          <w:b w:val="0"/>
          <w:sz w:val="21"/>
        </w:rPr>
        <w:t xml:space="preserve">该模型的任务仅是生成超额薪酬变量，不直接回答财政补贴命题。因此，式（3）更强调对正常薪酬决定因素的覆盖，后续模型才在这一残差口径上讨论补贴强度差异。</w:t>
      </w:r>
    </w:p>
    <w:bookmarkEnd w:id="29"/>
    <w:bookmarkStart w:id="33" w:name="基准回归模型"/>
    <w:p>
      <w:pPr>
        <w:pStyle w:val="31"/>
        <w:spacing w:line="312" w:lineRule="auto" w:before="0" w:after="0"/>
        <w:ind w:firstLine="420"/>
        <w:jc w:val="left"/>
      </w:pPr>
      <w:r>
        <w:rPr>
          <w:rFonts w:ascii="Times New Roman" w:hAnsi="Times New Roman" w:eastAsia="宋体"/>
          <w:b w:val="0"/>
          <w:sz w:val="24"/>
        </w:rPr>
        <w:t xml:space="preserve">3.4.2 </w:t>
      </w:r>
      <w:r>
        <w:rPr>
          <w:rFonts w:hint="eastAsia" w:ascii="Times New Roman" w:hAnsi="Times New Roman" w:eastAsia="宋体"/>
          <w:b w:val="0"/>
          <w:sz w:val="24"/>
        </w:rPr>
        <w:t xml:space="preserve">基准回归模型</w:t>
      </w:r>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）作为核心解释变量，并加入企业层面控制变量、公司固定效应和年份固定效应：</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表示年份固定效应。应当留意，式（4）并不是在全部公司年度上估计，而是只在“上一年补助金额大于0”的公司年度上估计，所以最关注的是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与第一阶段相比，这里的控制变量更聚焦于盈利表现、债务约束和外部监督三个会直接牵动薪酬契约合理性与寻租空间的维度。此外，式（3）采用行业与年份固定效应以利用跨企业的横截面差异构造薪酬基准，式（4）则采用公司与年份固定效应以利用同一企业内的时间变化来识别补贴强度与超额薪酬的关联；Overpay</w:t>
      </w:r>
      <w:r>
        <w:rPr>
          <w:rFonts w:ascii="Times New Roman" w:hAnsi="Times New Roman" w:eastAsia="宋体"/>
          <w:b w:val="0"/>
          <w:sz w:val="21"/>
        </w:rPr>
        <w:t xml:space="preserve"> </w:t>
      </w:r>
      <w:r>
        <w:rPr>
          <w:rFonts w:hint="eastAsia" w:ascii="Times New Roman" w:hAnsi="Times New Roman" w:eastAsia="宋体"/>
          <w:b w:val="0"/>
          <w:sz w:val="21"/>
        </w:rPr>
        <w:t xml:space="preserve">残差中仍包含的公司层面稳定异质性会被式（4）中的公司固定效应进一步吸收，两阶段固定效应设定各司其职，不构成口径冲突。</w:t>
      </w:r>
    </w:p>
    <w:bookmarkEnd w:id="30"/>
    <w:bookmarkStart w:id="34" w:name="选择偏差校正与识别边界检验"/>
    <w:p>
      <w:pPr>
        <w:pStyle w:val="31"/>
        <w:spacing w:line="312" w:lineRule="auto" w:before="0" w:after="0"/>
        <w:ind w:firstLine="420"/>
        <w:jc w:val="left"/>
      </w:pPr>
      <w:r>
        <w:rPr>
          <w:rFonts w:ascii="Times New Roman" w:hAnsi="Times New Roman" w:eastAsia="宋体"/>
          <w:b w:val="0"/>
          <w:sz w:val="24"/>
        </w:rPr>
        <w:t xml:space="preserve">3.4.3 </w:t>
      </w:r>
      <w:r>
        <w:rPr>
          <w:rFonts w:hint="eastAsia" w:ascii="Times New Roman" w:hAnsi="Times New Roman" w:eastAsia="宋体"/>
          <w:b w:val="0"/>
          <w:sz w:val="24"/>
        </w:rPr>
        <w:t xml:space="preserve">选择偏差校正与识别边界检验</w:t>
      </w:r>
    </w:p>
    <w:p>
      <w:pPr>
        <w:spacing w:line="312" w:lineRule="auto" w:before="0" w:after="0"/>
        <w:ind w:firstLine="420"/>
        <w:jc w:val="both"/>
      </w:pPr>
      <w:r>
        <w:rPr>
          <w:rFonts w:hint="eastAsia" w:ascii="Times New Roman" w:hAnsi="Times New Roman" w:eastAsia="宋体"/>
          <w:b w:val="0"/>
          <w:sz w:val="21"/>
        </w:rPr>
        <w:t xml:space="preserve">考虑到基准回归聚焦于“已获补贴企业内部的强度差异”，这一设定面临两类更直接的识别挑战。第一类是样本选择：只有进入正补助样本的公司年度才会出现在基准回归里，因此更容易拿到补贴的企业也往往更容易支付较高薪酬。第二类是时变遗漏变量：即使都已进入正补助样本，不同企业的补贴强度变化仍会与行业景气、政府扶持倾向或高管资源协调空间同步波动。</w:t>
      </w:r>
    </w:p>
    <w:p>
      <w:pPr>
        <w:spacing w:line="312" w:lineRule="auto" w:before="0" w:after="0"/>
        <w:ind w:firstLine="420"/>
        <w:jc w:val="both"/>
      </w:pPr>
      <w:r>
        <w:rPr>
          <w:rFonts w:hint="eastAsia" w:ascii="Times New Roman" w:hAnsi="Times New Roman" w:eastAsia="宋体"/>
          <w:b w:val="0"/>
          <w:sz w:val="21"/>
        </w:rPr>
        <w:t xml:space="preserve">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两步法更直接对应本文新的基准样本设计。第一步以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是否可观测构造选择方程，检验哪些公司年度更容易进入“已获补贴样本”；第二步将逆米尔斯比率纳入公司和年份固定效应回归，以判断基准回归中的正向系数是否主要由样本选择偏差驱动。</w:t>
      </w:r>
    </w:p>
    <w:p>
      <w:pPr>
        <w:spacing w:line="312" w:lineRule="auto" w:before="0" w:after="0"/>
        <w:ind w:firstLine="420"/>
        <w:jc w:val="both"/>
      </w:pPr>
      <w:r>
        <w:rPr>
          <w:rFonts w:hint="eastAsia" w:ascii="Times New Roman" w:hAnsi="Times New Roman" w:eastAsia="宋体"/>
          <w:b w:val="0"/>
          <w:sz w:val="21"/>
        </w:rPr>
        <w:t xml:space="preserve">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 xml:space="preserve">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 xml:space="preserve">规格。但这部分不再承担正文主识别功能：若一阶段整体偏弱、二阶段方向明显不稳，仅据此判断当前结论对外生识别仍较敏感，而不将其写入正文主表。因此，正文更重视与新基准样本直接对应的选择偏差校正、事件动态检验和更严格固定效应设定。</w:t>
      </w:r>
    </w:p>
    <w:p>
      <w:pPr>
        <w:spacing w:line="312" w:lineRule="auto" w:before="0" w:after="0"/>
        <w:ind w:firstLine="420"/>
        <w:jc w:val="both"/>
      </w:pPr>
      <w:r>
        <w:rPr>
          <w:rFonts w:hint="eastAsia" w:ascii="Times New Roman" w:hAnsi="Times New Roman" w:eastAsia="宋体"/>
          <w:b w:val="0"/>
          <w:sz w:val="21"/>
        </w:rPr>
        <w:t xml:space="preserve">此外，还补充实施两类辅助诊断。第一类是事件动态检验：以“上一年补助金额首次进入正补助样本上四分位区间”作为高补贴事件，考察事件发生前后超额薪酬的动态变化，并重点检验事件前是否已存在可辨识的预趋势。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行业×年份固定效应”基准回归设定，用于检验主估计是否只是来自行业年度景气波动。上述检验都用于刻画识别边界和动态伴随关系，不被解释为严格含义上的因果估计。</w:t>
      </w:r>
    </w:p>
    <w:bookmarkEnd w:id="31"/>
    <w:bookmarkStart w:id="35" w:name="基于管理层权力的中介检验"/>
    <w:p>
      <w:pPr>
        <w:pStyle w:val="31"/>
        <w:spacing w:line="312" w:lineRule="auto" w:before="0" w:after="0"/>
        <w:ind w:firstLine="420"/>
        <w:jc w:val="left"/>
      </w:pPr>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基于管理层权力的中介检验</w:t>
      </w:r>
    </w:p>
    <w:p>
      <w:pPr>
        <w:spacing w:line="312" w:lineRule="auto" w:before="0" w:after="0"/>
        <w:ind w:firstLine="420"/>
        <w:jc w:val="both"/>
      </w:pPr>
      <w:r>
        <w:rPr>
          <w:rFonts w:hint="eastAsia" w:ascii="Times New Roman" w:hAnsi="Times New Roman" w:eastAsia="宋体"/>
          <w:b w:val="0"/>
          <w:sz w:val="21"/>
        </w:rPr>
        <w:t xml:space="preserve">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的经典中介梳理思路，检验财政补贴是否会经由管理层权力这一渠道影响超额薪酬。由于新的基准回归总效应已经显著，但中介效应仍需结合路径显著性、Bootstrap</w:t>
      </w:r>
      <w:r>
        <w:rPr>
          <w:rFonts w:ascii="Times New Roman" w:hAnsi="Times New Roman" w:eastAsia="宋体"/>
          <w:b w:val="0"/>
          <w:sz w:val="21"/>
        </w:rPr>
        <w:t xml:space="preserve"> </w:t>
      </w:r>
      <w:r>
        <w:rPr>
          <w:rFonts w:hint="eastAsia" w:ascii="Times New Roman" w:hAnsi="Times New Roman" w:eastAsia="宋体"/>
          <w:b w:val="0"/>
          <w:sz w:val="21"/>
        </w:rPr>
        <w:t xml:space="preserve">区间和测度局限综合判断，后文更强调“路径线索”和审慎解释，而不将其解释为严格的经典中介识别。正文采用</w:t>
      </w:r>
      <w:r>
        <w:rPr>
          <w:rFonts w:ascii="Times New Roman" w:hAnsi="Times New Roman" w:eastAsia="宋体"/>
          <w:b w:val="0"/>
          <w:sz w:val="21"/>
        </w:rPr>
        <w:t xml:space="preserve"> PCA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Power。为与正文呈现顺序保持一致，中介检验模型依次编号为模型3至模型5，对应的三步回归如下：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，补贴与权力的联系，对应模型4）：</w:t>
      </w:r>
    </w:p>
    <w:p>
      <w:pPr>
        <w:tabs>
          <w:tab w:pos="8617" w:val="right"/>
        </w:tabs>
        <w:spacing w:line="312" w:lineRule="auto" w:before="0" w:after="0"/>
        <w:ind w:firstLine="0"/>
        <w:jc w:val="center"/>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，对应模型5）：</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tabs>
          <w:tab w:pos="8617" w:val="right"/>
        </w:tabs>
        <w:spacing w:line="312" w:lineRule="auto" w:before="0" w:after="0"/>
        <w:ind w:firstLine="0"/>
        <w:jc w:val="center"/>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仅为经验性综合测度，正文判断更看重路径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以及</w:t>
      </w:r>
      <w:r>
        <w:rPr>
          <w:rFonts w:ascii="Times New Roman" w:hAnsi="Times New Roman" w:eastAsia="宋体"/>
          <w:b w:val="0"/>
          <w:sz w:val="21"/>
        </w:rPr>
        <w:t xml:space="preserve"> Bootstrap </w:t>
      </w:r>
      <w:r>
        <w:rPr>
          <w:rFonts w:hint="eastAsia" w:ascii="Times New Roman" w:hAnsi="Times New Roman" w:eastAsia="宋体"/>
          <w:b w:val="0"/>
          <w:sz w:val="21"/>
        </w:rPr>
        <w:t xml:space="preserve">输出的组合证据，而不单凭单一路径系数作结论性判断。</w:t>
      </w:r>
    </w:p>
    <w:bookmarkEnd w:id="32"/>
    <w:bookmarkEnd w:id="33"/>
    <w:bookmarkStart w:id="36" w:name="机器学习方法"/>
    <w:p>
      <w:pPr>
        <w:pStyle w:val="2"/>
        <w:spacing w:line="312" w:lineRule="auto" w:before="0" w:after="0"/>
        <w:ind w:firstLine="0"/>
        <w:jc w:val="left"/>
      </w:pPr>
      <w:bookmarkStart w:id="89" w:name="_TocAuto0015"/>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89"/>
    </w:p>
    <w:bookmarkStart w:id="37" w:name="样本划分预处理与验证安排"/>
    <w:p>
      <w:pPr>
        <w:pStyle w:val="31"/>
        <w:spacing w:line="312" w:lineRule="auto" w:before="0" w:after="0"/>
        <w:ind w:firstLine="420"/>
        <w:jc w:val="left"/>
      </w:pPr>
      <w:r>
        <w:rPr>
          <w:rFonts w:ascii="Times New Roman" w:hAnsi="Times New Roman" w:eastAsia="宋体"/>
          <w:b w:val="0"/>
          <w:sz w:val="24"/>
        </w:rPr>
        <w:t xml:space="preserve">3.5.1 </w:t>
      </w:r>
      <w:r>
        <w:rPr>
          <w:rFonts w:hint="eastAsia" w:ascii="Times New Roman" w:hAnsi="Times New Roman" w:eastAsia="宋体"/>
          <w:b w:val="0"/>
          <w:sz w:val="24"/>
        </w:rPr>
        <w:t xml:space="preserve">样本划分、预处理与验证安排</w:t>
      </w:r>
    </w:p>
    <w:p>
      <w:pPr>
        <w:spacing w:line="312" w:lineRule="auto" w:before="0" w:after="0"/>
        <w:ind w:firstLine="420"/>
        <w:jc w:val="both"/>
      </w:pPr>
      <w:r>
        <w:rPr>
          <w:rFonts w:hint="eastAsia" w:ascii="Times New Roman" w:hAnsi="Times New Roman" w:eastAsia="宋体"/>
          <w:b w:val="0"/>
          <w:sz w:val="21"/>
        </w:rPr>
        <w:t xml:space="preserve">机器学习部分围绕第四章的基准回归开展补充验证。为保持与第二阶段基准回归模型（模型2，式4）完全一致，本节仅纳入滞后一期正补助对数（lnSubsidy_pos_l1）、业绩（Roa）、财务杠杆（Lever）和第一大股东持股比例（Top1）四个变量，不再纳入管理层权力综合指标，也不额外加入地区变量、企业属性或其他扩展特征。需要说明的是，第一阶段基准薪酬模型（模型1，式3）使用的是</w:t>
      </w:r>
      <w:r>
        <w:rPr>
          <w:rFonts w:ascii="Times New Roman" w:hAnsi="Times New Roman" w:eastAsia="宋体"/>
          <w:b w:val="0"/>
          <w:sz w:val="21"/>
        </w:rPr>
        <w:t xml:space="preserve"> lnSale、Roa、IA、Zone </w:t>
      </w:r>
      <w:r>
        <w:rPr>
          <w:rFonts w:hint="eastAsia" w:ascii="Times New Roman" w:hAnsi="Times New Roman" w:eastAsia="宋体"/>
          <w:b w:val="0"/>
          <w:sz w:val="21"/>
        </w:rPr>
        <w:t xml:space="preserve">等变量来估计”合理薪酬基准”，其任务是构造被解释变量</w:t>
      </w:r>
      <w:r>
        <w:rPr>
          <w:rFonts w:ascii="Times New Roman" w:hAnsi="Times New Roman" w:eastAsia="宋体"/>
          <w:b w:val="0"/>
          <w:sz w:val="21"/>
        </w:rPr>
        <w:t xml:space="preserve"> </w:t>
      </w:r>
      <w:r>
        <w:rPr>
          <w:rFonts w:hint="eastAsia" w:ascii="Times New Roman" w:hAnsi="Times New Roman" w:eastAsia="宋体"/>
          <w:b w:val="0"/>
          <w:sz w:val="21"/>
        </w:rPr>
        <w:t xml:space="preserve">Overpay，与机器学习部分的验证目标不同；机器学习部分对应的是模型2中用于检验补贴强度效应的解释变量口径，两阶段变量设定的差异源于各自承担的拆解任务不同，并非前后矛盾。这样安排后，机器学习回答的是四个命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基准回归一致。四是在更灵活的树模型中，财政补贴的局部趋势是否仍表现为总体上升。</w:t>
      </w:r>
    </w:p>
    <w:p>
      <w:pPr>
        <w:spacing w:line="312" w:lineRule="auto" w:before="0" w:after="0"/>
        <w:ind w:firstLine="420"/>
        <w:jc w:val="both"/>
      </w:pPr>
      <w:r>
        <w:rPr>
          <w:rFonts w:hint="eastAsia" w:ascii="Times New Roman" w:hAnsi="Times New Roman" w:eastAsia="宋体"/>
          <w:b w:val="0"/>
          <w:sz w:val="21"/>
        </w:rPr>
        <w:t xml:space="preserve">样本直接沿用基准回归的43,417个公司年度观测。样本按公司分组，利用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避免同一公司跨期观测同时进入不同样本而夸大验证结论。输入特征共4个，即滞后一期正补助对数（lnSubsidy_pos_l1）、业绩（Roa）、财务杠杆（Lever）和第一大股东持股比例（Top1）。被解释变量仍为第四章基准回归使用的连续型超额薪酬（Overpay），以保证机器学习考察与基准回归对象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 xml:space="preserve">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 xml:space="preserve">的重要性排序和部分依赖趋势。</w:t>
      </w:r>
    </w:p>
    <w:bookmarkEnd w:id="34"/>
    <w:bookmarkStart w:id="38" w:name="随机森林方法"/>
    <w:p>
      <w:pPr>
        <w:pStyle w:val="31"/>
        <w:spacing w:line="312" w:lineRule="auto" w:before="0" w:after="0"/>
        <w:ind w:firstLine="420"/>
        <w:jc w:val="left"/>
      </w:pPr>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w:t>
      </w:r>
      <w:r>
        <w:rPr>
          <w:rFonts w:hint="eastAsia" w:ascii="Times New Roman" w:hAnsi="Times New Roman" w:eastAsia="宋体"/>
          <w:b w:val="0"/>
          <w:sz w:val="21"/>
        </w:rPr>
        <w:t xml:space="preserve">Bagging（Bootstrap</w:t>
      </w:r>
      <w:r>
        <w:rPr>
          <w:rFonts w:ascii="Times New Roman" w:hAnsi="Times New Roman" w:eastAsia="宋体"/>
          <w:b w:val="0"/>
          <w:sz w:val="21"/>
        </w:rPr>
        <w:t xml:space="preserve"> </w:t>
      </w:r>
      <w:r>
        <w:rPr>
          <w:rFonts w:hint="eastAsia" w:ascii="Times New Roman" w:hAnsi="Times New Roman" w:eastAsia="宋体"/>
          <w:b w:val="0"/>
          <w:sz w:val="21"/>
        </w:rPr>
        <w:t xml:space="preserve">Aggregating）思想的集成学习路径。其基本过程如下：对原始训练集</w:t>
      </w:r>
      <w:r>
        <w:rPr>
          <w:rFonts w:ascii="Times New Roman" w:hAnsi="Times New Roman" w:eastAsia="宋体"/>
          <w:b w:val="0"/>
          <w:sz w:val="21"/>
        </w:rPr>
        <w:t xml:space="preserve"> </w:t>
      </w:r>
      <m:oMath>
        <m:r>
          <m:rPr>
            <m:sty m:val="p"/>
          </m:rPr>
          <m:t>{</m:t>
        </m:r>
        <m:r>
          <m:rPr>
            <m:sty m:val="p"/>
          </m:rPr>
          <m:t>(</m:t>
        </m:r>
        <m:sSub>
          <m:e>
            <m:r>
              <m:rPr>
                <m:sty m:val="bi"/>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eastAsia="宋体"/>
          <w:b w:val="0"/>
          <w:sz w:val="21"/>
        </w:rPr>
        <w:t xml:space="preserve"> </w:t>
      </w:r>
      <w:r>
        <w:rPr>
          <w:rFonts w:hint="eastAsia" w:ascii="Times New Roman" w:hAnsi="Times New Roman" w:eastAsia="宋体"/>
          <w:b w:val="0"/>
          <w:sz w:val="21"/>
        </w:rPr>
        <w:t xml:space="preserve">进行</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次有放回的自助抽样（Bootstrap），每次生成一个子样本</w:t>
      </w:r>
      <w:r>
        <w:rPr>
          <w:rFonts w:ascii="Times New Roman" w:hAnsi="Times New Roman" w:eastAsia="宋体"/>
          <w:b w:val="0"/>
          <w:sz w:val="21"/>
        </w:rPr>
        <w:t xml:space="preserve"> </w:t>
      </w:r>
      <m:oMath>
        <m:sSub>
          <m:e>
            <m:r>
              <m:t>D</m:t>
            </m:r>
          </m:e>
          <m:sub>
            <m:r>
              <m:t>b</m:t>
            </m:r>
          </m:sub>
        </m:sSub>
      </m:oMath>
      <w:r>
        <w:rPr>
          <w:rFonts w:hint="eastAsia" w:ascii="Times New Roman" w:hAnsi="Times New Roman" w:eastAsia="宋体"/>
          <w:b w:val="0"/>
          <w:sz w:val="21"/>
        </w:rPr>
        <w:t xml:space="preserve">；在每个子样本上训练一棵决策树</w:t>
      </w:r>
      <w:r>
        <w:rPr>
          <w:rFonts w:ascii="Times New Roman" w:hAnsi="Times New Roman" w:eastAsia="宋体"/>
          <w:b w:val="0"/>
          <w:sz w:val="21"/>
        </w:rPr>
        <w:t xml:space="preserve"> </w:t>
      </w:r>
      <m:oMath>
        <m:sSub>
          <m:e>
            <m:r>
              <m:t>h</m:t>
            </m:r>
          </m:e>
          <m:sub>
            <m:r>
              <m:t>b</m:t>
            </m:r>
          </m:sub>
        </m:sSub>
        <m:r>
          <m:rPr>
            <m:sty m:val="p"/>
          </m:rPr>
          <m:t>(</m:t>
        </m:r>
        <m:r>
          <m:rPr>
            <m:sty m:val="bi"/>
          </m:rPr>
          <m:t>x</m:t>
        </m:r>
        <m:r>
          <m:rPr>
            <m:sty m:val="p"/>
          </m:rPr>
          <m:t>)</m:t>
        </m:r>
      </m:oMath>
      <w:r>
        <w:rPr>
          <w:rFonts w:hint="eastAsia" w:ascii="Times New Roman" w:hAnsi="Times New Roman" w:eastAsia="宋体"/>
          <w:b w:val="0"/>
          <w:sz w:val="21"/>
        </w:rPr>
        <w:t xml:space="preserve">，且在每个节点分裂时仅从随机抽取的</w:t>
      </w:r>
      <w:r>
        <w:rPr>
          <w:rFonts w:ascii="Times New Roman" w:hAnsi="Times New Roman" w:eastAsia="宋体"/>
          <w:b w:val="0"/>
          <w:sz w:val="21"/>
        </w:rPr>
        <w:t xml:space="preserve"> </w:t>
      </w:r>
      <m:oMath>
        <m:r>
          <m:t>m</m:t>
        </m:r>
      </m:oMath>
      <w:r>
        <w:rPr>
          <w:rFonts w:ascii="Times New Roman" w:hAnsi="Times New Roman" w:eastAsia="宋体"/>
          <w:b w:val="0"/>
          <w:sz w:val="21"/>
        </w:rPr>
        <w:t xml:space="preserve"> </w:t>
      </w:r>
      <w:r>
        <w:rPr>
          <w:rFonts w:hint="eastAsia" w:ascii="Times New Roman" w:hAnsi="Times New Roman" w:eastAsia="宋体"/>
          <w:b w:val="0"/>
          <w:sz w:val="21"/>
        </w:rPr>
        <w:t xml:space="preserve">个候选特征中选取最优分裂变量（</w:t>
      </w:r>
      <m:oMath>
        <m:r>
          <m:t>m</m:t>
        </m:r>
      </m:oMath>
      <w:r>
        <w:rPr>
          <w:rFonts w:ascii="Times New Roman" w:hAnsi="Times New Roman" w:eastAsia="宋体"/>
          <w:b w:val="0"/>
          <w:sz w:val="21"/>
        </w:rPr>
        <w:t xml:space="preserve"> </w:t>
      </w:r>
      <w:r>
        <w:rPr>
          <w:rFonts w:hint="eastAsia" w:ascii="Times New Roman" w:hAnsi="Times New Roman" w:eastAsia="宋体"/>
          <w:b w:val="0"/>
          <w:sz w:val="21"/>
        </w:rPr>
        <w:t xml:space="preserve">通常取</w:t>
      </w:r>
      <w:r>
        <w:rPr>
          <w:rFonts w:ascii="Times New Roman" w:hAnsi="Times New Roman" w:eastAsia="宋体"/>
          <w:b w:val="0"/>
          <w:sz w:val="21"/>
        </w:rPr>
        <w:t xml:space="preserve"> </w:t>
      </w:r>
      <m:oMath>
        <m:r>
          <m:rPr>
            <m:sty m:val="p"/>
          </m:rPr>
          <m:t>⌊</m:t>
        </m:r>
        <m:r>
          <m:t>p</m:t>
        </m:r>
        <m:r>
          <m:rPr>
            <m:sty m:val="p"/>
          </m:rPr>
          <m:t>/</m:t>
        </m:r>
        <m:r>
          <m:t>3</m:t>
        </m:r>
        <m:r>
          <m:rPr>
            <m:sty m:val="p"/>
          </m:rPr>
          <m:t>⌋</m:t>
        </m:r>
      </m:oMath>
      <w:r>
        <w:rPr>
          <w:rFonts w:hint="eastAsia" w:ascii="Times New Roman" w:hAnsi="Times New Roman" w:eastAsia="宋体"/>
          <w:b w:val="0"/>
          <w:sz w:val="21"/>
        </w:rPr>
        <w:t xml:space="preserve">，</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为特征总数）。最终预测值为所有树的均值：</w:t>
      </w:r>
    </w:p>
    <w:p>
      <w:pPr>
        <w:tabs>
          <w:tab w:pos="8617" w:val="right"/>
        </w:tabs>
        <w:spacing w:line="312" w:lineRule="auto" w:before="0" w:after="0"/>
        <w:ind w:firstLine="0"/>
        <w:jc w:val="center"/>
      </w:pPr>
      <m:oMathPara>
        <m:oMathParaPr>
          <m:jc m:val="center"/>
        </m:oMathParaPr>
        <m:oMath>
          <m:acc>
            <m:accPr>
              <m:chr m:val="̂"/>
            </m:accPr>
            <m:e>
              <m:r>
                <m:t>f</m:t>
              </m:r>
            </m:e>
          </m:acc>
          <m:r>
            <m:rPr>
              <m:sty m:val="p"/>
            </m:rPr>
            <m:t>(</m:t>
          </m:r>
          <m:r>
            <m:rPr>
              <m:sty m:val="bi"/>
            </m:rP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h</m:t>
                  </m:r>
                </m:e>
                <m:sub>
                  <m:r>
                    <m:t>b</m:t>
                  </m:r>
                </m:sub>
              </m:sSub>
            </m:e>
          </m:nary>
          <m:r>
            <m:rPr>
              <m:sty m:val="p"/>
            </m:rPr>
            <m:t>(</m:t>
          </m:r>
          <m:r>
            <m:rPr>
              <m:sty m:val="bi"/>
            </m:rPr>
            <m:t>x</m:t>
          </m:r>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9</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决策树在每个节点上依据不纯度最小化原则选择最佳分裂。对于回归场景，常用均方误差（MSE）衡量节点不纯度。对于分类场景，则使用基尼不纯度（Gini</w:t>
      </w:r>
      <w:r>
        <w:rPr>
          <w:rFonts w:ascii="Times New Roman" w:hAnsi="Times New Roman" w:eastAsia="宋体"/>
          <w:b w:val="0"/>
          <w:sz w:val="21"/>
        </w:rPr>
        <w:t xml:space="preserve"> </w:t>
      </w:r>
      <w:r>
        <w:rPr>
          <w:rFonts w:hint="eastAsia" w:ascii="Times New Roman" w:hAnsi="Times New Roman" w:eastAsia="宋体"/>
          <w:b w:val="0"/>
          <w:sz w:val="21"/>
        </w:rPr>
        <w:t xml:space="preserve">Impurity）作为分裂准则，节点</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的基尼不纯度定义为：</w:t>
      </w:r>
    </w:p>
    <w:p>
      <w:pPr>
        <w:tabs>
          <w:tab w:pos="8617" w:val="right"/>
        </w:tabs>
        <w:spacing w:line="312" w:lineRule="auto" w:before="0" w:after="0"/>
        <w:ind w:firstLine="0"/>
        <w:jc w:val="center"/>
      </w:pPr>
      <m:oMathPara>
        <m:oMathParaPr>
          <m:jc m:val="center"/>
        </m:oMathParaPr>
        <m:oMath>
          <m:r>
            <m:t>G</m:t>
          </m:r>
          <m:r>
            <m:rPr>
              <m:sty m:val="p"/>
            </m:rPr>
            <m:t>(</m:t>
          </m:r>
          <m:r>
            <m:t>t</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10</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p</m:t>
            </m:r>
          </m:e>
          <m:sub>
            <m:r>
              <m:t>k</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为节点</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中第</w:t>
      </w:r>
      <w:r>
        <w:rPr>
          <w:rFonts w:ascii="Times New Roman" w:hAnsi="Times New Roman" w:eastAsia="宋体"/>
          <w:b w:val="0"/>
          <w:sz w:val="21"/>
        </w:rPr>
        <w:t xml:space="preserve"> </w:t>
      </w:r>
      <m:oMath>
        <m:r>
          <m:t>k</m:t>
        </m:r>
      </m:oMath>
      <w:r>
        <w:rPr>
          <w:rFonts w:ascii="Times New Roman" w:hAnsi="Times New Roman" w:eastAsia="宋体"/>
          <w:b w:val="0"/>
          <w:sz w:val="21"/>
        </w:rPr>
        <w:t xml:space="preserve"> </w:t>
      </w:r>
      <w:r>
        <w:rPr>
          <w:rFonts w:hint="eastAsia" w:ascii="Times New Roman" w:hAnsi="Times New Roman" w:eastAsia="宋体"/>
          <w:b w:val="0"/>
          <w:sz w:val="21"/>
        </w:rPr>
        <w:t xml:space="preserve">类样本的比例。特征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的全局重要性定义为该特征在所有树的所有节点上带来的加权不纯度下降之和：</w:t>
      </w:r>
    </w:p>
    <w:p>
      <w:pPr>
        <w:tabs>
          <w:tab w:pos="8617" w:val="right"/>
        </w:tabs>
        <w:spacing w:line="312" w:lineRule="auto" w:before="0" w:after="0"/>
        <w:ind w:firstLine="0"/>
        <w:jc w:val="center"/>
      </w:pPr>
      <m:oMathPara>
        <m:oMathParaPr>
          <m:jc m:val="center"/>
        </m:oMathParaPr>
        <m:oMath>
          <m:r>
            <m:rPr>
              <m:nor/>
              <m:sty m:val="p"/>
            </m:rPr>
            <m:t>Imp</m:t>
          </m:r>
          <m:r>
            <m:rPr>
              <m:sty m:val="p"/>
            </m:rPr>
            <m:t>(</m:t>
          </m:r>
          <m:r>
            <m:t>j</m:t>
          </m:r>
          <m:r>
            <m:rPr>
              <m:sty m:val="p"/>
            </m:rPr>
            <m:t>)</m:t>
          </m:r>
          <m:r>
            <m:rPr>
              <m:sty m:val="p"/>
            </m:rPr>
            <m:t>=</m:t>
          </m:r>
          <m:nary>
            <m:naryPr>
              <m:chr m:val="∑"/>
              <m:limLoc m:val="undOvr"/>
              <m:subHide m:val="off"/>
              <m:supHide m:val="off"/>
            </m:naryPr>
            <m:sub>
              <m:r>
                <m:t>b</m:t>
              </m:r>
              <m:r>
                <m:rPr>
                  <m:sty m:val="p"/>
                </m:rPr>
                <m:t>=</m:t>
              </m:r>
              <m:r>
                <m:t>1</m:t>
              </m:r>
            </m:sub>
            <m:sup>
              <m:r>
                <m:t>B</m:t>
              </m:r>
            </m:sup>
            <m:e>
              <m:nary>
                <m:naryPr>
                  <m:chr m:val="∑"/>
                  <m:limLoc m:val="undOvr"/>
                  <m:subHide m:val="off"/>
                  <m:supHide m:val="on"/>
                </m:naryPr>
                <m:sub>
                  <m:r>
                    <m:t>t</m:t>
                  </m:r>
                  <m:r>
                    <m:rPr>
                      <m:sty m:val="p"/>
                    </m:rPr>
                    <m:t>∈</m:t>
                  </m:r>
                  <m:sSub>
                    <m:e>
                      <m:r>
                        <m:t>T</m:t>
                      </m:r>
                    </m:e>
                    <m:sub>
                      <m:r>
                        <m:t>b</m:t>
                      </m:r>
                    </m:sub>
                  </m:sSub>
                </m:sub>
                <m:sup>
                  <m:r>
                    <m:t>​</m:t>
                  </m:r>
                </m:sup>
                <m:e>
                  <m:r>
                    <m:rPr>
                      <m:scr m:val="double-struck"/>
                      <m:sty m:val="p"/>
                    </m:rPr>
                    <m:t>1</m:t>
                  </m:r>
                </m:e>
              </m:nary>
            </m:e>
          </m:nary>
          <m:r>
            <m:rPr>
              <m:sty m:val="p"/>
            </m:rPr>
            <m:t>[</m:t>
          </m:r>
          <m:r>
            <m:t>v</m:t>
          </m:r>
          <m:r>
            <m:rPr>
              <m:sty m:val="p"/>
            </m:rPr>
            <m:t>(</m:t>
          </m:r>
          <m:r>
            <m:t>t</m:t>
          </m:r>
          <m:r>
            <m:rPr>
              <m:sty m:val="p"/>
            </m:rPr>
            <m:t>)</m:t>
          </m:r>
          <m:r>
            <m:rPr>
              <m:sty m:val="p"/>
            </m:rPr>
            <m:t>=</m:t>
          </m:r>
          <m:r>
            <m:t>j</m:t>
          </m:r>
          <m:r>
            <m:rPr>
              <m:sty m:val="p"/>
            </m:rPr>
            <m:t>]</m:t>
          </m:r>
          <m:r>
            <m:rPr>
              <m:sty m:val="p"/>
            </m:rPr>
            <m:t>⋅</m:t>
          </m:r>
          <m:r>
            <m:rPr>
              <m:sty m:val="p"/>
            </m:rPr>
            <m:t>Δ</m:t>
          </m:r>
          <m:r>
            <m:t>G</m:t>
          </m:r>
          <m:r>
            <m:rPr>
              <m:sty m:val="p"/>
            </m:rPr>
            <m:t>(</m:t>
          </m:r>
          <m:r>
            <m:t>t</m:t>
          </m:r>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T</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是第</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棵树的所有内部节点集合，</w:t>
      </w:r>
      <m:oMath>
        <m:r>
          <m:t>v</m:t>
        </m:r>
        <m:r>
          <m:rPr>
            <m:sty m:val="p"/>
          </m:rPr>
          <m:t>(</m:t>
        </m:r>
        <m: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为节点</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的分裂变量，</w:t>
      </w:r>
      <m:oMath>
        <m:r>
          <m:rPr>
            <m:sty m:val="p"/>
          </m:rPr>
          <m:t>Δ</m:t>
        </m:r>
        <m:r>
          <m:t>G</m:t>
        </m:r>
        <m:r>
          <m:rPr>
            <m:sty m:val="p"/>
          </m:rPr>
          <m:t>(</m:t>
        </m:r>
        <m: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为该节点分裂前后的不纯度下降值。</w:t>
      </w:r>
    </w:p>
    <w:p>
      <w:pPr>
        <w:spacing w:line="312" w:lineRule="auto" w:before="0" w:after="0"/>
        <w:ind w:firstLine="420"/>
        <w:jc w:val="both"/>
      </w:pPr>
      <w:r>
        <w:rPr>
          <w:rFonts w:hint="eastAsia" w:ascii="Times New Roman" w:hAnsi="Times New Roman" w:eastAsia="宋体"/>
          <w:b w:val="0"/>
          <w:sz w:val="21"/>
        </w:rPr>
        <w:t xml:space="preserve">与线性模型相比，随机森林无需预先设定变量之间的函数形式，能够自动刻画非线性关系和高阶交互。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回归中才显得”有用”，从而能够为基准回归中的核心解释变量地位提供补充证据。</w:t>
      </w:r>
    </w:p>
    <w:bookmarkEnd w:id="35"/>
    <w:bookmarkStart w:id="39" w:name="shap值解释方法"/>
    <w:p>
      <w:pPr>
        <w:pStyle w:val="31"/>
        <w:spacing w:line="312" w:lineRule="auto" w:before="0" w:after="0"/>
        <w:ind w:firstLine="420"/>
        <w:jc w:val="left"/>
      </w:pPr>
      <w:r>
        <w:rPr>
          <w:rFonts w:ascii="Times New Roman" w:hAnsi="Times New Roman" w:eastAsia="宋体"/>
          <w:b w:val="0"/>
          <w:sz w:val="24"/>
        </w:rPr>
        <w:t xml:space="preserve">3.5.3 </w:t>
      </w:r>
      <w:r>
        <w:rPr>
          <w:rFonts w:hint="eastAsia" w:ascii="Times New Roman" w:hAnsi="Times New Roman" w:eastAsia="宋体"/>
          <w:b w:val="0"/>
          <w:sz w:val="24"/>
        </w:rPr>
        <w:t xml:space="preserve">SHAP值解释方法</w:t>
      </w:r>
    </w:p>
    <w:p>
      <w:pPr>
        <w:spacing w:line="312" w:lineRule="auto" w:before="0" w:after="0"/>
        <w:ind w:firstLine="420"/>
        <w:jc w:val="both"/>
      </w:pPr>
      <w:r>
        <w:rPr>
          <w:rFonts w:hint="eastAsia" w:ascii="Times New Roman" w:hAnsi="Times New Roman" w:eastAsia="宋体"/>
          <w:b w:val="0"/>
          <w:sz w:val="21"/>
        </w:rPr>
        <w:t xml:space="preserve">基于基尼不纯度下降得到的随机森林特征重要性，更适合回答”哪个变量对整体预测贡献更大”，但无法直接刻画变量对预测值的边际带动方向和强弱。为补足这一点，本文进一步引入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exPlanations）做法，对随机森林模型在保留样本上的预测值做解释。</w:t>
      </w:r>
    </w:p>
    <w:p>
      <w:pPr>
        <w:spacing w:line="312" w:lineRule="auto" w:before="0" w:after="0"/>
        <w:ind w:firstLine="420"/>
        <w:jc w:val="both"/>
      </w:pPr>
      <w:r>
        <w:rPr>
          <w:rFonts w:ascii="Times New Roman" w:hAnsi="Times New Roman" w:eastAsia="宋体"/>
          <w:b w:val="0"/>
          <w:sz w:val="21"/>
        </w:rPr>
        <w:t xml:space="preserve">SHAP </w:t>
      </w:r>
      <w:r>
        <w:rPr>
          <w:rFonts w:hint="eastAsia" w:ascii="Times New Roman" w:hAnsi="Times New Roman" w:eastAsia="宋体"/>
          <w:b w:val="0"/>
          <w:sz w:val="21"/>
        </w:rPr>
        <w:t xml:space="preserve">模型源于合作博弈论中的</w:t>
      </w:r>
      <w:r>
        <w:rPr>
          <w:rFonts w:ascii="Times New Roman" w:hAnsi="Times New Roman" w:eastAsia="宋体"/>
          <w:b w:val="0"/>
          <w:sz w:val="21"/>
        </w:rPr>
        <w:t xml:space="preserve"> Shapley </w:t>
      </w:r>
      <w:r>
        <w:rPr>
          <w:rFonts w:hint="eastAsia" w:ascii="Times New Roman" w:hAnsi="Times New Roman" w:eastAsia="宋体"/>
          <w:b w:val="0"/>
          <w:sz w:val="21"/>
        </w:rPr>
        <w:t xml:space="preserve">值。对于包含</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个特征的模型</w:t>
      </w:r>
      <w:r>
        <w:rPr>
          <w:rFonts w:ascii="Times New Roman" w:hAnsi="Times New Roman" w:eastAsia="宋体"/>
          <w:b w:val="0"/>
          <w:sz w:val="21"/>
        </w:rPr>
        <w:t xml:space="preserve"> </w:t>
      </w:r>
      <m:oMath>
        <m:r>
          <m:t>f</m:t>
        </m:r>
      </m:oMath>
      <w:r>
        <w:rPr>
          <w:rFonts w:hint="eastAsia" w:ascii="Times New Roman" w:hAnsi="Times New Roman" w:eastAsia="宋体"/>
          <w:b w:val="0"/>
          <w:sz w:val="21"/>
        </w:rPr>
        <w:t xml:space="preserve">，特征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对第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个样本预测值的</w:t>
      </w:r>
      <w:r>
        <w:rPr>
          <w:rFonts w:ascii="Times New Roman" w:hAnsi="Times New Roman" w:eastAsia="宋体"/>
          <w:b w:val="0"/>
          <w:sz w:val="21"/>
        </w:rPr>
        <w:t xml:space="preserve"> SHAP </w:t>
      </w:r>
      <w:r>
        <w:rPr>
          <w:rFonts w:hint="eastAsia" w:ascii="Times New Roman" w:hAnsi="Times New Roman" w:eastAsia="宋体"/>
          <w:b w:val="0"/>
          <w:sz w:val="21"/>
        </w:rPr>
        <w:t xml:space="preserve">值定义为：</w:t>
      </w:r>
    </w:p>
    <w:p>
      <w:pPr>
        <w:tabs>
          <w:tab w:pos="8617" w:val="right"/>
        </w:tabs>
        <w:spacing w:line="312" w:lineRule="auto" w:before="0" w:after="0"/>
        <w:ind w:firstLine="0"/>
        <w:jc w:val="center"/>
      </w:pPr>
      <m:oMathPara>
        <m:oMathParaPr>
          <m:jc m:val="center"/>
        </m:oMathParaPr>
        <m:oMath>
          <m:sSub>
            <m:e>
              <m:r>
                <m:t>ϕ</m:t>
              </m:r>
            </m:e>
            <m:sub>
              <m:r>
                <m:t>j</m:t>
              </m:r>
            </m:sub>
          </m:sSub>
          <m:r>
            <m:rPr>
              <m:sty m:val="p"/>
            </m:rPr>
            <m:t>(</m:t>
          </m:r>
          <m:sSub>
            <m:e>
              <m:r>
                <m:rPr>
                  <m:sty m:val="bi"/>
                </m:rPr>
                <m:t>x</m:t>
              </m:r>
            </m:e>
            <m:sub>
              <m:r>
                <m:t>i</m:t>
              </m:r>
            </m:sub>
          </m:sSub>
          <m:r>
            <m:rPr>
              <m:sty m:val="p"/>
            </m:rPr>
            <m:t>)</m:t>
          </m:r>
          <m:r>
            <m:rPr>
              <m:sty m:val="p"/>
            </m:rPr>
            <m:t>=</m:t>
          </m:r>
          <m:nary>
            <m:naryPr>
              <m:chr m:val="∑"/>
              <m:limLoc m:val="undOvr"/>
              <m:subHide m:val="off"/>
              <m:supHide m:val="on"/>
            </m:naryPr>
            <m:sub>
              <m:r>
                <m:t>S</m:t>
              </m:r>
              <m:r>
                <m:rPr>
                  <m:sty m:val="p"/>
                </m:rPr>
                <m:t>⊆</m:t>
              </m:r>
              <m:r>
                <m:t>N</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t>p</m:t>
                  </m:r>
                  <m:r>
                    <m:rPr>
                      <m:sty m:val="p"/>
                    </m:rPr>
                    <m:t>−</m:t>
                  </m:r>
                  <m:r>
                    <m:rPr>
                      <m:sty m:val="p"/>
                    </m:rPr>
                    <m:t>|</m:t>
                  </m:r>
                  <m:r>
                    <m:t>S</m:t>
                  </m:r>
                  <m:r>
                    <m:rPr>
                      <m:sty m:val="p"/>
                    </m:rPr>
                    <m:t>|</m:t>
                  </m:r>
                  <m:r>
                    <m:rPr>
                      <m:sty m:val="p"/>
                    </m:rPr>
                    <m:t>−</m:t>
                  </m:r>
                  <m:r>
                    <m:t>1</m:t>
                  </m:r>
                  <m:r>
                    <m:rPr>
                      <m:sty m:val="p"/>
                    </m:rPr>
                    <m:t>)</m:t>
                  </m:r>
                  <m:r>
                    <m:rPr>
                      <m:sty m:val="p"/>
                    </m:rPr>
                    <m:t>!</m:t>
                  </m:r>
                </m:num>
                <m:den>
                  <m:r>
                    <m:t>p</m:t>
                  </m:r>
                  <m:r>
                    <m:rPr>
                      <m:sty m:val="p"/>
                    </m:rPr>
                    <m:t>!</m:t>
                  </m:r>
                </m:den>
              </m:f>
            </m:e>
          </m:nary>
          <m:d>
            <m:dPr>
              <m:begChr m:val="["/>
              <m:sepChr m:val=""/>
              <m:endChr m:val="]"/>
              <m:grow/>
            </m:dPr>
            <m:e>
              <m:sSub>
                <m:e>
                  <m:r>
                    <m:t>f</m:t>
                  </m:r>
                </m:e>
                <m:sub>
                  <m:r>
                    <m:t>S</m:t>
                  </m:r>
                  <m:r>
                    <m:rPr>
                      <m:sty m:val="p"/>
                    </m:rPr>
                    <m:t>∪</m:t>
                  </m:r>
                  <m:r>
                    <m:rPr>
                      <m:sty m:val="p"/>
                    </m:rPr>
                    <m:t>{</m:t>
                  </m:r>
                  <m:r>
                    <m:t>j</m:t>
                  </m:r>
                  <m:r>
                    <m:rPr>
                      <m:sty m:val="p"/>
                    </m:rPr>
                    <m:t>}</m:t>
                  </m:r>
                </m:sub>
              </m:sSub>
              <m:r>
                <m:rPr>
                  <m:sty m:val="p"/>
                </m:rPr>
                <m:t>(</m:t>
              </m:r>
              <m:sSub>
                <m:e>
                  <m:r>
                    <m:rPr>
                      <m:sty m:val="bi"/>
                    </m:rPr>
                    <m:t>x</m:t>
                  </m:r>
                </m:e>
                <m:sub>
                  <m:r>
                    <m:t>i</m:t>
                  </m:r>
                  <m:r>
                    <m:rPr>
                      <m:sty m:val="p"/>
                    </m:rPr>
                    <m:t>,</m:t>
                  </m:r>
                  <m:r>
                    <m:t>S</m:t>
                  </m:r>
                  <m:r>
                    <m:rPr>
                      <m:sty m:val="p"/>
                    </m:rPr>
                    <m:t>∪</m:t>
                  </m:r>
                  <m:r>
                    <m:rPr>
                      <m:sty m:val="p"/>
                    </m:rPr>
                    <m:t>{</m:t>
                  </m:r>
                  <m:r>
                    <m:t>j</m:t>
                  </m:r>
                  <m:r>
                    <m:rPr>
                      <m:sty m:val="p"/>
                    </m:rPr>
                    <m:t>}</m:t>
                  </m:r>
                </m:sub>
              </m:sSub>
              <m:r>
                <m:rPr>
                  <m:sty m:val="p"/>
                </m:rPr>
                <m:t>)</m:t>
              </m:r>
              <m:r>
                <m:rPr>
                  <m:sty m:val="p"/>
                </m:rPr>
                <m:t>−</m:t>
              </m:r>
              <m:sSub>
                <m:e>
                  <m:r>
                    <m:t>f</m:t>
                  </m:r>
                </m:e>
                <m:sub>
                  <m:r>
                    <m:t>S</m:t>
                  </m:r>
                </m:sub>
              </m:sSub>
              <m:r>
                <m:rPr>
                  <m:sty m:val="p"/>
                </m:rPr>
                <m:t>(</m:t>
              </m:r>
              <m:sSub>
                <m:e>
                  <m:r>
                    <m:rPr>
                      <m:sty m:val="bi"/>
                    </m:rPr>
                    <m:t>x</m:t>
                  </m:r>
                </m:e>
                <m:sub>
                  <m:r>
                    <m:t>i</m:t>
                  </m:r>
                  <m:r>
                    <m:rPr>
                      <m:sty m:val="p"/>
                    </m:rPr>
                    <m:t>,</m:t>
                  </m:r>
                  <m:r>
                    <m:t>S</m:t>
                  </m:r>
                </m:sub>
              </m:sSub>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t>N</m:t>
        </m:r>
        <m:r>
          <m:rPr>
            <m:sty m:val="p"/>
          </m:rPr>
          <m:t>=</m:t>
        </m:r>
        <m:r>
          <m:rPr>
            <m:sty m:val="p"/>
          </m:rPr>
          <m:t>{</m:t>
        </m:r>
        <m:r>
          <m:t>1</m:t>
        </m:r>
        <m:r>
          <m:rPr>
            <m:sty m:val="p"/>
          </m:rPr>
          <m:t>,</m:t>
        </m:r>
        <m:r>
          <m:t>2</m:t>
        </m:r>
        <m:r>
          <m:rPr>
            <m:sty m:val="p"/>
          </m:rPr>
          <m:t>,</m:t>
        </m:r>
        <m:r>
          <m:rPr>
            <m:sty m:val="p"/>
          </m:rPr>
          <m:t>…</m:t>
        </m:r>
        <m:r>
          <m:rPr>
            <m:sty m:val="p"/>
          </m:rPr>
          <m:t>,</m:t>
        </m:r>
        <m:r>
          <m:t>p</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为全部特征集合，</w:t>
      </w:r>
      <m:oMath>
        <m:r>
          <m:t>S</m:t>
        </m:r>
      </m:oMath>
      <w:r>
        <w:rPr>
          <w:rFonts w:ascii="Times New Roman" w:hAnsi="Times New Roman" w:eastAsia="宋体"/>
          <w:b w:val="0"/>
          <w:sz w:val="21"/>
        </w:rPr>
        <w:t xml:space="preserve"> </w:t>
      </w:r>
      <w:r>
        <w:rPr>
          <w:rFonts w:hint="eastAsia" w:ascii="Times New Roman" w:hAnsi="Times New Roman" w:eastAsia="宋体"/>
          <w:b w:val="0"/>
          <w:sz w:val="21"/>
        </w:rPr>
        <w:t xml:space="preserve">为不包含特征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的任一子集，</w:t>
      </w:r>
      <m:oMath>
        <m:sSub>
          <m:e>
            <m:r>
              <m:t>f</m:t>
            </m:r>
          </m:e>
          <m:sub>
            <m:r>
              <m:t>S</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表示仅使用特征子集</w:t>
      </w:r>
      <w:r>
        <w:rPr>
          <w:rFonts w:ascii="Times New Roman" w:hAnsi="Times New Roman" w:eastAsia="宋体"/>
          <w:b w:val="0"/>
          <w:sz w:val="21"/>
        </w:rPr>
        <w:t xml:space="preserve"> </w:t>
      </w:r>
      <m:oMath>
        <m:r>
          <m:t>S</m:t>
        </m:r>
      </m:oMath>
      <w:r>
        <w:rPr>
          <w:rFonts w:ascii="Times New Roman" w:hAnsi="Times New Roman" w:eastAsia="宋体"/>
          <w:b w:val="0"/>
          <w:sz w:val="21"/>
        </w:rPr>
        <w:t xml:space="preserve"> </w:t>
      </w:r>
      <w:r>
        <w:rPr>
          <w:rFonts w:hint="eastAsia" w:ascii="Times New Roman" w:hAnsi="Times New Roman" w:eastAsia="宋体"/>
          <w:b w:val="0"/>
          <w:sz w:val="21"/>
        </w:rPr>
        <w:t xml:space="preserve">时的模型期望预测。公式的直觉含义是：遍历特征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加入所有可能子集的顺序，计算其边际贡献的加权平均。SHAP</w:t>
      </w:r>
      <w:r>
        <w:rPr>
          <w:rFonts w:ascii="Times New Roman" w:hAnsi="Times New Roman" w:eastAsia="宋体"/>
          <w:b w:val="0"/>
          <w:sz w:val="21"/>
        </w:rPr>
        <w:t xml:space="preserve"> </w:t>
      </w:r>
      <w:r>
        <w:rPr>
          <w:rFonts w:hint="eastAsia" w:ascii="Times New Roman" w:hAnsi="Times New Roman" w:eastAsia="宋体"/>
          <w:b w:val="0"/>
          <w:sz w:val="21"/>
        </w:rPr>
        <w:t xml:space="preserve">值满足效率性（各特征</w:t>
      </w:r>
      <w:r>
        <w:rPr>
          <w:rFonts w:ascii="Times New Roman" w:hAnsi="Times New Roman" w:eastAsia="宋体"/>
          <w:b w:val="0"/>
          <w:sz w:val="21"/>
        </w:rPr>
        <w:t xml:space="preserve"> SHAP </w:t>
      </w:r>
      <w:r>
        <w:rPr>
          <w:rFonts w:hint="eastAsia" w:ascii="Times New Roman" w:hAnsi="Times New Roman" w:eastAsia="宋体"/>
          <w:b w:val="0"/>
          <w:sz w:val="21"/>
        </w:rPr>
        <w:t xml:space="preserve">值之和等于该样本预测值与基准预测值之差）、对称性和虚拟性等公理性质，是目前唯一满足这些性质的可加性解释做法。</w:t>
      </w:r>
    </w:p>
    <w:p>
      <w:pPr>
        <w:spacing w:line="312" w:lineRule="auto" w:before="0" w:after="0"/>
        <w:ind w:firstLine="420"/>
        <w:jc w:val="both"/>
      </w:pPr>
      <w:r>
        <w:rPr>
          <w:rFonts w:hint="eastAsia" w:ascii="Times New Roman" w:hAnsi="Times New Roman" w:eastAsia="宋体"/>
          <w:b w:val="0"/>
          <w:sz w:val="21"/>
        </w:rPr>
        <w:t xml:space="preserve">在实践中，衡量特征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全局重要性的指标为样本的平均绝对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w:t>
      </w:r>
    </w:p>
    <w:p>
      <w:pPr>
        <w:tabs>
          <w:tab w:pos="8617" w:val="right"/>
        </w:tabs>
        <w:spacing w:line="312" w:lineRule="auto" w:before="0" w:after="0"/>
        <w:ind w:firstLine="0"/>
        <w:jc w:val="center"/>
      </w:pPr>
      <m:oMathPara>
        <m:oMathParaPr>
          <m:jc m:val="center"/>
        </m:oMathParaPr>
        <m:oMath>
          <m:bar>
            <m:barPr>
              <m:pos m:val="top"/>
            </m:barPr>
            <m:e>
              <m:r>
                <m:rPr>
                  <m:sty m:val="p"/>
                </m:rPr>
                <m:t>|</m:t>
              </m:r>
              <m:sSub>
                <m:e>
                  <m:r>
                    <m:t>ϕ</m:t>
                  </m:r>
                </m:e>
                <m:sub>
                  <m:r>
                    <m:t>j</m:t>
                  </m:r>
                </m:sub>
              </m:sSub>
              <m:r>
                <m:rPr>
                  <m:sty m:val="p"/>
                </m:rPr>
                <m:t>|</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ϕ</m:t>
              </m:r>
            </m:e>
            <m:sub>
              <m:r>
                <m:t>j</m:t>
              </m:r>
            </m:sub>
          </m:sSub>
          <m:r>
            <m:rPr>
              <m:sty m:val="p"/>
            </m:rPr>
            <m:t>(</m:t>
          </m:r>
          <m:sSub>
            <m:e>
              <m:r>
                <m:rPr>
                  <m:sty m:val="bi"/>
                </m:rPr>
                <m:t>x</m:t>
              </m:r>
            </m:e>
            <m:sub>
              <m:r>
                <m:t>i</m:t>
              </m:r>
            </m:sub>
          </m:sSub>
          <m:r>
            <m:rPr>
              <m:sty m:val="p"/>
            </m:rPr>
            <m:t>)</m:t>
          </m:r>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该值越大，说明特征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对模型预测波动的平均边际贡献越强。SHAP</w:t>
      </w:r>
      <w:r>
        <w:rPr>
          <w:rFonts w:ascii="Times New Roman" w:hAnsi="Times New Roman" w:eastAsia="宋体"/>
          <w:b w:val="0"/>
          <w:sz w:val="21"/>
        </w:rPr>
        <w:t xml:space="preserve"> </w:t>
      </w:r>
      <w:r>
        <w:rPr>
          <w:rFonts w:hint="eastAsia" w:ascii="Times New Roman" w:hAnsi="Times New Roman" w:eastAsia="宋体"/>
          <w:b w:val="0"/>
          <w:sz w:val="21"/>
        </w:rPr>
        <w:t xml:space="preserve">在本文中主要用于复核：财政补贴变量的边际贡献排序，是否与随机森林基尼重要性的判断保持一致。</w:t>
      </w:r>
    </w:p>
    <w:bookmarkEnd w:id="36"/>
    <w:bookmarkStart w:id="40" w:name="lasso回归方法"/>
    <w:p>
      <w:pPr>
        <w:pStyle w:val="31"/>
        <w:spacing w:line="312" w:lineRule="auto" w:before="0" w:after="0"/>
        <w:ind w:firstLine="420"/>
        <w:jc w:val="left"/>
      </w:pPr>
      <w:r>
        <w:rPr>
          <w:rFonts w:ascii="Times New Roman" w:hAnsi="Times New Roman" w:eastAsia="宋体"/>
          <w:b w:val="0"/>
          <w:sz w:val="24"/>
        </w:rPr>
        <w:t xml:space="preserve">3.5.4 </w:t>
      </w:r>
      <w:r>
        <w:rPr>
          <w:rFonts w:hint="eastAsia" w:ascii="Times New Roman" w:hAnsi="Times New Roman" w:eastAsia="宋体"/>
          <w:b w:val="0"/>
          <w:sz w:val="24"/>
        </w:rPr>
        <w:t xml:space="preserve">Lasso回归方法</w:t>
      </w:r>
    </w:p>
    <w:p>
      <w:pPr>
        <w:spacing w:line="312" w:lineRule="auto" w:before="0" w:after="0"/>
        <w:ind w:firstLine="420"/>
        <w:jc w:val="both"/>
      </w:pPr>
      <w:r>
        <w:rPr>
          <w:rFonts w:hint="eastAsia" w:ascii="Times New Roman" w:hAnsi="Times New Roman" w:eastAsia="宋体"/>
          <w:b w:val="0"/>
          <w:sz w:val="21"/>
        </w:rPr>
        <w:t xml:space="preserve">Lasso（Least</w:t>
      </w:r>
      <w:r>
        <w:rPr>
          <w:rFonts w:ascii="Times New Roman" w:hAnsi="Times New Roman" w:eastAsia="宋体"/>
          <w:b w:val="0"/>
          <w:sz w:val="21"/>
        </w:rPr>
        <w:t xml:space="preserve"> Absolute Shrinkage and Selection </w:t>
      </w:r>
      <w:r>
        <w:rPr>
          <w:rFonts w:hint="eastAsia" w:ascii="Times New Roman" w:hAnsi="Times New Roman" w:eastAsia="宋体"/>
          <w:b w:val="0"/>
          <w:sz w:val="21"/>
        </w:rPr>
        <w:t xml:space="preserve">Operator）回归属于采用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正则化的线性回归模型。其目标函数在最小二乘损失的基础上加入绝对值惩罚项：</w:t>
      </w:r>
    </w:p>
    <w:p>
      <w:pPr>
        <w:tabs>
          <w:tab w:pos="8617" w:val="right"/>
        </w:tabs>
        <w:spacing w:line="312" w:lineRule="auto" w:before="0" w:after="0"/>
        <w:ind w:firstLine="0"/>
        <w:jc w:val="center"/>
      </w:pPr>
      <m:oMathPara>
        <m:oMathParaPr>
          <m:jc m:val="center"/>
        </m:oMathParaPr>
        <m:oMath>
          <m:sSup>
            <m:e>
              <m:acc>
                <m:accPr>
                  <m:chr m:val="̂"/>
                </m:accPr>
                <m:e>
                  <m:r>
                    <m:rPr>
                      <m:sty m:val="bi"/>
                    </m:rPr>
                    <m:t>β</m:t>
                  </m:r>
                </m:e>
              </m:acc>
            </m:e>
            <m:sup>
              <m:r>
                <m:rPr>
                  <m:nor/>
                  <m:sty m:val="p"/>
                </m:rPr>
                <m:t>Lasso</m:t>
              </m:r>
            </m:sup>
          </m:sSup>
          <m:r>
            <m:rPr>
              <m:sty m:val="p"/>
            </m:rPr>
            <m:t>=</m:t>
          </m:r>
          <m:r>
            <m:rPr>
              <m:sty m:val="p"/>
            </m:rPr>
            <m:t>arg</m:t>
          </m:r>
          <m:limLow>
            <m:e>
              <m:r>
                <m:rPr>
                  <m:sty m:val="p"/>
                </m:rPr>
                <m:t>min</m:t>
              </m:r>
            </m:e>
            <m:lim>
              <m:r>
                <m:rPr>
                  <m:sty m:val="bi"/>
                </m:rPr>
                <m:t>β</m:t>
              </m:r>
            </m:lim>
          </m:limLow>
          <m:d>
            <m:dPr>
              <m:begChr m:val="{"/>
              <m:sepChr m:val=""/>
              <m:endChr m:val="}"/>
              <m:grow/>
            </m:dPr>
            <m:e>
              <m:f>
                <m:fPr>
                  <m:type m:val="bar"/>
                </m:fPr>
                <m:num>
                  <m:r>
                    <m:t>1</m:t>
                  </m:r>
                </m:num>
                <m:den>
                  <m:r>
                    <m:t>2</m:t>
                  </m:r>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i"/>
                    </m:rPr>
                    <m:t>x</m:t>
                  </m:r>
                </m:e>
                <m:sub>
                  <m:r>
                    <m:t>i</m:t>
                  </m:r>
                </m:sub>
                <m:sup>
                  <m:r>
                    <m:rPr>
                      <m:sty m:val="p"/>
                    </m:rPr>
                    <m:t>′</m:t>
                  </m:r>
                </m:sup>
              </m:sSubSup>
              <m:r>
                <m:rPr>
                  <m:sty m:val="bi"/>
                </m:rPr>
                <m:t>β</m:t>
              </m:r>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t>λ</m:t>
        </m:r>
        <m:r>
          <m:rPr>
            <m:sty m:val="p"/>
          </m:rPr>
          <m: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为惩罚参数，控制正则化强度。当</w:t>
      </w:r>
      <w:r>
        <w:rPr>
          <w:rFonts w:ascii="Times New Roman" w:hAnsi="Times New Roman" w:eastAsia="宋体"/>
          <w:b w:val="0"/>
          <w:sz w:val="21"/>
        </w:rPr>
        <w:t xml:space="preserve"> </w:t>
      </w:r>
      <m:oMath>
        <m:r>
          <m:t>λ</m:t>
        </m:r>
        <m:r>
          <m:rPr>
            <m:sty m:val="p"/>
          </m:rPr>
          <m: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时退化为普通最小二乘（OLS）；随着</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增大，部分系数会被逐步压缩至零，从而实现自动变量筛选。</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惩罚的几何性质使得</w:t>
      </w:r>
      <w:r>
        <w:rPr>
          <w:rFonts w:ascii="Times New Roman" w:hAnsi="Times New Roman" w:eastAsia="宋体"/>
          <w:b w:val="0"/>
          <w:sz w:val="21"/>
        </w:rPr>
        <w:t xml:space="preserve"> Lasso </w:t>
      </w:r>
      <w:r>
        <w:rPr>
          <w:rFonts w:hint="eastAsia" w:ascii="Times New Roman" w:hAnsi="Times New Roman" w:eastAsia="宋体"/>
          <w:b w:val="0"/>
          <w:sz w:val="21"/>
        </w:rPr>
        <w:t xml:space="preserve">解更容易落在坐标轴上，这是它能够产生稀疏解的根本原因，也是其区别于岭回归（</w:t>
      </w:r>
      <m:oMath>
        <m:sSub>
          <m:e>
            <m:r>
              <m:t>L</m:t>
            </m:r>
          </m:e>
          <m:sub>
            <m:r>
              <m:t>2</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惩罚）的关键特征。</w:t>
      </w:r>
    </w:p>
    <w:p>
      <w:pPr>
        <w:spacing w:line="312" w:lineRule="auto" w:before="0" w:after="0"/>
        <w:ind w:firstLine="420"/>
        <w:jc w:val="both"/>
      </w:pPr>
      <w:r>
        <w:rPr>
          <w:rFonts w:hint="eastAsia" w:ascii="Times New Roman" w:hAnsi="Times New Roman" w:eastAsia="宋体"/>
          <w:b w:val="0"/>
          <w:sz w:val="21"/>
        </w:rPr>
        <w:t xml:space="preserve">惩罚参数</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的选取通过按公司分组的交叉验证（GroupKFold）确定，选择使验证集均方误差最小的</w:t>
      </w:r>
      <w:r>
        <w:rPr>
          <w:rFonts w:ascii="Times New Roman" w:hAnsi="Times New Roman" w:eastAsia="宋体"/>
          <w:b w:val="0"/>
          <w:sz w:val="21"/>
        </w:rPr>
        <w:t xml:space="preserve"> </w:t>
      </w:r>
      <m:oMath>
        <m:sSup>
          <m:e>
            <m:r>
              <m:t>λ</m:t>
            </m:r>
          </m:e>
          <m:sup>
            <m:r>
              <m:rPr>
                <m:sty m:val="p"/>
              </m:rPr>
              <m:t>*</m:t>
            </m:r>
          </m:sup>
        </m:sSup>
      </m:oMath>
      <w:r>
        <w:rPr>
          <w:rFonts w:hint="eastAsia" w:ascii="Times New Roman" w:hAnsi="Times New Roman" w:eastAsia="宋体"/>
          <w:b w:val="0"/>
          <w:sz w:val="21"/>
        </w:rPr>
        <w:t xml:space="preserve">。在进入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之前，所有连续型特征均通过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做零均值、单位方差标准化，以消除量纲差异对惩罚项的改变。</w:t>
      </w:r>
    </w:p>
    <w:p>
      <w:pPr>
        <w:spacing w:line="312" w:lineRule="auto" w:before="0" w:after="0"/>
        <w:ind w:firstLine="420"/>
        <w:jc w:val="both"/>
      </w:pPr>
      <w:r>
        <w:rPr>
          <w:rFonts w:hint="eastAsia" w:ascii="Times New Roman" w:hAnsi="Times New Roman" w:eastAsia="宋体"/>
          <w:b w:val="0"/>
          <w:sz w:val="21"/>
        </w:rPr>
        <w:t xml:space="preserve">本文引入</w:t>
      </w:r>
      <w:r>
        <w:rPr>
          <w:rFonts w:ascii="Times New Roman" w:hAnsi="Times New Roman" w:eastAsia="宋体"/>
          <w:b w:val="0"/>
          <w:sz w:val="21"/>
        </w:rPr>
        <w:t xml:space="preserve"> Lasso </w:t>
      </w:r>
      <w:r>
        <w:rPr>
          <w:rFonts w:hint="eastAsia" w:ascii="Times New Roman" w:hAnsi="Times New Roman" w:eastAsia="宋体"/>
          <w:b w:val="0"/>
          <w:sz w:val="21"/>
        </w:rPr>
        <w:t xml:space="preserve">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在正则化筛选下是否会被压缩为0，以及其系数方向是否仍与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更适合回答”在多个候选特征同时竞争时，财政补贴变量是否仍会被保留”这一疑问，同时也有助于缓解多重共线性带来的不稳定估计。</w:t>
      </w:r>
    </w:p>
    <w:bookmarkEnd w:id="37"/>
    <w:bookmarkStart w:id="41" w:name="xgboost方法"/>
    <w:p>
      <w:pPr>
        <w:pStyle w:val="31"/>
        <w:spacing w:line="312" w:lineRule="auto" w:before="0" w:after="0"/>
        <w:ind w:firstLine="420"/>
        <w:jc w:val="left"/>
      </w:pPr>
      <w:r>
        <w:rPr>
          <w:rFonts w:ascii="Times New Roman" w:hAnsi="Times New Roman" w:eastAsia="宋体"/>
          <w:b w:val="0"/>
          <w:sz w:val="24"/>
        </w:rPr>
        <w:t xml:space="preserve">3.5.5 </w:t>
      </w:r>
      <w:r>
        <w:rPr>
          <w:rFonts w:hint="eastAsia" w:ascii="Times New Roman" w:hAnsi="Times New Roman" w:eastAsia="宋体"/>
          <w:b w:val="0"/>
          <w:sz w:val="24"/>
        </w:rPr>
        <w:t xml:space="preserve">XGBoost方法</w:t>
      </w:r>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思想的集成树模型。与随机森林的并行训练不同，XGBoost</w:t>
      </w:r>
      <w:r>
        <w:rPr>
          <w:rFonts w:ascii="Times New Roman" w:hAnsi="Times New Roman" w:eastAsia="宋体"/>
          <w:b w:val="0"/>
          <w:sz w:val="21"/>
        </w:rPr>
        <w:t xml:space="preserve"> </w:t>
      </w:r>
      <w:r>
        <w:rPr>
          <w:rFonts w:hint="eastAsia" w:ascii="Times New Roman" w:hAnsi="Times New Roman" w:eastAsia="宋体"/>
          <w:b w:val="0"/>
          <w:sz w:val="21"/>
        </w:rPr>
        <w:t xml:space="preserve">采用前向逐步加法路径（Forward</w:t>
      </w:r>
      <w:r>
        <w:rPr>
          <w:rFonts w:ascii="Times New Roman" w:hAnsi="Times New Roman" w:eastAsia="宋体"/>
          <w:b w:val="0"/>
          <w:sz w:val="21"/>
        </w:rPr>
        <w:t xml:space="preserve"> Stagewise Additive </w:t>
      </w:r>
      <w:r>
        <w:rPr>
          <w:rFonts w:hint="eastAsia" w:ascii="Times New Roman" w:hAnsi="Times New Roman" w:eastAsia="宋体"/>
          <w:b w:val="0"/>
          <w:sz w:val="21"/>
        </w:rPr>
        <w:t xml:space="preserve">Modeling）：第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轮的模型在前</w:t>
      </w:r>
      <w:r>
        <w:rPr>
          <w:rFonts w:ascii="Times New Roman" w:hAnsi="Times New Roman" w:eastAsia="宋体"/>
          <w:b w:val="0"/>
          <w:sz w:val="21"/>
        </w:rPr>
        <w:t xml:space="preserve"> </w:t>
      </w:r>
      <m:oMath>
        <m:r>
          <m:t>t</m:t>
        </m:r>
        <m:r>
          <m:rPr>
            <m:sty m:val="p"/>
          </m:rPr>
          <m:t>−</m:t>
        </m:r>
        <m:r>
          <m:t>1</m:t>
        </m:r>
      </m:oMath>
      <w:r>
        <w:rPr>
          <w:rFonts w:ascii="Times New Roman" w:hAnsi="Times New Roman" w:eastAsia="宋体"/>
          <w:b w:val="0"/>
          <w:sz w:val="21"/>
        </w:rPr>
        <w:t xml:space="preserve"> </w:t>
      </w:r>
      <w:r>
        <w:rPr>
          <w:rFonts w:hint="eastAsia" w:ascii="Times New Roman" w:hAnsi="Times New Roman" w:eastAsia="宋体"/>
          <w:b w:val="0"/>
          <w:sz w:val="21"/>
        </w:rPr>
        <w:t xml:space="preserve">轮的累积预测基础上拟合残差，逐步改进对目标变量的刻画。设模型经过</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轮更新后的预测值为：</w:t>
      </w:r>
    </w:p>
    <w:p>
      <w:pPr>
        <w:tabs>
          <w:tab w:pos="8617" w:val="right"/>
        </w:tabs>
        <w:spacing w:line="312" w:lineRule="auto" w:before="0" w:after="0"/>
        <w:ind w:firstLine="0"/>
        <w:jc w:val="center"/>
      </w:pPr>
      <m:oMathPara>
        <m:oMathParaPr>
          <m:jc m:val="center"/>
        </m:oMathParaPr>
        <m:oMath>
          <m:sSub>
            <m:e>
              <m:acc>
                <m:accPr>
                  <m:chr m:val="̂"/>
                </m:accPr>
                <m:e>
                  <m:r>
                    <m:t>y</m:t>
                  </m:r>
                </m:e>
              </m:acc>
            </m:e>
            <m:sub>
              <m:r>
                <m:t>i</m:t>
              </m:r>
            </m:sub>
          </m:sSub>
          <m:r>
            <m:rPr>
              <m:sty m:val="p"/>
            </m:rPr>
            <m:t>=</m:t>
          </m:r>
          <m:nary>
            <m:naryPr>
              <m:chr m:val="∑"/>
              <m:limLoc m:val="undOvr"/>
              <m:subHide m:val="off"/>
              <m:supHide m:val="off"/>
            </m:naryPr>
            <m:sub>
              <m:r>
                <m:t>t</m:t>
              </m:r>
              <m:r>
                <m:rPr>
                  <m:sty m:val="p"/>
                </m:rPr>
                <m:t>=</m:t>
              </m:r>
              <m:r>
                <m:t>1</m:t>
              </m:r>
            </m:sub>
            <m:sup>
              <m:r>
                <m:t>T</m:t>
              </m:r>
            </m:sup>
            <m:e>
              <m:sSub>
                <m:e>
                  <m:r>
                    <m:t>f</m:t>
                  </m:r>
                </m:e>
                <m:sub>
                  <m:r>
                    <m:t>t</m:t>
                  </m:r>
                </m:sub>
              </m:sSub>
            </m:e>
          </m:nary>
          <m:r>
            <m:rPr>
              <m:sty m:val="p"/>
            </m:rPr>
            <m:t>(</m:t>
          </m:r>
          <m:sSub>
            <m:e>
              <m:r>
                <m:rPr>
                  <m:sty m:val="bi"/>
                </m:rPr>
                <m:t>x</m:t>
              </m:r>
            </m:e>
            <m:sub>
              <m:r>
                <m:t>i</m:t>
              </m:r>
            </m:sub>
          </m:sSub>
          <m:r>
            <m:rPr>
              <m:sty m:val="p"/>
            </m:rPr>
            <m:t>)</m:t>
          </m:r>
          <m:r>
            <m:rPr>
              <m:sty m:val="p"/>
            </m:rPr>
            <m:t>,</m:t>
          </m:r>
          <m:r>
            <m:t> </m:t>
          </m:r>
          <m:sSub>
            <m:e>
              <m:r>
                <m:t>f</m:t>
              </m:r>
            </m:e>
            <m:sub>
              <m:r>
                <m:t>t</m:t>
              </m:r>
            </m:sub>
          </m:sSub>
          <m:r>
            <m:rPr>
              <m:sty m:val="p"/>
            </m:rPr>
            <m:t>∈</m:t>
          </m:r>
          <m:r>
            <m:rPr>
              <m:scr m:val="script"/>
              <m:sty m:val="p"/>
            </m:rPr>
            <m:t>F</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rPr>
            <m:scr m:val="script"/>
            <m:sty m:val="p"/>
          </m:rPr>
          <m:t>F</m:t>
        </m:r>
      </m:oMath>
      <w:r>
        <w:rPr>
          <w:rFonts w:ascii="Times New Roman" w:hAnsi="Times New Roman" w:eastAsia="宋体"/>
          <w:b w:val="0"/>
          <w:sz w:val="21"/>
        </w:rPr>
        <w:t xml:space="preserve"> </w:t>
      </w:r>
      <w:r>
        <w:rPr>
          <w:rFonts w:hint="eastAsia" w:ascii="Times New Roman" w:hAnsi="Times New Roman" w:eastAsia="宋体"/>
          <w:b w:val="0"/>
          <w:sz w:val="21"/>
        </w:rPr>
        <w:t xml:space="preserve">为所有回归树构成的函数空间。第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轮新增的树</w:t>
      </w:r>
      <w:r>
        <w:rPr>
          <w:rFonts w:ascii="Times New Roman" w:hAnsi="Times New Roman" w:eastAsia="宋体"/>
          <w:b w:val="0"/>
          <w:sz w:val="21"/>
        </w:rPr>
        <w:t xml:space="preserve"> </w:t>
      </w:r>
      <m:oMath>
        <m:sSub>
          <m:e>
            <m:r>
              <m:t>f</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通过最小化以下正则化目标函数来确定：</w:t>
      </w:r>
    </w:p>
    <w:p>
      <w:pPr>
        <w:tabs>
          <w:tab w:pos="8617" w:val="right"/>
        </w:tabs>
        <w:spacing w:line="312" w:lineRule="auto" w:before="0" w:after="0"/>
        <w:ind w:firstLine="0"/>
        <w:jc w:val="center"/>
      </w:pPr>
      <m:oMathPara>
        <m:oMathParaPr>
          <m:jc m:val="center"/>
        </m:oMathParaPr>
        <m:oMath>
          <m:sSup>
            <m:e>
              <m:r>
                <m:rPr>
                  <m:scr m:val="script"/>
                  <m:sty m:val="p"/>
                </m:rPr>
                <m:t>L</m:t>
              </m:r>
            </m:e>
            <m:sup>
              <m:r>
                <m:rPr>
                  <m:sty m:val="p"/>
                </m:rPr>
                <m:t>(</m:t>
              </m:r>
              <m:r>
                <m:t>t</m:t>
              </m:r>
              <m:r>
                <m:rPr>
                  <m:sty m:val="p"/>
                </m:rPr>
                <m:t>)</m:t>
              </m:r>
            </m:sup>
          </m:sSup>
          <m:r>
            <m:rPr>
              <m:sty m:val="p"/>
            </m:rPr>
            <m:t>=</m:t>
          </m:r>
          <m:nary>
            <m:naryPr>
              <m:chr m:val="∑"/>
              <m:limLoc m:val="undOvr"/>
              <m:subHide m:val="off"/>
              <m:supHide m:val="off"/>
            </m:naryPr>
            <m:sub>
              <m:r>
                <m:t>i</m:t>
              </m:r>
              <m:r>
                <m:rPr>
                  <m:sty m:val="p"/>
                </m:rPr>
                <m:t>=</m:t>
              </m:r>
              <m:r>
                <m:t>1</m:t>
              </m:r>
            </m:sub>
            <m:sup>
              <m:r>
                <m:t>n</m:t>
              </m:r>
            </m:sup>
            <m:e>
              <m:r>
                <m:t>l</m:t>
              </m:r>
            </m:e>
          </m:nary>
          <m:d>
            <m:dPr>
              <m:begChr m:val="("/>
              <m:sepChr m:val=""/>
              <m:endChr m:val=")"/>
              <m:grow/>
            </m:dPr>
            <m:e>
              <m:sSub>
                <m:e>
                  <m:r>
                    <m:t>y</m:t>
                  </m:r>
                </m:e>
                <m:sub>
                  <m:r>
                    <m:t>i</m:t>
                  </m:r>
                </m:sub>
              </m:sSub>
              <m:r>
                <m:rPr>
                  <m:sty m:val="p"/>
                </m:rPr>
                <m:t>,</m:t>
              </m:r>
              <m:sSubSup>
                <m:e>
                  <m:acc>
                    <m:accPr>
                      <m:chr m:val="̂"/>
                    </m:accPr>
                    <m:e>
                      <m:r>
                        <m:t>y</m:t>
                      </m:r>
                    </m:e>
                  </m:acc>
                </m:e>
                <m:sub>
                  <m:r>
                    <m:t>i</m:t>
                  </m:r>
                </m:sub>
                <m:sup>
                  <m:r>
                    <m:rPr>
                      <m:sty m:val="p"/>
                    </m:rPr>
                    <m:t>(</m:t>
                  </m:r>
                  <m:r>
                    <m:t>t</m:t>
                  </m:r>
                  <m:r>
                    <m:rPr>
                      <m:sty m:val="p"/>
                    </m:rPr>
                    <m:t>−</m:t>
                  </m:r>
                  <m:r>
                    <m:t>1</m:t>
                  </m:r>
                  <m:r>
                    <m:rPr>
                      <m:sty m:val="p"/>
                    </m:rPr>
                    <m:t>)</m:t>
                  </m:r>
                </m:sup>
              </m:sSubSup>
              <m:r>
                <m:rPr>
                  <m:sty m:val="p"/>
                </m:rPr>
                <m:t>+</m:t>
              </m:r>
              <m:sSub>
                <m:e>
                  <m:r>
                    <m:t>f</m:t>
                  </m:r>
                </m:e>
                <m:sub>
                  <m:r>
                    <m:t>t</m:t>
                  </m:r>
                </m:sub>
              </m:sSub>
              <m:r>
                <m:rPr>
                  <m:sty m:val="p"/>
                </m:rPr>
                <m:t>(</m:t>
              </m:r>
              <m:sSub>
                <m:e>
                  <m:r>
                    <m:rPr>
                      <m:sty m:val="bi"/>
                    </m:rPr>
                    <m:t>x</m:t>
                  </m:r>
                </m:e>
                <m:sub>
                  <m:r>
                    <m:t>i</m:t>
                  </m:r>
                </m:sub>
              </m:sSub>
              <m:r>
                <m:rPr>
                  <m:sty m:val="p"/>
                </m:rPr>
                <m:t>)</m:t>
              </m:r>
            </m:e>
          </m:d>
          <m:r>
            <m:rPr>
              <m:sty m:val="p"/>
            </m:rPr>
            <m:t>+</m:t>
          </m:r>
          <m:r>
            <m:rPr>
              <m:sty m:val="p"/>
            </m:rPr>
            <m:t>Ω</m:t>
          </m:r>
          <m:r>
            <m:rPr>
              <m:sty m:val="p"/>
            </m:rPr>
            <m:t>(</m:t>
          </m:r>
          <m:sSub>
            <m:e>
              <m:r>
                <m:t>f</m:t>
              </m:r>
            </m:e>
            <m:sub>
              <m:r>
                <m:t>t</m:t>
              </m:r>
            </m:sub>
          </m:sSub>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t>l</m:t>
        </m:r>
        <m:r>
          <m:rPr>
            <m:sty m:val="p"/>
          </m:rPr>
          <m:t>(</m:t>
        </m:r>
        <m:r>
          <m:rPr>
            <m:sty m:val="p"/>
          </m:rPr>
          <m:t>⋅</m:t>
        </m:r>
        <m:r>
          <m:rPr>
            <m:sty m:val="p"/>
          </m:rPr>
          <m:t>,</m:t>
        </m:r>
        <m:r>
          <m:rPr>
            <m:sty m:val="p"/>
          </m:rPr>
          <m: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为损失函数（回归疑问通常取均方误差），</w:t>
      </w:r>
      <m:oMath>
        <m:sSubSup>
          <m:e>
            <m:acc>
              <m:accPr>
                <m:chr m:val="̂"/>
              </m:accPr>
              <m:e>
                <m:r>
                  <m:t>y</m:t>
                </m:r>
              </m:e>
            </m:acc>
          </m:e>
          <m:sub>
            <m:r>
              <m:t>i</m:t>
            </m:r>
          </m:sub>
          <m:sup>
            <m:r>
              <m:rPr>
                <m:sty m:val="p"/>
              </m:rPr>
              <m:t>(</m:t>
            </m:r>
            <m:r>
              <m:t>t</m:t>
            </m:r>
            <m:r>
              <m:rPr>
                <m:sty m:val="p"/>
              </m:rPr>
              <m:t>−</m:t>
            </m:r>
            <m:r>
              <m:t>1</m:t>
            </m:r>
            <m:r>
              <m:rPr>
                <m:sty m:val="p"/>
              </m:rPr>
              <m:t>)</m:t>
            </m:r>
          </m:sup>
        </m:sSubSup>
      </m:oMath>
      <w:r>
        <w:rPr>
          <w:rFonts w:ascii="Times New Roman" w:hAnsi="Times New Roman" w:eastAsia="宋体"/>
          <w:b w:val="0"/>
          <w:sz w:val="21"/>
        </w:rPr>
        <w:t xml:space="preserve"> </w:t>
      </w:r>
      <w:r>
        <w:rPr>
          <w:rFonts w:hint="eastAsia" w:ascii="Times New Roman" w:hAnsi="Times New Roman" w:eastAsia="宋体"/>
          <w:b w:val="0"/>
          <w:sz w:val="21"/>
        </w:rPr>
        <w:t xml:space="preserve">为前</w:t>
      </w:r>
      <w:r>
        <w:rPr>
          <w:rFonts w:ascii="Times New Roman" w:hAnsi="Times New Roman" w:eastAsia="宋体"/>
          <w:b w:val="0"/>
          <w:sz w:val="21"/>
        </w:rPr>
        <w:t xml:space="preserve"> </w:t>
      </w:r>
      <m:oMath>
        <m:r>
          <m:t>t</m:t>
        </m:r>
        <m:r>
          <m:rPr>
            <m:sty m:val="p"/>
          </m:rPr>
          <m:t>−</m:t>
        </m:r>
        <m:r>
          <m:t>1</m:t>
        </m:r>
      </m:oMath>
      <w:r>
        <w:rPr>
          <w:rFonts w:ascii="Times New Roman" w:hAnsi="Times New Roman" w:eastAsia="宋体"/>
          <w:b w:val="0"/>
          <w:sz w:val="21"/>
        </w:rPr>
        <w:t xml:space="preserve"> </w:t>
      </w:r>
      <w:r>
        <w:rPr>
          <w:rFonts w:hint="eastAsia" w:ascii="Times New Roman" w:hAnsi="Times New Roman" w:eastAsia="宋体"/>
          <w:b w:val="0"/>
          <w:sz w:val="21"/>
        </w:rPr>
        <w:t xml:space="preserve">轮的累积预测，</w:t>
      </w:r>
      <m:oMath>
        <m:r>
          <m:rPr>
            <m:sty m:val="p"/>
          </m:rPr>
          <m:t>Ω</m:t>
        </m:r>
        <m:r>
          <m:rPr>
            <m:sty m:val="p"/>
          </m:rPr>
          <m:t>(</m:t>
        </m:r>
        <m:sSub>
          <m:e>
            <m:r>
              <m:t>f</m:t>
            </m:r>
          </m:e>
          <m:sub>
            <m:r>
              <m:t>t</m:t>
            </m:r>
          </m:sub>
        </m:sSub>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为正则化项，定义为：</w:t>
      </w:r>
    </w:p>
    <w:p>
      <w:pPr>
        <w:tabs>
          <w:tab w:pos="8617" w:val="right"/>
        </w:tabs>
        <w:spacing w:line="312" w:lineRule="auto" w:before="0" w:after="0"/>
        <w:ind w:firstLine="0"/>
        <w:jc w:val="center"/>
      </w:pPr>
      <m:oMathPara>
        <m:oMathParaPr>
          <m:jc m:val="center"/>
        </m:oMathParaPr>
        <m:oMath>
          <m:r>
            <m:rPr>
              <m:sty m:val="p"/>
            </m:rPr>
            <m:t>Ω</m:t>
          </m:r>
          <m:r>
            <m:rPr>
              <m:sty m:val="p"/>
            </m:rPr>
            <m:t>(</m:t>
          </m:r>
          <m:sSub>
            <m:e>
              <m:r>
                <m:t>f</m:t>
              </m:r>
            </m:e>
            <m:sub>
              <m:r>
                <m:t>t</m:t>
              </m:r>
            </m:sub>
          </m:sSub>
          <m:r>
            <m:rPr>
              <m:sty m:val="p"/>
            </m:rPr>
            <m:t>)</m:t>
          </m:r>
          <m:r>
            <m:rPr>
              <m:sty m:val="p"/>
            </m:rPr>
            <m:t>=</m:t>
          </m:r>
          <m:r>
            <m:t>γ</m:t>
          </m:r>
          <m:sSub>
            <m:e>
              <m:r>
                <m:t>T</m:t>
              </m:r>
            </m:e>
            <m:sub>
              <m:r>
                <m:rPr>
                  <m:nor/>
                  <m:sty m:val="p"/>
                </m:rPr>
                <m:t>leaf</m:t>
              </m:r>
            </m:sub>
          </m:sSub>
          <m:r>
            <m:rPr>
              <m:sty m:val="p"/>
            </m:rPr>
            <m:t>+</m:t>
          </m:r>
          <m:f>
            <m:fPr>
              <m:type m:val="bar"/>
            </m:fPr>
            <m:num>
              <m:r>
                <m:t>1</m:t>
              </m:r>
            </m:num>
            <m:den>
              <m:r>
                <m:t>2</m:t>
              </m:r>
            </m:den>
          </m:f>
          <m:r>
            <m:t>λ</m:t>
          </m:r>
          <m:nary>
            <m:naryPr>
              <m:chr m:val="∑"/>
              <m:limLoc m:val="undOvr"/>
              <m:subHide m:val="off"/>
              <m:supHide m:val="off"/>
            </m:naryPr>
            <m:sub>
              <m:r>
                <m:t>j</m:t>
              </m:r>
              <m:r>
                <m:rPr>
                  <m:sty m:val="p"/>
                </m:rPr>
                <m:t>=</m:t>
              </m:r>
              <m:r>
                <m:t>1</m:t>
              </m:r>
            </m:sub>
            <m:sup>
              <m:sSub>
                <m:e>
                  <m:r>
                    <m:t>T</m:t>
                  </m:r>
                </m:e>
                <m:sub>
                  <m:r>
                    <m:rPr>
                      <m:nor/>
                      <m:sty m:val="p"/>
                    </m:rPr>
                    <m:t>leaf</m:t>
                  </m:r>
                </m:sub>
              </m:sSub>
            </m:sup>
            <m:e>
              <m:sSubSup>
                <m:e>
                  <m:r>
                    <m:t>w</m:t>
                  </m:r>
                </m:e>
                <m:sub>
                  <m:r>
                    <m:t>j</m:t>
                  </m:r>
                </m:sub>
                <m:sup>
                  <m:r>
                    <m:t>2</m:t>
                  </m:r>
                </m:sup>
              </m:sSubSup>
            </m:e>
          </m:nary>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T</m:t>
            </m:r>
          </m:e>
          <m:sub>
            <m:r>
              <m:rPr>
                <m:nor/>
                <m:sty m:val="p"/>
              </m:rPr>
              <m:t>leaf</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为树的叶节点数，</w:t>
      </w:r>
      <m:oMath>
        <m:sSub>
          <m:e>
            <m:r>
              <m:t>w</m:t>
            </m:r>
          </m:e>
          <m:sub>
            <m:r>
              <m:t>j</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为第</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个叶节点的预测权重，</w:t>
      </w:r>
      <m:oMath>
        <m:r>
          <m:t>γ</m:t>
        </m:r>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分别控制树的复杂度惩罚和叶节点权重的</w:t>
      </w:r>
      <w:r>
        <w:rPr>
          <w:rFonts w:ascii="Times New Roman" w:hAnsi="Times New Roman" w:eastAsia="宋体"/>
          <w:b w:val="0"/>
          <w:sz w:val="21"/>
        </w:rPr>
        <w:t xml:space="preserve"> </w:t>
      </w:r>
      <m:oMath>
        <m:sSub>
          <m:e>
            <m:r>
              <m:t>L</m:t>
            </m:r>
          </m:e>
          <m:sub>
            <m:r>
              <m:t>2</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正则化强度。通过对损失函数做二阶泰勒展开，XGBoost</w:t>
      </w:r>
      <w:r>
        <w:rPr>
          <w:rFonts w:ascii="Times New Roman" w:hAnsi="Times New Roman" w:eastAsia="宋体"/>
          <w:b w:val="0"/>
          <w:sz w:val="21"/>
        </w:rPr>
        <w:t xml:space="preserve"> </w:t>
      </w:r>
      <w:r>
        <w:rPr>
          <w:rFonts w:hint="eastAsia" w:ascii="Times New Roman" w:hAnsi="Times New Roman" w:eastAsia="宋体"/>
          <w:b w:val="0"/>
          <w:sz w:val="21"/>
        </w:rPr>
        <w:t xml:space="preserve">能够高效求解每一轮的最优树结构和叶节点权重，同时正则化项有效抑制了过拟合。</w:t>
      </w:r>
    </w:p>
    <w:p>
      <w:pPr>
        <w:spacing w:line="312" w:lineRule="auto" w:before="0" w:after="0"/>
        <w:ind w:firstLine="420"/>
        <w:jc w:val="both"/>
      </w:pPr>
      <w:r>
        <w:rPr>
          <w:rFonts w:hint="eastAsia" w:ascii="Times New Roman" w:hAnsi="Times New Roman" w:eastAsia="宋体"/>
          <w:b w:val="0"/>
          <w:sz w:val="21"/>
        </w:rPr>
        <w:t xml:space="preserve">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的序贯拟合通道往往更适合刻画复杂非线性结构，这里将其作为观察财政补贴局部趋势的主要树模型。对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的解读不再放在整体拟合优度谁更高，而是落在两个更贴近基准回归的议题上：一是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在特征重要性中是否仍排在前列；二是财政补贴的部分依赖图（Partial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是否呈现总体上升的局部趋势。部分依赖图通过固定目标特征取值、对其余特征取样本均值来刻画单一变量的边际效应模式。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w:t>
      </w:r>
    </w:p>
    <w:bookmarkEnd w:id="38"/>
    <w:bookmarkEnd w:id="39"/>
    <w:bookmarkEnd w:id="40"/>
    <w:bookmarkStart w:id="42" w:name="第四章-实证分析"/>
    <w:p>
      <w:pPr>
        <w:pStyle w:val="1"/>
        <w:pageBreakBefore/>
        <w:spacing w:line="312" w:lineRule="auto" w:before="0" w:after="0"/>
        <w:ind w:firstLine="0"/>
        <w:jc w:val="center"/>
      </w:pPr>
      <w:bookmarkStart w:id="90" w:name="_TocAuto0016"/>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90"/>
    </w:p>
    <w:bookmarkStart w:id="43" w:name="描述性统计"/>
    <w:p>
      <w:pPr>
        <w:pStyle w:val="2"/>
        <w:spacing w:line="312" w:lineRule="auto" w:before="0" w:after="0"/>
        <w:ind w:firstLine="0"/>
        <w:jc w:val="left"/>
      </w:pPr>
      <w:bookmarkStart w:id="91" w:name="_TocAuto0017"/>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91"/>
    </w:p>
    <w:p>
      <w:pPr>
        <w:spacing w:line="312" w:lineRule="auto" w:before="0" w:after="0"/>
        <w:ind w:firstLine="420"/>
        <w:jc w:val="both"/>
      </w:pPr>
      <w:r>
        <w:rPr>
          <w:rFonts w:hint="eastAsia" w:ascii="Times New Roman" w:hAnsi="Times New Roman" w:eastAsia="宋体"/>
          <w:b w:val="0"/>
          <w:sz w:val="21"/>
        </w:rPr>
        <w:t xml:space="preserve">表4-1报告了主要变量的描述性统计信息。剔除金融行业后，样本为69,142条；进一步按公司简称标签剔除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及退市整理期样本后，剩余63,011条；在关键变量完整且政府补助缺失按0处理的口径下，可用于基础统计检验的样本为52,980条；在基准薪酬模型中，因企业规模变量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3155799"/>
            <wp:effectExtent b="0" l="0" r="0" t="0"/>
            <wp:docPr descr="" title="" id="4" name="Picture"/>
            <a:graphic>
              <a:graphicData uri="http://schemas.openxmlformats.org/drawingml/2006/picture">
                <pic:pic>
                  <pic:nvPicPr>
                    <pic:cNvPr descr="generated_tables/table_02.png" id="4" name="Picture"/>
                    <pic:cNvPicPr>
                      <a:picLocks noChangeArrowheads="1" noChangeAspect="1"/>
                    </pic:cNvPicPr>
                  </pic:nvPicPr>
                  <pic:blipFill>
                    <a:blip r:embed="rId26"/>
                    <a:stretch>
                      <a:fillRect/>
                    </a:stretch>
                  </pic:blipFill>
                  <pic:spPr bwMode="auto">
                    <a:xfrm>
                      <a:off x="0" y="0"/>
                      <a:ext cx="5579999" cy="3155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注：政府补助和高管薪酬单位为元，Overpay直接使用基准薪酬模型残差，不再开展二次缩尾；其余连续变量在1%/99%分位数处展开Winsorize缩尾处理。未披露政府补助的公司年度记为0，因此财政补贴强度变量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1"/>
    <w:bookmarkStart w:id="44" w:name="相关性分析"/>
    <w:p>
      <w:pPr>
        <w:pStyle w:val="2"/>
        <w:spacing w:line="312" w:lineRule="auto" w:before="0" w:after="0"/>
        <w:ind w:firstLine="0"/>
        <w:jc w:val="left"/>
      </w:pPr>
      <w:bookmarkStart w:id="92" w:name="_TocAuto0018"/>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92"/>
    </w:p>
    <w:p>
      <w:pPr>
        <w:spacing w:line="312" w:lineRule="auto" w:before="0" w:after="0"/>
        <w:ind w:firstLine="420"/>
        <w:jc w:val="both"/>
      </w:pPr>
      <w:r>
        <w:rPr>
          <w:rFonts w:hint="eastAsia" w:ascii="Times New Roman" w:hAnsi="Times New Roman" w:eastAsia="宋体"/>
          <w:b w:val="0"/>
          <w:sz w:val="21"/>
        </w:rPr>
        <w:t xml:space="preserve">在实施基准回归之前，先对主要解释变量推进皮尔逊相关性讨论和方差膨胀因子（VIF）检验，以排除多重共线性干扰。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35199"/>
            <wp:effectExtent b="0" l="0" r="0" t="0"/>
            <wp:docPr descr="" title="" id="5" name="Picture"/>
            <a:graphic>
              <a:graphicData uri="http://schemas.openxmlformats.org/drawingml/2006/picture">
                <pic:pic>
                  <pic:nvPicPr>
                    <pic:cNvPr descr="generated_tables/table_03.png" id="5" name="Picture"/>
                    <pic:cNvPicPr>
                      <a:picLocks noChangeArrowheads="1" noChangeAspect="1"/>
                    </pic:cNvPicPr>
                  </pic:nvPicPr>
                  <pic:blipFill>
                    <a:blip r:embed="rId27"/>
                    <a:stretch>
                      <a:fillRect/>
                    </a:stretch>
                  </pic:blipFill>
                  <pic:spPr bwMode="auto">
                    <a:xfrm>
                      <a:off x="0" y="0"/>
                      <a:ext cx="5579999" cy="18351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之间的0.4563，其余变量两两相关系数整体不高，未显示出严重共线性命题。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35199"/>
            <wp:effectExtent b="0" l="0" r="0" t="0"/>
            <wp:docPr descr="" title="" id="6" name="Picture"/>
            <a:graphic>
              <a:graphicData uri="http://schemas.openxmlformats.org/drawingml/2006/picture">
                <pic:pic>
                  <pic:nvPicPr>
                    <pic:cNvPr descr="generated_tables/table_04.png" id="6" name="Picture"/>
                    <pic:cNvPicPr>
                      <a:picLocks noChangeArrowheads="1" noChangeAspect="1"/>
                    </pic:cNvPicPr>
                  </pic:nvPicPr>
                  <pic:blipFill>
                    <a:blip r:embed="rId28"/>
                    <a:stretch>
                      <a:fillRect/>
                    </a:stretch>
                  </pic:blipFill>
                  <pic:spPr bwMode="auto">
                    <a:xfrm>
                      <a:off x="0" y="0"/>
                      <a:ext cx="5579999" cy="18351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0.001），这意味着若继续沿用常规标准误，推断容易失真。基于这一点，后文的基准回归、选择偏差校正、中介检验、稳健性检验和异质性梳理统一采用公司层面的聚类稳健标准误。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p>
      <w:pPr>
        <w:spacing w:line="312" w:lineRule="auto" w:before="0" w:after="0"/>
        <w:ind w:firstLine="420"/>
        <w:jc w:val="both"/>
      </w:pPr>
      <w:r>
        <w:rPr>
          <w:rFonts w:hint="eastAsia" w:ascii="Times New Roman" w:hAnsi="Times New Roman" w:eastAsia="宋体"/>
          <w:b w:val="0"/>
          <w:sz w:val="21"/>
        </w:rPr>
        <w:t xml:space="preserve">综合以上相关性和VIF估计，可以为后续回归的设定选择提供三点依据。各解释变量之间的两两相关系数均处于较低程度，VIF均远低于经验阈值，说明将它们同时纳入回归模型不会引发严重的多重共线性困扰。BP异方差检验和Wooldridge序列相关检验给出的显著统计证据，为后文统一采用聚类稳健标准误提供了直接依据。补贴分布的强烈右偏特征和零值集中现象，也进一步支持了本文将基准回归限定在正补助样本、以对数形式刻画补贴强度的设计选择。</w:t>
      </w:r>
    </w:p>
    <w:bookmarkEnd w:id="42"/>
    <w:bookmarkStart w:id="45" w:name="基准回归分析"/>
    <w:p>
      <w:pPr>
        <w:pStyle w:val="2"/>
        <w:spacing w:line="312" w:lineRule="auto" w:before="0" w:after="0"/>
        <w:ind w:firstLine="0"/>
        <w:jc w:val="left"/>
      </w:pPr>
      <w:bookmarkStart w:id="93" w:name="_TocAuto0019"/>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93"/>
    </w:p>
    <w:bookmarkStart w:id="46" w:name="基准薪酬模型估计"/>
    <w:p>
      <w:pPr>
        <w:pStyle w:val="31"/>
        <w:spacing w:line="312" w:lineRule="auto" w:before="0" w:after="0"/>
        <w:ind w:firstLine="420"/>
        <w:jc w:val="left"/>
      </w:pPr>
      <w:r>
        <w:rPr>
          <w:rFonts w:ascii="Times New Roman" w:hAnsi="Times New Roman" w:eastAsia="宋体"/>
          <w:b w:val="0"/>
          <w:sz w:val="24"/>
        </w:rPr>
        <w:t xml:space="preserve">4.3.1 </w:t>
      </w:r>
      <w:r>
        <w:rPr>
          <w:rFonts w:hint="eastAsia" w:ascii="Times New Roman" w:hAnsi="Times New Roman" w:eastAsia="宋体"/>
          <w:b w:val="0"/>
          <w:sz w:val="24"/>
        </w:rPr>
        <w:t xml:space="preserve">基准薪酬模型估计</w:t>
      </w:r>
    </w:p>
    <w:p>
      <w:pPr>
        <w:spacing w:line="312" w:lineRule="auto" w:before="0" w:after="0"/>
        <w:ind w:firstLine="420"/>
        <w:jc w:val="both"/>
      </w:pPr>
      <w:r>
        <w:rPr>
          <w:rFonts w:hint="eastAsia" w:ascii="Times New Roman" w:hAnsi="Times New Roman" w:eastAsia="宋体"/>
          <w:b w:val="0"/>
          <w:sz w:val="21"/>
        </w:rPr>
        <w:t xml:space="preserve">表4-4报告了方程（3）的估计结论，这是构造超额薪酬变量的基础。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基准薪酬模型估计结果（模型1）</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597799"/>
            <wp:effectExtent b="0" l="0" r="0" t="0"/>
            <wp:docPr descr="" title="" id="7" name="Picture"/>
            <a:graphic>
              <a:graphicData uri="http://schemas.openxmlformats.org/drawingml/2006/picture">
                <pic:pic>
                  <pic:nvPicPr>
                    <pic:cNvPr descr="generated_tables/table_05.png" id="7" name="Picture"/>
                    <pic:cNvPicPr>
                      <a:picLocks noChangeArrowheads="1" noChangeAspect="1"/>
                    </pic:cNvPicPr>
                  </pic:nvPicPr>
                  <pic:blipFill>
                    <a:blip r:embed="rId29"/>
                    <a:stretch>
                      <a:fillRect/>
                    </a:stretch>
                  </pic:blipFill>
                  <pic:spPr bwMode="auto">
                    <a:xfrm>
                      <a:off x="0" y="0"/>
                      <a:ext cx="5579999" cy="2597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表示在1%的统计层面上显著。该模型用于估计正常薪酬基准，其残差直接定义为超额薪酬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估计显示，企业规模（</w:t>
      </w:r>
      <m:oMath>
        <m:r>
          <m:rPr>
            <m:sty m:val="p"/>
          </m:rPr>
          <m:t>ln</m:t>
        </m:r>
        <m:r>
          <m:rPr>
            <m:nor/>
            <m:sty m:val="p"/>
          </m:rPr>
          <m:t>Sale</m:t>
        </m:r>
      </m:oMath>
      <w:r>
        <w:rPr>
          <w:rFonts w:hint="eastAsia" w:ascii="Times New Roman" w:hAnsi="Times New Roman" w:eastAsia="宋体"/>
          <w:b w:val="0"/>
          <w:sz w:val="21"/>
        </w:rPr>
        <w:t xml:space="preserve">）的系数为0.1979，在1%的统计层面上显著为正，与既有薪酬—规模关系的经验观察到一致：规模更大的企业管理复杂度更高、外部经理人市场对高管技能的竞争更激烈，因而需要支付更高的市场均衡薪酬。盈利空间（Roa）的系数为1.9156，也在1%的统计层面上显著为正，符合薪酬—绩效敏感性的理论预期；无形资产占比（IA）的系数为−0.3301，显示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为0.5113，F统计量为1316.28，并在1%的统计层面上显著；其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处于同类实证检验的常见区间，可作为后续提取超额薪酬残差的经验基准。</w:t>
      </w:r>
    </w:p>
    <w:bookmarkEnd w:id="43"/>
    <w:bookmarkStart w:id="47" w:name="基准回归结果"/>
    <w:p>
      <w:pPr>
        <w:pStyle w:val="31"/>
        <w:spacing w:line="312" w:lineRule="auto" w:before="0" w:after="0"/>
        <w:ind w:firstLine="420"/>
        <w:jc w:val="left"/>
      </w:pPr>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p>
    <w:p>
      <w:pPr>
        <w:spacing w:line="312" w:lineRule="auto" w:before="0" w:after="0"/>
        <w:ind w:firstLine="420"/>
        <w:jc w:val="both"/>
      </w:pPr>
      <w:r>
        <w:rPr>
          <w:rFonts w:hint="eastAsia" w:ascii="Times New Roman" w:hAnsi="Times New Roman" w:eastAsia="宋体"/>
          <w:b w:val="0"/>
          <w:sz w:val="21"/>
        </w:rPr>
        <w:t xml:space="preserve">在获得超额薪酬（Overpay）变量后，基于式（4）实施</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不同，新的基准回归只保留“上一年已获得财政补贴”的公司年度，并以滞后一期正补助对数刻画补贴强度。回归证据如表4-5所示。所有估计均控制公司固定效应与年份固定效应，同时采用公司层面聚类稳健标准误，以缓解异方差与序列相关疑问。由于基准回归并不要求管理层权力指标完整，因此其样本量高于后续中介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221399"/>
            <wp:effectExtent b="0" l="0" r="0" t="0"/>
            <wp:docPr descr="" title="" id="8" name="Picture"/>
            <a:graphic>
              <a:graphicData uri="http://schemas.openxmlformats.org/drawingml/2006/picture">
                <pic:pic>
                  <pic:nvPicPr>
                    <pic:cNvPr descr="generated_tables/table_06.png" id="8" name="Picture"/>
                    <pic:cNvPicPr>
                      <a:picLocks noChangeArrowheads="1" noChangeAspect="1"/>
                    </pic:cNvPicPr>
                  </pic:nvPicPr>
                  <pic:blipFill>
                    <a:blip r:embed="rId30"/>
                    <a:stretch>
                      <a:fillRect/>
                    </a:stretch>
                  </pic:blipFill>
                  <pic:spPr bwMode="auto">
                    <a:xfrm>
                      <a:off x="0" y="0"/>
                      <a:ext cx="5579999" cy="12213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统计量为62.3646（p</w:t>
      </w:r>
      <w:r>
        <w:rPr>
          <w:rFonts w:ascii="Times New Roman" w:hAnsi="Times New Roman" w:eastAsia="宋体"/>
          <w:b w:val="0"/>
          <w:sz w:val="21"/>
        </w:rPr>
        <w:t xml:space="preserve"> &lt; </w:t>
      </w:r>
      <w:r>
        <w:rPr>
          <w:rFonts w:hint="eastAsia" w:ascii="Times New Roman" w:hAnsi="Times New Roman" w:eastAsia="宋体"/>
          <w:b w:val="0"/>
          <w:sz w:val="21"/>
        </w:rPr>
        <w:t xml:space="preserve">0.001）。</w:t>
      </w:r>
    </w:p>
    <w:p>
      <w:pPr>
        <w:spacing w:line="312" w:lineRule="auto" w:before="0" w:after="0"/>
        <w:ind w:firstLine="420"/>
        <w:jc w:val="both"/>
      </w:pPr>
      <w:r>
        <w:rPr>
          <w:rFonts w:hint="eastAsia" w:ascii="Times New Roman" w:hAnsi="Times New Roman" w:eastAsia="宋体"/>
          <w:b w:val="0"/>
          <w:sz w:val="21"/>
        </w:rPr>
        <w:t xml:space="preserve">表4-5显示，滞后一期财政补贴强度（lnSubsidy_pos_l1）的回归系数为0.0094，标准误为0.0033，T值为2.8007，P值为0.0051，在1%的统计层面上显著为正。这表示在只比较”上一年已经拿到补贴”的公司年度时，补贴强度越高，后续超额薪酬也越高，也就是已获补贴企业内部存在显著正向的强度关联。该回归估计与H1的预期方向一致，也与代理理论所揭示的逻辑相吻合：外部政策资源的增加扩大了管理层可支配空间，如果薪酬治理逻辑未能将补贴收益从绩效考核基数中有效剔除，补贴带来的账面利润改善便容易同步转化为高管的额外报酬。</w:t>
      </w:r>
    </w:p>
    <w:p>
      <w:pPr>
        <w:spacing w:line="312" w:lineRule="auto" w:before="0" w:after="0"/>
        <w:ind w:firstLine="420"/>
        <w:jc w:val="both"/>
      </w:pPr>
      <w:r>
        <w:rPr>
          <w:rFonts w:hint="eastAsia" w:ascii="Times New Roman" w:hAnsi="Times New Roman" w:eastAsia="宋体"/>
          <w:b w:val="0"/>
          <w:sz w:val="21"/>
        </w:rPr>
        <w:t xml:space="preserve">控制变量方面，三个变量的系数方向均为负且统计显著，各自对应不同的治理约束安排。业绩（Roa）系数为−1.0014，在1%层面上显著为负。这里需要注意的是，Overpay本身已经通过第一阶段模型剥离了Roa对正常薪酬的正向贡献，因此模型2中Roa的负系数反映的是：在公司固定效应结构下，盈利表现的改善与超额薪酬残差的下降相伴随。一种可能的解释是，真实盈利改善提高了薪酬契约的信息质量，使得薪酬安排更贴近绩效基准，从而压缩了异常偏离。财务杠杆（Lever）系数为−0.1051，在1%层面上显著。负号意味着负债约束更强的企业，其高管超额薪酬倾向于更低，这与代理理论中债务对管理层自利行为的约束效应一致：更高的财务杠杆增加了债权人监督和财务压力，从而限制了管理层的薪酬攫取空间。第一大股东持股比例（Top1）系数为−0.0022，在1%层面上显著。负向联系提示，股权集中度越高，大股东对高管薪酬安排的监督越有效，这与我国上市公司治理结构中大股东发挥积极治理功能的经验观察一致。</w:t>
      </w:r>
    </w:p>
    <w:p>
      <w:pPr>
        <w:spacing w:line="312" w:lineRule="auto" w:before="0" w:after="0"/>
        <w:ind w:firstLine="420"/>
        <w:jc w:val="both"/>
      </w:pPr>
      <w:r>
        <w:rPr>
          <w:rFonts w:hint="eastAsia" w:ascii="Times New Roman" w:hAnsi="Times New Roman" w:eastAsia="宋体"/>
          <w:b w:val="0"/>
          <w:sz w:val="21"/>
        </w:rPr>
        <w:t xml:space="preserve">由于模型2要求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Overpay、滞后一期正补助和控制变量完整，样本量为43,417条，高于后续中介检验的统一样本。从经济规模看，Overpay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增加1个单位，对应约0.0160个标准差的残差变化，经济幅度并不夸张，但方向保持为正且达到常用显著性标准。这一幅度与财政补贴作为条件性政策冲击的属性相符：补贴并非企业主营收入来源，其对薪酬的边际推动通常弱于盈利表现和规模等核心驱动变量，但在制度约束不足的情境下仍可构成持续性的正向关联。</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统计量为62.36，并在1%的统计层面上显著，说明控制变量与固定效应的联合设定是有效的。将固定效应收紧为“公司固定效应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0.013）。这里回答的是“已获补贴企业内部，补贴强度差异是否伴随超额薪酬差异”，不是“全部上市公司平均解释上的补贴效应”。相比旧的全样本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口径，这一定义把补贴的获得边际和强度边际拆开，更贴近本文的边界设定。据此，H1在新的基准回归口径下得到支持。模型2的</w:t>
      </w:r>
      <w:r>
        <w:rPr>
          <w:rFonts w:ascii="Times New Roman" w:hAnsi="Times New Roman" w:eastAsia="宋体"/>
          <w:b w:val="0"/>
          <w:sz w:val="21"/>
        </w:rPr>
        <w:t xml:space="preserve"> R² </w:t>
      </w:r>
      <w:r>
        <w:rPr>
          <w:rFonts w:hint="eastAsia" w:ascii="Times New Roman" w:hAnsi="Times New Roman" w:eastAsia="宋体"/>
          <w:b w:val="0"/>
          <w:sz w:val="21"/>
        </w:rPr>
        <w:t xml:space="preserve">为0.0205，也属于残差型因变量配合双向固定效应时的常见程度。公司固定效应和年份固定效应已经吸收了大部分个体与年度差异，回归主要解释的是组内残差波动，因此</w:t>
      </w:r>
      <w:r>
        <w:rPr>
          <w:rFonts w:ascii="Times New Roman" w:hAnsi="Times New Roman" w:eastAsia="宋体"/>
          <w:b w:val="0"/>
          <w:sz w:val="21"/>
        </w:rPr>
        <w:t xml:space="preserve"> R² </w:t>
      </w:r>
      <w:r>
        <w:rPr>
          <w:rFonts w:hint="eastAsia" w:ascii="Times New Roman" w:hAnsi="Times New Roman" w:eastAsia="宋体"/>
          <w:b w:val="0"/>
          <w:sz w:val="21"/>
        </w:rPr>
        <w:t xml:space="preserve">偏低本身不构成议题。</w:t>
      </w:r>
    </w:p>
    <w:bookmarkEnd w:id="44"/>
    <w:bookmarkEnd w:id="45"/>
    <w:bookmarkStart w:id="48" w:name="内生性处理"/>
    <w:p>
      <w:pPr>
        <w:pStyle w:val="2"/>
        <w:spacing w:line="312" w:lineRule="auto" w:before="0" w:after="0"/>
        <w:ind w:firstLine="0"/>
        <w:jc w:val="left"/>
      </w:pPr>
      <w:bookmarkStart w:id="94" w:name="_TocAuto0020"/>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94"/>
    </w:p>
    <w:bookmarkStart w:id="49" w:name="内生性来源与识别局限"/>
    <w:p>
      <w:pPr>
        <w:pStyle w:val="31"/>
        <w:spacing w:line="312" w:lineRule="auto" w:before="0" w:after="0"/>
        <w:ind w:firstLine="420"/>
        <w:jc w:val="left"/>
      </w:pPr>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p>
    <w:p>
      <w:pPr>
        <w:spacing w:line="312" w:lineRule="auto" w:before="0" w:after="0"/>
        <w:ind w:firstLine="420"/>
        <w:jc w:val="both"/>
      </w:pPr>
      <w:r>
        <w:rPr>
          <w:rFonts w:hint="eastAsia" w:ascii="Times New Roman" w:hAnsi="Times New Roman" w:eastAsia="宋体"/>
          <w:b w:val="0"/>
          <w:sz w:val="21"/>
        </w:rPr>
        <w:t xml:space="preserve">在新的基准回归设计下，内生性来源主要集中在三个方面。第一类威胁是样本选择：基准回归只保留上一年已经拿到补贴的公司年度，因此“谁更容易进入样本”本身就容易与公司治理状态、高管政府沟通优势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牵动补贴强度和超额薪酬。</w:t>
      </w:r>
    </w:p>
    <w:p>
      <w:pPr>
        <w:spacing w:line="312" w:lineRule="auto" w:before="0" w:after="0"/>
        <w:ind w:firstLine="420"/>
        <w:jc w:val="both"/>
      </w:pPr>
      <w:r>
        <w:rPr>
          <w:rFonts w:hint="eastAsia" w:ascii="Times New Roman" w:hAnsi="Times New Roman" w:eastAsia="宋体"/>
          <w:b w:val="0"/>
          <w:sz w:val="21"/>
        </w:rPr>
        <w:t xml:space="preserve">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两步法与事件动态检验两个角度观察这一基准回归的识别边界；传统留一法工具变量只作为补充诊断统一重跑，不再作为正文主表证据。</w:t>
      </w:r>
    </w:p>
    <w:p>
      <w:pPr>
        <w:spacing w:line="312" w:lineRule="auto" w:before="0" w:after="0"/>
        <w:ind w:firstLine="420"/>
        <w:jc w:val="both"/>
      </w:pPr>
      <w:r>
        <w:rPr>
          <w:rFonts w:hint="eastAsia" w:ascii="Times New Roman" w:hAnsi="Times New Roman" w:eastAsia="宋体"/>
          <w:b w:val="0"/>
          <w:sz w:val="21"/>
        </w:rPr>
        <w:t xml:space="preserve">据此，相关估计始终被理解为在多重识别设定下获得的条件相关证据，不将其上升为严格启示上的因果效应估计。</w:t>
      </w:r>
    </w:p>
    <w:bookmarkEnd w:id="46"/>
    <w:bookmarkStart w:id="50" w:name="选择偏差校正heckman-两步法"/>
    <w:p>
      <w:pPr>
        <w:pStyle w:val="31"/>
        <w:spacing w:line="312" w:lineRule="auto" w:before="0" w:after="0"/>
        <w:ind w:firstLine="420"/>
        <w:jc w:val="left"/>
      </w:pPr>
      <w:r>
        <w:rPr>
          <w:rFonts w:ascii="Times New Roman" w:hAnsi="Times New Roman" w:eastAsia="宋体"/>
          <w:b w:val="0"/>
          <w:sz w:val="24"/>
        </w:rPr>
        <w:t xml:space="preserve">4.4.2 </w:t>
      </w:r>
      <w:r>
        <w:rPr>
          <w:rFonts w:hint="eastAsia" w:ascii="Times New Roman" w:hAnsi="Times New Roman" w:eastAsia="宋体"/>
          <w:b w:val="0"/>
          <w:sz w:val="24"/>
        </w:rPr>
        <w:t xml:space="preserve">选择偏差校正（Heckman</w:t>
      </w:r>
      <w:r>
        <w:rPr>
          <w:rFonts w:ascii="Times New Roman" w:hAnsi="Times New Roman" w:eastAsia="宋体"/>
          <w:b w:val="0"/>
          <w:sz w:val="24"/>
        </w:rPr>
        <w:t xml:space="preserve"> </w:t>
      </w:r>
      <w:r>
        <w:rPr>
          <w:rFonts w:hint="eastAsia" w:ascii="Times New Roman" w:hAnsi="Times New Roman" w:eastAsia="宋体"/>
          <w:b w:val="0"/>
          <w:sz w:val="24"/>
        </w:rPr>
        <w:t xml:space="preserve">两步法）</w:t>
      </w:r>
    </w:p>
    <w:p>
      <w:pPr>
        <w:spacing w:line="312" w:lineRule="auto" w:before="0" w:after="0"/>
        <w:ind w:firstLine="420"/>
        <w:jc w:val="both"/>
      </w:pPr>
      <w:r>
        <w:rPr>
          <w:rFonts w:hint="eastAsia" w:ascii="Times New Roman" w:hAnsi="Times New Roman" w:eastAsia="宋体"/>
          <w:b w:val="0"/>
          <w:sz w:val="21"/>
        </w:rPr>
        <w:t xml:space="preserve">由于基准回归只在已获补贴样本内估计，更直接的内生性疑问首先来自样本选择。与传统留一法工具变量相比，Heckman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贴近当前核心疑问：第一步刻画“哪些公司年度更容易进入上一年正补助样本”，第二步将逆米尔斯比率纳入公司固定效应和年份固定效应回归，检验基准回归中的正向系数是否主要由选择偏差驱动。对应估计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Heckman </w:t>
      </w:r>
      <w:r>
        <w:rPr>
          <w:rFonts w:hint="eastAsia" w:ascii="Times New Roman" w:hAnsi="Times New Roman" w:eastAsia="宋体"/>
          <w:b/>
          <w:sz w:val="18"/>
        </w:rPr>
        <w:t xml:space="preserve">两步法结果（基准回归口径）</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756399"/>
            <wp:effectExtent b="0" l="0" r="0" t="0"/>
            <wp:docPr descr="" title="" id="9" name="Picture"/>
            <a:graphic>
              <a:graphicData uri="http://schemas.openxmlformats.org/drawingml/2006/picture">
                <pic:pic>
                  <pic:nvPicPr>
                    <pic:cNvPr descr="generated_tables/table_07.png" id="9" name="Picture"/>
                    <pic:cNvPicPr>
                      <a:picLocks noChangeArrowheads="1" noChangeAspect="1"/>
                    </pic:cNvPicPr>
                  </pic:nvPicPr>
                  <pic:blipFill>
                    <a:blip r:embed="rId31"/>
                    <a:stretch>
                      <a:fillRect/>
                    </a:stretch>
                  </pic:blipFill>
                  <pic:spPr bwMode="auto">
                    <a:xfrm>
                      <a:off x="0" y="0"/>
                      <a:ext cx="5579999" cy="7563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注：选择方程排除变量</w:t>
      </w:r>
      <w:r>
        <w:rPr>
          <w:rFonts w:ascii="Times New Roman" w:hAnsi="Times New Roman" w:eastAsia="宋体"/>
          <w:b w:val="0"/>
          <w:sz w:val="21"/>
        </w:rPr>
        <w:t xml:space="preserve"> IV_lnSubsidy_l1 </w:t>
      </w:r>
      <w:r>
        <w:rPr>
          <w:rFonts w:hint="eastAsia" w:ascii="Times New Roman" w:hAnsi="Times New Roman" w:eastAsia="宋体"/>
          <w:b w:val="0"/>
          <w:sz w:val="21"/>
        </w:rPr>
        <w:t xml:space="preserve">为滞后一期同城同年其他企业平均补助对数（留一法构造），其经济逻辑在于：同城同年的地方财政政策环境改变企业获补概率，但不直接决定个体企业高管超额薪酬规模。Heckman</w:t>
      </w:r>
      <w:r>
        <w:rPr>
          <w:rFonts w:ascii="Times New Roman" w:hAnsi="Times New Roman" w:eastAsia="宋体"/>
          <w:b w:val="0"/>
          <w:sz w:val="21"/>
        </w:rPr>
        <w:t xml:space="preserve"> </w:t>
      </w:r>
      <w:r>
        <w:rPr>
          <w:rFonts w:hint="eastAsia" w:ascii="Times New Roman" w:hAnsi="Times New Roman" w:eastAsia="宋体"/>
          <w:b w:val="0"/>
          <w:sz w:val="21"/>
        </w:rPr>
        <w:t xml:space="preserve">选择方程样本量为45,396条，第二阶段方程样本量为40,679条，低于中介统一样本（41,186条），系选择方程排除变量存在额外缺失所致。IMR</w:t>
      </w:r>
      <w:r>
        <w:rPr>
          <w:rFonts w:ascii="Times New Roman" w:hAnsi="Times New Roman" w:eastAsia="宋体"/>
          <w:b w:val="0"/>
          <w:sz w:val="21"/>
        </w:rPr>
        <w:t xml:space="preserve"> </w:t>
      </w:r>
      <w:r>
        <w:rPr>
          <w:rFonts w:hint="eastAsia" w:ascii="Times New Roman" w:hAnsi="Times New Roman" w:eastAsia="宋体"/>
          <w:b w:val="0"/>
          <w:sz w:val="21"/>
        </w:rPr>
        <w:t xml:space="preserve">表示逆米尔斯比率。第二阶段方程控制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0.0056），说明上一年已获补贴样本确有选择偏差。校正后，lnSubsidy_pos_l1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0.0093，并在1%的统计层面上显著，表4-5中的正向估计不宜简单归因于“谁更容易进入正补助样本”这一选择链条。围绕同城、同行业以及精炼双工具变量所做的统一重跑也说明，传统留一法工具变量在当前基准样本中的一阶段整体偏弱、二阶段方向不稳定，因此不纳入正文主表。综合来看，新的基准回归更适合作为经过选择偏差校正后的稳定条件相关证据来解读，不把它写成已经被稳健识别的强因果效应。</w:t>
      </w:r>
    </w:p>
    <w:bookmarkEnd w:id="47"/>
    <w:bookmarkStart w:id="51" w:name="事件研究式动态检验"/>
    <w:p>
      <w:pPr>
        <w:pStyle w:val="31"/>
        <w:spacing w:line="312" w:lineRule="auto" w:before="0" w:after="0"/>
        <w:ind w:firstLine="420"/>
        <w:jc w:val="left"/>
      </w:pPr>
      <w:r>
        <w:rPr>
          <w:rFonts w:ascii="Times New Roman" w:hAnsi="Times New Roman" w:eastAsia="宋体"/>
          <w:b w:val="0"/>
          <w:sz w:val="24"/>
        </w:rPr>
        <w:t xml:space="preserve">4.4.3 </w:t>
      </w:r>
      <w:r>
        <w:rPr>
          <w:rFonts w:hint="eastAsia" w:ascii="Times New Roman" w:hAnsi="Times New Roman" w:eastAsia="宋体"/>
          <w:b w:val="0"/>
          <w:sz w:val="24"/>
        </w:rPr>
        <w:t xml:space="preserve">事件研究式动态检验</w:t>
      </w:r>
    </w:p>
    <w:p>
      <w:pPr>
        <w:spacing w:line="312" w:lineRule="auto" w:before="0" w:after="0"/>
        <w:ind w:firstLine="420"/>
        <w:jc w:val="both"/>
      </w:pPr>
      <w:r>
        <w:rPr>
          <w:rFonts w:hint="eastAsia" w:ascii="Times New Roman" w:hAnsi="Times New Roman" w:eastAsia="宋体"/>
          <w:b w:val="0"/>
          <w:sz w:val="21"/>
        </w:rPr>
        <w:t xml:space="preserve">为进一步从动态角度检验补贴强度抬升是否先于超额薪酬变化，本文围绕“上一年补助金额首次进入正补助样本上四分位区间”构造事件考察。该设定与基准回归的滞后一期补贴口径保持一致：以滞后一期补助金额首次达到高补贴阈值的年份作为事件年，并考察事件发生前后超额薪酬的动态变化。当前阈值对应正补助样本的上四分位数，约为3,497.88万元；识别到的处理企业为2,237家，纳入动态检验的样本量为43,417条。</w:t>
      </w:r>
    </w:p>
    <w:p>
      <w:pPr>
        <w:spacing w:line="312" w:lineRule="auto" w:before="0" w:after="0"/>
        <w:ind w:firstLine="420"/>
        <w:jc w:val="both"/>
      </w:pPr>
      <w:r>
        <w:rPr>
          <w:rFonts w:hint="eastAsia" w:ascii="Times New Roman" w:hAnsi="Times New Roman" w:eastAsia="宋体"/>
          <w:b w:val="0"/>
          <w:sz w:val="21"/>
        </w:rPr>
        <w:t xml:space="preserve">动态检验的各期系数和显著性汇总于表4-7。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事件研究式动态检验结果</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35199"/>
            <wp:effectExtent b="0" l="0" r="0" t="0"/>
            <wp:docPr descr="" title="" id="10" name="Picture"/>
            <a:graphic>
              <a:graphicData uri="http://schemas.openxmlformats.org/drawingml/2006/picture">
                <pic:pic>
                  <pic:nvPicPr>
                    <pic:cNvPr descr="generated_tables/table_08.png" id="10" name="Picture"/>
                    <pic:cNvPicPr>
                      <a:picLocks noChangeArrowheads="1" noChangeAspect="1"/>
                    </pic:cNvPicPr>
                  </pic:nvPicPr>
                  <pic:blipFill>
                    <a:blip r:embed="rId32"/>
                    <a:stretch>
                      <a:fillRect/>
                    </a:stretch>
                  </pic:blipFill>
                  <pic:spPr bwMode="auto">
                    <a:xfrm>
                      <a:off x="0" y="0"/>
                      <a:ext cx="5579999" cy="18351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分别表示在1%、5%、10%的统计层面上显著。事件定义为上一年补助金额首次进入正补助样本上四分位区间（阈值约3,497.88万元）。处理企业2,237家，样本量43,417条。回归控制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以及公司和年份固定效应，标准误为公司层面聚类稳健标准误。事件前各期系数未达到常用显著性标准，此处以”—“标示系数值，仅报告其整体不显著的判断。</w:t>
      </w:r>
    </w:p>
    <w:p>
      <w:pPr>
        <w:spacing w:line="312" w:lineRule="auto" w:before="0" w:after="0"/>
        <w:ind w:firstLine="420"/>
        <w:jc w:val="both"/>
      </w:pPr>
      <w:r>
        <w:rPr>
          <w:rFonts w:hint="eastAsia" w:ascii="Times New Roman" w:hAnsi="Times New Roman" w:eastAsia="宋体"/>
          <w:b w:val="0"/>
          <w:sz w:val="21"/>
        </w:rPr>
        <w:t xml:space="preserve">联合检验估计显示，事件发生前两期和前三期的系数并不显著，前趋势联合检验的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值为0.669，说明在进入高补贴状态之前，处理组与对照组没有明显差别。事件当期及随后1至3期的系数分别为0.0235（p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0.007），均为正且达到常见显著性标准。结合表4-6中的</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和表4-8中的更严格固定效应估计，可以认为当前基准回归并非完全由样本选择或显著预趋势所驱动。这组证据主要用于收紧识别边界，不直接解释为无条件的强因果估计。上四分位数阈值用于识别“补贴强度明显跃升”的时点；后续可考察替代阈值（如中位数或上十分位数）下动态检验结论的敏感性。</w:t>
      </w:r>
    </w:p>
    <w:bookmarkEnd w:id="48"/>
    <w:bookmarkStart w:id="52" w:name="内生性处理小结"/>
    <w:p>
      <w:pPr>
        <w:pStyle w:val="31"/>
        <w:spacing w:line="312" w:lineRule="auto" w:before="0" w:after="0"/>
        <w:ind w:firstLine="420"/>
        <w:jc w:val="left"/>
      </w:pPr>
      <w:r>
        <w:rPr>
          <w:rFonts w:ascii="Times New Roman" w:hAnsi="Times New Roman" w:eastAsia="宋体"/>
          <w:b w:val="0"/>
          <w:sz w:val="24"/>
        </w:rPr>
        <w:t xml:space="preserve">4.4.4 </w:t>
      </w:r>
      <w:r>
        <w:rPr>
          <w:rFonts w:hint="eastAsia" w:ascii="Times New Roman" w:hAnsi="Times New Roman" w:eastAsia="宋体"/>
          <w:b w:val="0"/>
          <w:sz w:val="24"/>
        </w:rPr>
        <w:t xml:space="preserve">内生性处理小结</w:t>
      </w:r>
    </w:p>
    <w:p>
      <w:pPr>
        <w:spacing w:line="312" w:lineRule="auto" w:before="0" w:after="0"/>
        <w:ind w:firstLine="420"/>
        <w:jc w:val="both"/>
      </w:pPr>
      <w:r>
        <w:rPr>
          <w:rFonts w:hint="eastAsia" w:ascii="Times New Roman" w:hAnsi="Times New Roman" w:eastAsia="宋体"/>
          <w:b w:val="0"/>
          <w:sz w:val="21"/>
        </w:rPr>
        <w:t xml:space="preserve">综合以上三类检验，可以从不同角度对基准回归的识别边界做出判断。Heckman两步法解决的是”谁更容易进入正补助样本”的选择偏差来源：逆米尔斯比率显著说明选择偏差确实存在，但校正后补贴系数几乎不变（从0.0094降至0.0093），指向基准回归的正向估计并非主要由样本选择驱动。事件动态检验解决的是”补贴抬升前是否已存在预趋势”的时间先后关系：事件前各期系数不显著、前趋势联合检验p值高达0.669，而事件后系数逐期上升且显著，说明超额薪酬的上行确实出现在补贴强度抬升之后而非之前。更严格的行业×年份固定效应则解决的是”行业景气共振是否为遗漏变量”：收紧后系数仍为0.0082且显著，排除了行业年度层面共同冲击的主要干扰。</w:t>
      </w:r>
    </w:p>
    <w:p>
      <w:pPr>
        <w:spacing w:line="312" w:lineRule="auto" w:before="0" w:after="0"/>
        <w:ind w:firstLine="420"/>
        <w:jc w:val="both"/>
      </w:pPr>
      <w:r>
        <w:rPr>
          <w:rFonts w:hint="eastAsia" w:ascii="Times New Roman" w:hAnsi="Times New Roman" w:eastAsia="宋体"/>
          <w:b w:val="0"/>
          <w:sz w:val="21"/>
        </w:rPr>
        <w:t xml:space="preserve">三类检验从选择偏差、时间先后和遗漏变量三个方向收紧了识别边界，共同支持基准回归结论的稳健性。但由于缺乏完全外生的政策冲击，正文仍将这些证据整体定位为较稳健的条件相关，而非严格含义上的因果效应。</w:t>
      </w:r>
    </w:p>
    <w:bookmarkEnd w:id="49"/>
    <w:bookmarkEnd w:id="50"/>
    <w:bookmarkStart w:id="53" w:name="稳健性检验"/>
    <w:p>
      <w:pPr>
        <w:pStyle w:val="2"/>
        <w:spacing w:line="312" w:lineRule="auto" w:before="0" w:after="0"/>
        <w:ind w:firstLine="0"/>
        <w:jc w:val="left"/>
      </w:pPr>
      <w:bookmarkStart w:id="95" w:name="_TocAuto002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95"/>
    </w:p>
    <w:p>
      <w:pPr>
        <w:spacing w:line="312" w:lineRule="auto" w:before="0" w:after="0"/>
        <w:ind w:firstLine="420"/>
        <w:jc w:val="both"/>
      </w:pPr>
      <w:r>
        <w:rPr>
          <w:rFonts w:hint="eastAsia" w:ascii="Times New Roman" w:hAnsi="Times New Roman" w:eastAsia="宋体"/>
          <w:b w:val="0"/>
          <w:sz w:val="21"/>
        </w:rPr>
        <w:t xml:space="preserve">在确认基准回归通过了内生性处理的初步检验后，接下来从四个维度展开扰动检验，逐步放松或收紧基准回归的各项设定条件，以验证结论的稳健性。四项检验的逻辑递进关系如下：首先替换被解释变量，检验结论是否依赖于Overpay残差的特定构造方式；其次缩小样本期，排除早期数据质量差异的潜在干扰；再次仅保留制造业，检验结论在单一行业内部是否仍然成立；最后引入更严格的行业×年份固定效应，检验行业景气共振是否构成遗漏变量。相关检验汇总于表4-8。</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667799"/>
            <wp:effectExtent b="0" l="0" r="0" t="0"/>
            <wp:docPr descr="" title="" id="11" name="Picture"/>
            <a:graphic>
              <a:graphicData uri="http://schemas.openxmlformats.org/drawingml/2006/picture">
                <pic:pic>
                  <pic:nvPicPr>
                    <pic:cNvPr descr="generated_tables/table_09.png" id="11" name="Picture"/>
                    <pic:cNvPicPr>
                      <a:picLocks noChangeArrowheads="1" noChangeAspect="1"/>
                    </pic:cNvPicPr>
                  </pic:nvPicPr>
                  <pic:blipFill>
                    <a:blip r:embed="rId33"/>
                    <a:stretch>
                      <a:fillRect/>
                    </a:stretch>
                  </pic:blipFill>
                  <pic:spPr bwMode="auto">
                    <a:xfrm>
                      <a:off x="0" y="0"/>
                      <a:ext cx="5579999" cy="1667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第(1)—(3)项与基准回归保持同一正补助样本口径，控制Roa、Lever、Top1以及公司和年份固定效应；第(4)项在同一正补助样本上进一步将年份固定效应收紧为行业×年份固定效应。标准误为公司层面聚类稳健标准误。</w:t>
      </w:r>
    </w:p>
    <w:bookmarkStart w:id="54" w:name="替换被解释变量"/>
    <w:p>
      <w:pPr>
        <w:pStyle w:val="31"/>
        <w:spacing w:line="312" w:lineRule="auto" w:before="0" w:after="0"/>
        <w:ind w:firstLine="420"/>
        <w:jc w:val="left"/>
      </w:pPr>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将被解释变量由超额薪酬（Overpay）替换为高管前三名薪酬总额对数后，补贴系数为0.0331，并在1%的统计层面上显著为正。这意味着在已获补贴企业内部，补贴强度与薪酬总额口径之间也存在显著正向关系。</w:t>
      </w:r>
    </w:p>
    <w:p>
      <w:pPr>
        <w:spacing w:line="312" w:lineRule="auto" w:before="0" w:after="0"/>
        <w:ind w:firstLine="420"/>
        <w:jc w:val="both"/>
      </w:pPr>
      <w:r>
        <w:rPr>
          <w:rFonts w:hint="eastAsia" w:ascii="Times New Roman" w:hAnsi="Times New Roman" w:eastAsia="宋体"/>
          <w:b w:val="0"/>
          <w:sz w:val="21"/>
        </w:rPr>
        <w:t xml:space="preserve">将因变量进一步处理为剔除正常部分后的超额薪酬残差后，系数幅度下降，但方向和显著性仍然保留。因此，主结论并不完全依赖某一种薪酬度量方式。</w:t>
      </w:r>
    </w:p>
    <w:bookmarkEnd w:id="51"/>
    <w:bookmarkStart w:id="55" w:name="缩小样本期"/>
    <w:p>
      <w:pPr>
        <w:pStyle w:val="31"/>
        <w:spacing w:line="312" w:lineRule="auto" w:before="0" w:after="0"/>
        <w:ind w:firstLine="420"/>
        <w:jc w:val="left"/>
      </w:pPr>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将样本期限缩至2010—2020年后，补贴系数为0.0120，并在1%的统计层面上显著为正。这说明基准估计并非完全依赖样本早期年份，缩短时间窗口后，补贴强度与超额薪酬之间的正向关联仍然存在。</w:t>
      </w:r>
    </w:p>
    <w:p>
      <w:pPr>
        <w:spacing w:line="312" w:lineRule="auto" w:before="0" w:after="0"/>
        <w:ind w:firstLine="420"/>
        <w:jc w:val="both"/>
      </w:pPr>
      <w:r>
        <w:rPr>
          <w:rFonts w:hint="eastAsia" w:ascii="Times New Roman" w:hAnsi="Times New Roman" w:eastAsia="宋体"/>
          <w:b w:val="0"/>
          <w:sz w:val="21"/>
        </w:rPr>
        <w:t xml:space="preserve">这一处理也减少了早期信息披露口径差异可能带来的扰动，使检验更集中于数据质量相对稳定的阶段。</w:t>
      </w:r>
    </w:p>
    <w:bookmarkEnd w:id="52"/>
    <w:bookmarkStart w:id="56" w:name="仅保留制造业样本"/>
    <w:p>
      <w:pPr>
        <w:pStyle w:val="31"/>
        <w:spacing w:line="312" w:lineRule="auto" w:before="0" w:after="0"/>
        <w:ind w:firstLine="420"/>
        <w:jc w:val="left"/>
      </w:pPr>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p>
    <w:p>
      <w:pPr>
        <w:spacing w:line="312" w:lineRule="auto" w:before="0" w:after="0"/>
        <w:ind w:firstLine="420"/>
        <w:jc w:val="both"/>
      </w:pPr>
      <w:r>
        <w:rPr>
          <w:rFonts w:hint="eastAsia" w:ascii="Times New Roman" w:hAnsi="Times New Roman" w:eastAsia="宋体"/>
          <w:b w:val="0"/>
          <w:sz w:val="21"/>
        </w:rPr>
        <w:t xml:space="preserve">仅保留制造业（样本量29,143）后，补贴系数为0.0099，并在5%的统计层面上显著为正。可见在制造业单一行业内部，已获补贴企业之间的补贴强度差异同样能够对应更高的超额薪酬。</w:t>
      </w:r>
    </w:p>
    <w:p>
      <w:pPr>
        <w:spacing w:line="312" w:lineRule="auto" w:before="0" w:after="0"/>
        <w:ind w:firstLine="420"/>
        <w:jc w:val="both"/>
      </w:pPr>
      <w:r>
        <w:rPr>
          <w:rFonts w:hint="eastAsia" w:ascii="Times New Roman" w:hAnsi="Times New Roman" w:eastAsia="宋体"/>
          <w:b w:val="0"/>
          <w:sz w:val="21"/>
        </w:rPr>
        <w:t xml:space="preserve">制造业样本占比较高且补贴政策覆盖面广，将其单独保留有助于排除跨行业结构差异对主结论的干扰。</w:t>
      </w:r>
    </w:p>
    <w:bookmarkEnd w:id="53"/>
    <w:bookmarkStart w:id="57" w:name="更严格固定效应设定"/>
    <w:p>
      <w:pPr>
        <w:pStyle w:val="31"/>
        <w:spacing w:line="312" w:lineRule="auto" w:before="0" w:after="0"/>
        <w:ind w:firstLine="420"/>
        <w:jc w:val="left"/>
      </w:pPr>
      <w:r>
        <w:rPr>
          <w:rFonts w:ascii="Times New Roman" w:hAnsi="Times New Roman" w:eastAsia="宋体"/>
          <w:b w:val="0"/>
          <w:sz w:val="24"/>
        </w:rPr>
        <w:t xml:space="preserve">4.5.4 </w:t>
      </w:r>
      <w:r>
        <w:rPr>
          <w:rFonts w:hint="eastAsia" w:ascii="Times New Roman" w:hAnsi="Times New Roman" w:eastAsia="宋体"/>
          <w:b w:val="0"/>
          <w:sz w:val="24"/>
        </w:rPr>
        <w:t xml:space="preserve">更严格固定效应设定</w:t>
      </w:r>
    </w:p>
    <w:p>
      <w:pPr>
        <w:spacing w:line="312" w:lineRule="auto" w:before="0" w:after="0"/>
        <w:ind w:firstLine="420"/>
        <w:jc w:val="both"/>
      </w:pPr>
      <w:r>
        <w:rPr>
          <w:rFonts w:hint="eastAsia" w:ascii="Times New Roman" w:hAnsi="Times New Roman" w:eastAsia="宋体"/>
          <w:b w:val="0"/>
          <w:sz w:val="21"/>
        </w:rPr>
        <w:t xml:space="preserve">在基准回归样本与变量口径保持不变的前提下，将固定效应进一步收紧为“公司固定效应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行业×年份固定效应”后，补贴系数仍为0.0082，并在5%的统计层面上显著为正。这说明基准回归中的正向关系并非单纯由行业年度景气波动带出。</w:t>
      </w:r>
    </w:p>
    <w:p>
      <w:pPr>
        <w:spacing w:line="312" w:lineRule="auto" w:before="0" w:after="0"/>
        <w:ind w:firstLine="420"/>
        <w:jc w:val="both"/>
      </w:pPr>
      <w:r>
        <w:rPr>
          <w:rFonts w:hint="eastAsia" w:ascii="Times New Roman" w:hAnsi="Times New Roman" w:eastAsia="宋体"/>
          <w:b w:val="0"/>
          <w:sz w:val="21"/>
        </w:rPr>
        <w:t xml:space="preserve">综合四项检验，在已获补贴企业内部这一强度效应设定下，补贴系数始终保持正向并达到常用显著性标准。据此，H1在新的基准回归口径下获得了较一致的经验支撑；结合前述</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校正与事件动态检验，这种一致性更适合理解为识别边界收紧后的稳健条件相关，而不是强因果层面的稳健。</w:t>
      </w:r>
    </w:p>
    <w:bookmarkEnd w:id="54"/>
    <w:bookmarkEnd w:id="55"/>
    <w:bookmarkStart w:id="58" w:name="基于机器学习方法的补充验证"/>
    <w:p>
      <w:pPr>
        <w:pStyle w:val="2"/>
        <w:spacing w:line="312" w:lineRule="auto" w:before="0" w:after="0"/>
        <w:ind w:firstLine="0"/>
        <w:jc w:val="left"/>
      </w:pPr>
      <w:bookmarkStart w:id="96" w:name="_TocAuto0022"/>
      <w:r>
        <w:rPr>
          <w:rFonts w:ascii="Times New Roman" w:hAnsi="Times New Roman" w:eastAsia="黑体"/>
          <w:b w:val="0"/>
          <w:sz w:val="28"/>
        </w:rPr>
        <w:t xml:space="preserve">4.6 </w:t>
      </w:r>
      <w:r>
        <w:rPr>
          <w:rFonts w:hint="eastAsia" w:ascii="Times New Roman" w:hAnsi="Times New Roman" w:eastAsia="黑体"/>
          <w:b w:val="0"/>
          <w:sz w:val="28"/>
        </w:rPr>
        <w:t xml:space="preserve">基于机器学习方法的补充验证</w:t>
      </w:r>
      <w:bookmarkEnd w:id="96"/>
    </w:p>
    <w:p>
      <w:pPr>
        <w:spacing w:line="312" w:lineRule="auto" w:before="0" w:after="0"/>
        <w:ind w:firstLine="420"/>
        <w:jc w:val="both"/>
      </w:pPr>
      <w:r>
        <w:rPr>
          <w:rFonts w:hint="eastAsia" w:ascii="Times New Roman" w:hAnsi="Times New Roman" w:eastAsia="宋体"/>
          <w:b w:val="0"/>
          <w:sz w:val="21"/>
        </w:rPr>
        <w:t xml:space="preserve">本节围绕表4-5的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基准回归结论展开补充验证。与前文中介检验不同，这里不再纳入管理层权力变量，而是直接沿用基准回归的43,417个公司—年度观测，仅保留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这样安排后，机器学习部分主要回答四个命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的边际贡献排序是否支持同样判断、财政补贴变量在正则化筛选下是否会被压缩为0，以及在更灵活的非线性模型中财政补贴的局部趋势是否仍表现为总体上升。</w:t>
      </w:r>
    </w:p>
    <w:bookmarkStart w:id="59" w:name="随机森林特征重要性验证"/>
    <w:p>
      <w:pPr>
        <w:pStyle w:val="31"/>
        <w:spacing w:line="312" w:lineRule="auto" w:before="0" w:after="0"/>
        <w:ind w:firstLine="420"/>
        <w:jc w:val="left"/>
      </w:pPr>
      <w:r>
        <w:rPr>
          <w:rFonts w:ascii="Times New Roman" w:hAnsi="Times New Roman" w:eastAsia="宋体"/>
          <w:b w:val="0"/>
          <w:sz w:val="24"/>
        </w:rPr>
        <w:t xml:space="preserve">4.6.1 </w:t>
      </w:r>
      <w:r>
        <w:rPr>
          <w:rFonts w:hint="eastAsia" w:ascii="Times New Roman" w:hAnsi="Times New Roman" w:eastAsia="宋体"/>
          <w:b w:val="0"/>
          <w:sz w:val="24"/>
        </w:rPr>
        <w:t xml:space="preserve">随机森林特征重要性验证</w:t>
      </w:r>
    </w:p>
    <w:p>
      <w:pPr>
        <w:spacing w:line="312" w:lineRule="auto" w:before="0" w:after="0"/>
        <w:ind w:firstLine="420"/>
        <w:jc w:val="both"/>
      </w:pPr>
      <w:r>
        <w:rPr>
          <w:rFonts w:hint="eastAsia" w:ascii="Times New Roman" w:hAnsi="Times New Roman" w:eastAsia="宋体"/>
          <w:b w:val="0"/>
          <w:sz w:val="21"/>
        </w:rPr>
        <w:t xml:space="preserve">为进一步验证核心解释变量的信息含量，本文采用随机森林模型对各特征变量的重要性完成排序。随机森林这里采用基于基尼不纯度下降（Gini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 xml:space="preserve">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 xml:space="preserve">预测误差下降的平均贡献。某一变量的重要性数值越大，说明它在样本整体预测中提供的信息越多、对模型划分的贡献越高。但应注意，这种“重要性”衡量的是全局预测贡献，而不是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 xml:space="preserve">思路下的边际经济效应或因果带动。</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随机森林特征重要性排名</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221399"/>
            <wp:effectExtent b="0" l="0" r="0" t="0"/>
            <wp:docPr descr="" title="" id="12" name="Picture"/>
            <a:graphic>
              <a:graphicData uri="http://schemas.openxmlformats.org/drawingml/2006/picture">
                <pic:pic>
                  <pic:nvPicPr>
                    <pic:cNvPr descr="generated_tables/table_10.png" id="12" name="Picture"/>
                    <pic:cNvPicPr>
                      <a:picLocks noChangeArrowheads="1" noChangeAspect="1"/>
                    </pic:cNvPicPr>
                  </pic:nvPicPr>
                  <pic:blipFill>
                    <a:blip r:embed="rId34"/>
                    <a:stretch>
                      <a:fillRect/>
                    </a:stretch>
                  </pic:blipFill>
                  <pic:spPr bwMode="auto">
                    <a:xfrm>
                      <a:off x="0" y="0"/>
                      <a:ext cx="5579999" cy="1221399"/>
                    </a:xfrm>
                    <a:prstGeom prst="rect">
                      <a:avLst/>
                    </a:prstGeom>
                    <a:noFill/>
                    <a:ln w="9525">
                      <a:noFill/>
                      <a:headEnd/>
                      <a:tailEnd/>
                    </a:ln>
                  </pic:spPr>
                </pic:pic>
              </a:graphicData>
            </a:graphic>
          </wp:inline>
        </w:drawing>
      </w:r>
    </w:p>
    <w:p>
      <w:pPr>
        <w:spacing w:line="312" w:lineRule="auto" w:before="0" w:after="0"/>
        <w:ind w:firstLine="420"/>
        <w:jc w:val="both"/>
      </w:pPr>
      <w:r>
        <w:rPr>
          <w:rFonts w:hint="eastAsia" w:ascii="Times New Roman" w:hAnsi="Times New Roman" w:eastAsia="宋体"/>
          <w:b w:val="0"/>
          <w:sz w:val="21"/>
        </w:rPr>
        <w:t xml:space="preserve">排序估计显示，Roa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不表示财政补贴没有传导，而是说明树模型在做全局预测时，会更早利用盈利表现和股权集中度这类方差更大、信息量更广的基本面变量完成样本划分。相比之下，财政补贴更接近政策冲击型变量，其经济关联更多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基准回归中体现出的独立经济含义。随机森林的重要性排名和计量回归中的显著系数，本来就在回答两类不同命题。</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13" name="Picture"/>
            <a:graphic>
              <a:graphicData uri="http://schemas.openxmlformats.org/drawingml/2006/picture">
                <pic:pic>
                  <pic:nvPicPr>
                    <pic:cNvPr descr="./images/fig2_rf_importance_notitle.png" id="13" name="Picture"/>
                    <pic:cNvPicPr>
                      <a:picLocks noChangeArrowheads="1" noChangeAspect="1"/>
                    </pic:cNvPicPr>
                  </pic:nvPicPr>
                  <pic:blipFill>
                    <a:blip r:embed="rId35"/>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结合表4-9可以看到，财政补贴强度并未被边缘化，而是排在四个特征中的前列。可以据此判断：在控制企业盈利表现、杠杆与股权监督等关键特征之后，财政补贴变量仍保有一定预测信息，这与第四章基准回归中其系数显著为正的结论并不矛盾。</w:t>
      </w:r>
    </w:p>
    <w:bookmarkEnd w:id="56"/>
    <w:bookmarkStart w:id="60" w:name="shap值解释分析"/>
    <w:p>
      <w:pPr>
        <w:pStyle w:val="31"/>
        <w:spacing w:line="312" w:lineRule="auto" w:before="0" w:after="0"/>
        <w:ind w:firstLine="420"/>
        <w:jc w:val="left"/>
      </w:pPr>
      <w:r>
        <w:rPr>
          <w:rFonts w:ascii="Times New Roman" w:hAnsi="Times New Roman" w:eastAsia="宋体"/>
          <w:b w:val="0"/>
          <w:sz w:val="24"/>
        </w:rPr>
        <w:t xml:space="preserve">4.6.2 </w:t>
      </w:r>
      <w:r>
        <w:rPr>
          <w:rFonts w:hint="eastAsia" w:ascii="Times New Roman" w:hAnsi="Times New Roman" w:eastAsia="宋体"/>
          <w:b w:val="0"/>
          <w:sz w:val="24"/>
        </w:rPr>
        <w:t xml:space="preserve">SHAP值解释分析</w:t>
      </w:r>
    </w:p>
    <w:p>
      <w:pPr>
        <w:spacing w:line="312" w:lineRule="auto" w:before="0" w:after="0"/>
        <w:ind w:firstLine="420"/>
        <w:jc w:val="both"/>
      </w:pPr>
      <w:r>
        <w:rPr>
          <w:rFonts w:hint="eastAsia" w:ascii="Times New Roman" w:hAnsi="Times New Roman" w:eastAsia="宋体"/>
          <w:b w:val="0"/>
          <w:sz w:val="21"/>
        </w:rPr>
        <w:t xml:space="preserve">随机森林基于基尼不纯度得到的重要性，只能反映变量对模型整体预测的贡献大小，难以直接刻画变量对预测值波动的边际影响强弱。为补足这一点，本文进一步引入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exPlanations）工具，对随机森林模型的预测值做解释。具体做法是在保留样本中随机抽取2,000条观测，计算各变量的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 xml:space="preserve">值，并以平均绝对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值越大，说明该变量对预测值的边际牵动越强。</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SHAP值重要性排名</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221399"/>
            <wp:effectExtent b="0" l="0" r="0" t="0"/>
            <wp:docPr descr="" title="" id="14" name="Picture"/>
            <a:graphic>
              <a:graphicData uri="http://schemas.openxmlformats.org/drawingml/2006/picture">
                <pic:pic>
                  <pic:nvPicPr>
                    <pic:cNvPr descr="generated_tables/table_11.png" id="14" name="Picture"/>
                    <pic:cNvPicPr>
                      <a:picLocks noChangeArrowheads="1" noChangeAspect="1"/>
                    </pic:cNvPicPr>
                  </pic:nvPicPr>
                  <pic:blipFill>
                    <a:blip r:embed="rId36"/>
                    <a:stretch>
                      <a:fillRect/>
                    </a:stretch>
                  </pic:blipFill>
                  <pic:spPr bwMode="auto">
                    <a:xfrm>
                      <a:off x="0" y="0"/>
                      <a:ext cx="5579999" cy="1221399"/>
                    </a:xfrm>
                    <a:prstGeom prst="rect">
                      <a:avLst/>
                    </a:prstGeom>
                    <a:noFill/>
                    <a:ln w="9525">
                      <a:noFill/>
                      <a:headEnd/>
                      <a:tailEnd/>
                    </a:ln>
                  </pic:spPr>
                </pic:pic>
              </a:graphicData>
            </a:graphic>
          </wp:inline>
        </w:drawing>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15" name="Picture"/>
            <a:graphic>
              <a:graphicData uri="http://schemas.openxmlformats.org/drawingml/2006/picture">
                <pic:pic>
                  <pic:nvPicPr>
                    <pic:cNvPr descr="./images/fig3_shap_summary_notitle.png" id="15" name="Picture"/>
                    <pic:cNvPicPr>
                      <a:picLocks noChangeArrowheads="1" noChangeAspect="1"/>
                    </pic:cNvPicPr>
                  </pic:nvPicPr>
                  <pic:blipFill>
                    <a:blip r:embed="rId37"/>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SHAP值重要性图</w:t>
      </w:r>
    </w:p>
    <w:p>
      <w:pPr>
        <w:spacing w:line="312" w:lineRule="auto" w:before="0" w:after="0"/>
        <w:ind w:firstLine="420"/>
        <w:jc w:val="both"/>
      </w:pPr>
      <w:r>
        <w:rPr>
          <w:rFonts w:hint="eastAsia" w:ascii="Times New Roman" w:hAnsi="Times New Roman" w:eastAsia="宋体"/>
          <w:b w:val="0"/>
          <w:sz w:val="21"/>
        </w:rPr>
        <w:t xml:space="preserve">表4-10和图4-2显示，基于平均绝对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 xml:space="preserve">位列第4。换一个解释口径，排序仍未变化，说明财政补贴变量的重要性并非某一种指标偶然给出的统计数值。可以把这一排序理解为：财政补贴强度虽然不是树模型中最强的全局预测变量，但它对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 xml:space="preserve">的边际贡献仍处于前列，这与其作为基准回归核心解释变量的设定是一致的。</w:t>
      </w:r>
    </w:p>
    <w:bookmarkEnd w:id="57"/>
    <w:bookmarkStart w:id="61" w:name="lasso-系数保留与方向验证"/>
    <w:p>
      <w:pPr>
        <w:pStyle w:val="31"/>
        <w:spacing w:line="312" w:lineRule="auto" w:before="0" w:after="0"/>
        <w:ind w:firstLine="420"/>
        <w:jc w:val="left"/>
      </w:pPr>
      <w:r>
        <w:rPr>
          <w:rFonts w:ascii="Times New Roman" w:hAnsi="Times New Roman" w:eastAsia="宋体"/>
          <w:b w:val="0"/>
          <w:sz w:val="24"/>
        </w:rPr>
        <w:t xml:space="preserve">4.6.3 Lasso </w:t>
      </w:r>
      <w:r>
        <w:rPr>
          <w:rFonts w:hint="eastAsia" w:ascii="Times New Roman" w:hAnsi="Times New Roman" w:eastAsia="宋体"/>
          <w:b w:val="0"/>
          <w:sz w:val="24"/>
        </w:rPr>
        <w:t xml:space="preserve">系数保留与方向验证</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 xml:space="preserve">还能够部分缓解多重共线性带来的估计不稳定议题，因此适合用于检验财政补贴变量在更严格筛选条件下是否仍会被模型保留下来。</w:t>
      </w:r>
    </w:p>
    <w:p>
      <w:pPr>
        <w:spacing w:line="312" w:lineRule="auto" w:before="0" w:after="0"/>
        <w:ind w:firstLine="420"/>
        <w:jc w:val="both"/>
      </w:pPr>
      <w:r>
        <w:rPr>
          <w:rFonts w:hint="eastAsia" w:ascii="Times New Roman" w:hAnsi="Times New Roman" w:eastAsia="宋体"/>
          <w:b w:val="0"/>
          <w:sz w:val="21"/>
        </w:rPr>
        <w:t xml:space="preserve">在当前4变量设定下，最优惩罚参数约为</w:t>
      </w:r>
      <w:r>
        <w:rPr>
          <w:rFonts w:ascii="Times New Roman" w:hAnsi="Times New Roman" w:eastAsia="宋体"/>
          <w:b w:val="0"/>
          <w:sz w:val="21"/>
        </w:rPr>
        <w:t xml:space="preserve"> </w:t>
      </w:r>
      <m:oMath>
        <m:sSup>
          <m:e>
            <m:r>
              <m:t>λ</m:t>
            </m:r>
          </m:e>
          <m:sup>
            <m:r>
              <m:rPr>
                <m:sty m:val="p"/>
              </m:rPr>
              <m:t>*</m:t>
            </m:r>
          </m:sup>
        </m:sSup>
        <m:r>
          <m:rPr>
            <m:sty m:val="p"/>
          </m:rPr>
          <m:t>=</m:t>
        </m:r>
        <m:r>
          <m:t>0.000265</m:t>
        </m:r>
      </m:oMath>
      <w:r>
        <w:rPr>
          <w:rFonts w:hint="eastAsia" w:ascii="Times New Roman" w:hAnsi="Times New Roman" w:eastAsia="宋体"/>
          <w:b w:val="0"/>
          <w:sz w:val="21"/>
        </w:rPr>
        <w:t xml:space="preserve">。估计显示，4个候选特征均未被压缩为0，其中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Top1 </w:t>
      </w:r>
      <w:r>
        <w:rPr>
          <w:rFonts w:hint="eastAsia" w:ascii="Times New Roman" w:hAnsi="Times New Roman" w:eastAsia="宋体"/>
          <w:b w:val="0"/>
          <w:sz w:val="21"/>
        </w:rPr>
        <w:t xml:space="preserve">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 xml:space="preserve">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基准回归中的正向系数保持一致。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16" name="Picture"/>
            <a:graphic>
              <a:graphicData uri="http://schemas.openxmlformats.org/drawingml/2006/picture">
                <pic:pic>
                  <pic:nvPicPr>
                    <pic:cNvPr descr="./images/fig1_lasso_path_notitle.png" id="16" name="Picture"/>
                    <pic:cNvPicPr>
                      <a:picLocks noChangeArrowheads="1" noChangeAspect="1"/>
                    </pic:cNvPicPr>
                  </pic:nvPicPr>
                  <pic:blipFill>
                    <a:blip r:embed="rId38"/>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在最优参数附近仍保持正向系数，并未被压缩掉。也就是说，财政补贴变量没有在更严格的筛选下消失，仍保有稳定信息含量。</w:t>
      </w:r>
    </w:p>
    <w:bookmarkEnd w:id="58"/>
    <w:bookmarkStart w:id="62" w:name="xgboost-特征重要性与部分依赖验证"/>
    <w:p>
      <w:pPr>
        <w:pStyle w:val="31"/>
        <w:spacing w:line="312" w:lineRule="auto" w:before="0" w:after="0"/>
        <w:ind w:firstLine="420"/>
        <w:jc w:val="left"/>
      </w:pPr>
      <w:r>
        <w:rPr>
          <w:rFonts w:ascii="Times New Roman" w:hAnsi="Times New Roman" w:eastAsia="宋体"/>
          <w:b w:val="0"/>
          <w:sz w:val="24"/>
        </w:rPr>
        <w:t xml:space="preserve">4.6.4 XGBoost </w:t>
      </w:r>
      <w:r>
        <w:rPr>
          <w:rFonts w:hint="eastAsia" w:ascii="Times New Roman" w:hAnsi="Times New Roman" w:eastAsia="宋体"/>
          <w:b w:val="0"/>
          <w:sz w:val="24"/>
        </w:rPr>
        <w:t xml:space="preserve">特征重要性与部分依赖验证</w:t>
      </w:r>
    </w:p>
    <w:p>
      <w:pPr>
        <w:spacing w:line="312" w:lineRule="auto" w:before="0" w:after="0"/>
        <w:ind w:firstLine="420"/>
        <w:jc w:val="both"/>
      </w:pPr>
      <w:r>
        <w:rPr>
          <w:rFonts w:hint="eastAsia" w:ascii="Times New Roman" w:hAnsi="Times New Roman" w:eastAsia="宋体"/>
          <w:b w:val="0"/>
          <w:sz w:val="21"/>
        </w:rPr>
        <w:t xml:space="preserve">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模型实施两项补充检验：其一，考察财政补贴与控制变量在更灵活树模型中的特征重要性排序；其二，通过部分依赖图（Partial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PDP）刻画财政补贴对超额薪酬的局部关联趋势。</w:t>
      </w:r>
    </w:p>
    <w:p>
      <w:pPr>
        <w:spacing w:line="312" w:lineRule="auto" w:before="0" w:after="0"/>
        <w:ind w:firstLine="420"/>
        <w:jc w:val="both"/>
      </w:pPr>
      <w:r>
        <w:rPr>
          <w:rFonts w:hint="eastAsia" w:ascii="Times New Roman" w:hAnsi="Times New Roman" w:eastAsia="宋体"/>
          <w:b w:val="0"/>
          <w:sz w:val="21"/>
        </w:rPr>
        <w:t xml:space="preserve">从特征重要性排序估计来看，在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 xml:space="preserve">具有较高解释贡献的关键特征，其重要性排序与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基准回归的核心变量设定保持一致。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1785254"/>
            <wp:effectExtent b="0" l="0" r="0" t="0"/>
            <wp:docPr descr="" title="" id="17" name="Picture"/>
            <a:graphic>
              <a:graphicData uri="http://schemas.openxmlformats.org/drawingml/2006/picture">
                <pic:pic>
                  <pic:nvPicPr>
                    <pic:cNvPr descr="./images/fig4_shap_subsidy_notitle.png" id="17" name="Picture"/>
                    <pic:cNvPicPr>
                      <a:picLocks noChangeArrowheads="1" noChangeAspect="1"/>
                    </pic:cNvPicPr>
                  </pic:nvPicPr>
                  <pic:blipFill>
                    <a:blip r:embed="rId39"/>
                    <a:stretch>
                      <a:fillRect/>
                    </a:stretch>
                  </pic:blipFill>
                  <pic:spPr bwMode="auto">
                    <a:xfrm>
                      <a:off x="0" y="0"/>
                      <a:ext cx="5753100" cy="1785254"/>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图4-4</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图4-4右侧的部分依赖图显示的是：在其他变量处于平均取值时，财政补贴变化如何影响模型预测的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Overpay。它反映的是</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下的条件关联模式，不是计量经济学层面上的边际因果效应。从图形走势看，财政补贴的部分依赖关系呈现明显的非线性和非单调特征：低补贴区间内，曲线长期停留在负值附近并伴随小幅波动；进入较高补贴区间后，曲线由负转正并明显抬升，整体上是先平缓、后上升。这显示财政补贴对超额薪酬的关联并非线性均匀展开，在较高补贴区间会出现更明显的正向预测关联。</w:t>
      </w:r>
    </w:p>
    <w:p>
      <w:pPr>
        <w:spacing w:line="312" w:lineRule="auto" w:before="0" w:after="0"/>
        <w:ind w:firstLine="420"/>
        <w:jc w:val="both"/>
      </w:pPr>
      <w:r>
        <w:rPr>
          <w:rFonts w:hint="eastAsia" w:ascii="Times New Roman" w:hAnsi="Times New Roman" w:eastAsia="宋体"/>
          <w:b w:val="0"/>
          <w:sz w:val="21"/>
        </w:rPr>
        <w:t xml:space="preserve">综合随机森林、SHAP、Lasso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四项检验，可以对机器学习补充验证做出如下整体判断。财政补贴强度在四种不同路径中均未被边缘化：在随机森林和SHAP中排名第3，在XGBoost中排名第2，在Lasso中未被压缩为零且方向为正，说明补贴变量在预测层面保留了相对稳定的信息含量。四种处理方式给出的方向与OLS基准回归相互呼应；Lasso</w:t>
      </w:r>
      <w:r>
        <w:rPr>
          <w:rFonts w:ascii="Times New Roman" w:hAnsi="Times New Roman" w:eastAsia="宋体"/>
          <w:b w:val="0"/>
          <w:sz w:val="21"/>
        </w:rPr>
        <w:t xml:space="preserve"> </w:t>
      </w:r>
      <w:r>
        <w:rPr>
          <w:rFonts w:hint="eastAsia" w:ascii="Times New Roman" w:hAnsi="Times New Roman" w:eastAsia="宋体"/>
          <w:b w:val="0"/>
          <w:sz w:val="21"/>
        </w:rPr>
        <w:t xml:space="preserve">保留正系数，XGBoost</w:t>
      </w:r>
      <w:r>
        <w:rPr>
          <w:rFonts w:ascii="Times New Roman" w:hAnsi="Times New Roman" w:eastAsia="宋体"/>
          <w:b w:val="0"/>
          <w:sz w:val="21"/>
        </w:rPr>
        <w:t xml:space="preserve"> </w:t>
      </w:r>
      <w:r>
        <w:rPr>
          <w:rFonts w:hint="eastAsia" w:ascii="Times New Roman" w:hAnsi="Times New Roman" w:eastAsia="宋体"/>
          <w:b w:val="0"/>
          <w:sz w:val="21"/>
        </w:rPr>
        <w:t xml:space="preserve">部分依赖图也呈总体上升形态，说明在更灵活的模型中，补贴强度与超额薪酬的正向联系仍能被观察到。XGBoost部分依赖图揭示的”低补贴区间平缓、高补贴区间明显抬升”的非线性特征，提供了OLS线性系数无法直接捕捉的补充信息：补贴效应并非沿全区间均匀展开，而是在较高强度下才显著加速，这与财政补贴超过一定阈值后更容易突破治理约束的理论推断相吻合。</w:t>
      </w:r>
    </w:p>
    <w:p>
      <w:pPr>
        <w:spacing w:line="312" w:lineRule="auto" w:before="0" w:after="0"/>
        <w:ind w:firstLine="420"/>
        <w:jc w:val="both"/>
      </w:pPr>
      <w:r>
        <w:rPr>
          <w:rFonts w:hint="eastAsia" w:ascii="Times New Roman" w:hAnsi="Times New Roman" w:eastAsia="宋体"/>
          <w:b w:val="0"/>
          <w:sz w:val="21"/>
        </w:rPr>
        <w:t xml:space="preserve">机器学习部分没有改变第四章已经写明的边界——中介效应经济幅度有限、因果解释仍需谨慎；它提供的是从预测角度对基准回归核心变量地位的独立确认。</w:t>
      </w:r>
    </w:p>
    <w:bookmarkEnd w:id="59"/>
    <w:bookmarkEnd w:id="60"/>
    <w:bookmarkStart w:id="63" w:name="中介效应分析"/>
    <w:p>
      <w:pPr>
        <w:pStyle w:val="2"/>
        <w:spacing w:line="312" w:lineRule="auto" w:before="0" w:after="0"/>
        <w:ind w:firstLine="0"/>
        <w:jc w:val="left"/>
      </w:pPr>
      <w:bookmarkStart w:id="97" w:name="_TocAuto0023"/>
      <w:r>
        <w:rPr>
          <w:rFonts w:ascii="Times New Roman" w:hAnsi="Times New Roman" w:eastAsia="黑体"/>
          <w:b w:val="0"/>
          <w:sz w:val="28"/>
        </w:rPr>
        <w:t xml:space="preserve">4.7 </w:t>
      </w:r>
      <w:r>
        <w:rPr>
          <w:rFonts w:hint="eastAsia" w:ascii="Times New Roman" w:hAnsi="Times New Roman" w:eastAsia="黑体"/>
          <w:b w:val="0"/>
          <w:sz w:val="28"/>
        </w:rPr>
        <w:t xml:space="preserve">中介效应分析</w:t>
      </w:r>
      <w:bookmarkEnd w:id="97"/>
    </w:p>
    <w:p>
      <w:pPr>
        <w:spacing w:line="312" w:lineRule="auto" w:before="0" w:after="0"/>
        <w:ind w:firstLine="420"/>
        <w:jc w:val="both"/>
      </w:pPr>
      <w:r>
        <w:rPr>
          <w:rFonts w:ascii="Times New Roman" w:hAnsi="Times New Roman" w:eastAsia="宋体"/>
          <w:b w:val="0"/>
          <w:sz w:val="21"/>
        </w:rPr>
        <w:t xml:space="preserve">Baron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的经典设定通常先观察总效应（其模型局限可参见</w:t>
      </w:r>
      <w:r>
        <w:rPr>
          <w:rFonts w:ascii="Times New Roman" w:hAnsi="Times New Roman" w:eastAsia="宋体"/>
          <w:b w:val="0"/>
          <w:sz w:val="21"/>
        </w:rPr>
        <w:t xml:space="preserve"> Zhao、Lynch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Chen（2010）</w:t>
      </w:r>
      <w:r>
        <w:rPr>
          <w:rFonts w:ascii="Times New Roman" w:hAnsi="Times New Roman" w:eastAsia="宋体"/>
          <w:b w:val="0"/>
          <w:sz w:val="21"/>
          <w:vertAlign w:val="superscript"/>
        </w:rPr>
        <w:t>[15]</w:t>
      </w:r>
      <w:r>
        <w:rPr>
          <w:rFonts w:hint="eastAsia" w:ascii="Times New Roman" w:hAnsi="Times New Roman" w:eastAsia="宋体"/>
          <w:b w:val="0"/>
          <w:sz w:val="21"/>
        </w:rPr>
        <w:t xml:space="preserve">的讨论），再讨论中介路径。尽管新的总效应已经显著，本节仍将相关证据定位为探索性路径检验，而非严格层面上的因果中介证据，因为管理层权力指标本身仍属于经验性综合测度。</w:t>
      </w:r>
    </w:p>
    <w:bookmarkStart w:id="64" w:name="中介变量构成与测度说明"/>
    <w:p>
      <w:pPr>
        <w:pStyle w:val="31"/>
        <w:spacing w:line="312" w:lineRule="auto" w:before="0" w:after="0"/>
        <w:ind w:firstLine="420"/>
        <w:jc w:val="left"/>
      </w:pPr>
      <w:r>
        <w:rPr>
          <w:rFonts w:ascii="Times New Roman" w:hAnsi="Times New Roman" w:eastAsia="宋体"/>
          <w:b w:val="0"/>
          <w:sz w:val="24"/>
        </w:rPr>
        <w:t xml:space="preserve">4.7.1 </w:t>
      </w:r>
      <w:r>
        <w:rPr>
          <w:rFonts w:hint="eastAsia" w:ascii="Times New Roman" w:hAnsi="Times New Roman" w:eastAsia="宋体"/>
          <w:b w:val="0"/>
          <w:sz w:val="24"/>
        </w:rPr>
        <w:t xml:space="preserve">中介变量构成与测度说明</w:t>
      </w:r>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为检验财政补贴是否会经由管理层权力带动高管超额薪酬，将管理层权力指标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结构。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层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在测度做法上，正文采用主成分拆解法（PCA）提取前两个主成分，并按方差贡献率加权形成综合权力指数</w:t>
      </w:r>
      <w:r>
        <w:rPr>
          <w:rFonts w:ascii="Times New Roman" w:hAnsi="Times New Roman" w:eastAsia="宋体"/>
          <w:b w:val="0"/>
          <w:sz w:val="21"/>
        </w:rPr>
        <w:t xml:space="preserve"> Power。PCA </w:t>
      </w:r>
      <w:r>
        <w:rPr>
          <w:rFonts w:hint="eastAsia" w:ascii="Times New Roman" w:hAnsi="Times New Roman" w:eastAsia="宋体"/>
          <w:b w:val="0"/>
          <w:sz w:val="21"/>
        </w:rPr>
        <w:t xml:space="preserve">直接以四项治理指标的共同变异信息为基础提取综合得分，在不额外设定潜在结构的前提下压缩多维治理特征；按方差贡献率加权，则是为了让解释力更高的主成分在综合指数中占据更大权重，避免简单平均造成的信息损失。</w:t>
      </w:r>
    </w:p>
    <w:p>
      <w:pPr>
        <w:spacing w:line="312" w:lineRule="auto" w:before="0" w:after="0"/>
        <w:ind w:firstLine="420"/>
        <w:jc w:val="both"/>
      </w:pPr>
      <w:r>
        <w:rPr>
          <w:rFonts w:hint="eastAsia" w:ascii="Times New Roman" w:hAnsi="Times New Roman" w:eastAsia="宋体"/>
          <w:b w:val="0"/>
          <w:sz w:val="21"/>
        </w:rPr>
        <w:t xml:space="preserve">统计诊断上，PCA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约为0.565，前两个主成分累计方差解释率约为69.08%。PC1（43.0%）主要载荷于</w:t>
      </w:r>
      <w:r>
        <w:rPr>
          <w:rFonts w:ascii="Times New Roman" w:hAnsi="Times New Roman" w:eastAsia="宋体"/>
          <w:b w:val="0"/>
          <w:sz w:val="21"/>
        </w:rPr>
        <w:t xml:space="preserve"> </w:t>
      </w:r>
      <w:r>
        <w:rPr>
          <w:rFonts w:hint="eastAsia" w:ascii="Times New Roman" w:hAnsi="Times New Roman" w:eastAsia="宋体"/>
          <w:b w:val="0"/>
          <w:sz w:val="21"/>
        </w:rPr>
        <w:t xml:space="preserve">Boardsize（0.615）与</w:t>
      </w:r>
      <w:r>
        <w:rPr>
          <w:rFonts w:ascii="Times New Roman" w:hAnsi="Times New Roman" w:eastAsia="宋体"/>
          <w:b w:val="0"/>
          <w:sz w:val="21"/>
        </w:rPr>
        <w:t xml:space="preserve"> </w:t>
      </w:r>
      <w:r>
        <w:rPr>
          <w:rFonts w:hint="eastAsia" w:ascii="Times New Roman" w:hAnsi="Times New Roman" w:eastAsia="宋体"/>
          <w:b w:val="0"/>
          <w:sz w:val="21"/>
        </w:rPr>
        <w:t xml:space="preserve">Insider（0.544），反映董事会结构权力维度；PC2（26.1%）主要载荷于</w:t>
      </w:r>
      <w:r>
        <w:rPr>
          <w:rFonts w:ascii="Times New Roman" w:hAnsi="Times New Roman" w:eastAsia="宋体"/>
          <w:b w:val="0"/>
          <w:sz w:val="21"/>
        </w:rPr>
        <w:t xml:space="preserve"> </w:t>
      </w:r>
      <w:r>
        <w:rPr>
          <w:rFonts w:hint="eastAsia" w:ascii="Times New Roman" w:hAnsi="Times New Roman" w:eastAsia="宋体"/>
          <w:b w:val="0"/>
          <w:sz w:val="21"/>
        </w:rPr>
        <w:t xml:space="preserve">Mgshder（0.584）、Dual（0.554）和</w:t>
      </w:r>
      <w:r>
        <w:rPr>
          <w:rFonts w:ascii="Times New Roman" w:hAnsi="Times New Roman" w:eastAsia="宋体"/>
          <w:b w:val="0"/>
          <w:sz w:val="21"/>
        </w:rPr>
        <w:t xml:space="preserve"> </w:t>
      </w:r>
      <w:r>
        <w:rPr>
          <w:rFonts w:hint="eastAsia" w:ascii="Times New Roman" w:hAnsi="Times New Roman" w:eastAsia="宋体"/>
          <w:b w:val="0"/>
          <w:sz w:val="21"/>
        </w:rPr>
        <w:t xml:space="preserve">Insider（0.517），反映所有权与职位权力维度。四项指标在样本中呈现出可识别的结构分化。KMO</w:t>
      </w:r>
      <w:r>
        <w:rPr>
          <w:rFonts w:ascii="Times New Roman" w:hAnsi="Times New Roman" w:eastAsia="宋体"/>
          <w:b w:val="0"/>
          <w:sz w:val="21"/>
        </w:rPr>
        <w:t xml:space="preserve"> </w:t>
      </w:r>
      <w:r>
        <w:rPr>
          <w:rFonts w:hint="eastAsia" w:ascii="Times New Roman" w:hAnsi="Times New Roman" w:eastAsia="宋体"/>
          <w:b w:val="0"/>
          <w:sz w:val="21"/>
        </w:rPr>
        <w:t xml:space="preserve">偏低，说明四项指标的共同变异不算强，潜在结构也不算紧密；不过，PCA</w:t>
      </w:r>
      <w:r>
        <w:rPr>
          <w:rFonts w:ascii="Times New Roman" w:hAnsi="Times New Roman" w:eastAsia="宋体"/>
          <w:b w:val="0"/>
          <w:sz w:val="21"/>
        </w:rPr>
        <w:t xml:space="preserve"> </w:t>
      </w:r>
      <w:r>
        <w:rPr>
          <w:rFonts w:hint="eastAsia" w:ascii="Times New Roman" w:hAnsi="Times New Roman" w:eastAsia="宋体"/>
          <w:b w:val="0"/>
          <w:sz w:val="21"/>
        </w:rPr>
        <w:t xml:space="preserve">的重点在于降维和信息压缩，只要前几个主成分能够覆盖样本中的主要方差信息，这一综合口径仍可作为经验测度使用。就本文而言，69.08%的累计方差解释率已经覆盖了多数信息，因此仍将其作为管理层权力的经验性综合指标，并在结论解释中保持审慎。</w:t>
      </w:r>
    </w:p>
    <w:bookmarkEnd w:id="61"/>
    <w:bookmarkStart w:id="65" w:name="中介效应检验结果"/>
    <w:p>
      <w:pPr>
        <w:pStyle w:val="31"/>
        <w:spacing w:line="312" w:lineRule="auto" w:before="0" w:after="0"/>
        <w:ind w:firstLine="420"/>
        <w:jc w:val="left"/>
      </w:pPr>
      <w:r>
        <w:rPr>
          <w:rFonts w:ascii="Times New Roman" w:hAnsi="Times New Roman" w:eastAsia="宋体"/>
          <w:b w:val="0"/>
          <w:sz w:val="24"/>
        </w:rPr>
        <w:t xml:space="preserve">4.7.2 </w:t>
      </w:r>
      <w:r>
        <w:rPr>
          <w:rFonts w:hint="eastAsia" w:ascii="Times New Roman" w:hAnsi="Times New Roman" w:eastAsia="宋体"/>
          <w:b w:val="0"/>
          <w:sz w:val="24"/>
        </w:rPr>
        <w:t xml:space="preserve">中介效应检验结果</w:t>
      </w:r>
    </w:p>
    <w:p>
      <w:pPr>
        <w:spacing w:line="312" w:lineRule="auto" w:before="0" w:after="0"/>
        <w:ind w:firstLine="420"/>
        <w:jc w:val="both"/>
      </w:pPr>
      <w:r>
        <w:rPr>
          <w:rFonts w:hint="eastAsia" w:ascii="Times New Roman" w:hAnsi="Times New Roman" w:eastAsia="宋体"/>
          <w:b w:val="0"/>
          <w:sz w:val="21"/>
        </w:rPr>
        <w:t xml:space="preserve">在完成选择偏差校正后，将基于</w:t>
      </w:r>
      <w:r>
        <w:rPr>
          <w:rFonts w:ascii="Times New Roman" w:hAnsi="Times New Roman" w:eastAsia="宋体"/>
          <w:b w:val="0"/>
          <w:sz w:val="21"/>
        </w:rPr>
        <w:t xml:space="preserve"> PCA </w:t>
      </w:r>
      <w:r>
        <w:rPr>
          <w:rFonts w:hint="eastAsia" w:ascii="Times New Roman" w:hAnsi="Times New Roman" w:eastAsia="宋体"/>
          <w:b w:val="0"/>
          <w:sz w:val="21"/>
        </w:rPr>
        <w:t xml:space="preserve">构造的管理层权力指标纳入中介效应分析结构。为保证模型3至模型5之间具有可比性，这一部分统一使用同时具备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信息的41,186个样本，见表4-11。需注意，由于统一样本（41,186条）少于基准回归样本（43,417条），模型3中的总效应系数与表4-5的基准回归系数略有差异，这一变化主要来自样本组成调整，而非模型设定改变。</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管理层权力的中介效应检验结果（模型3至模型5，PCA口径）</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16599"/>
            <wp:effectExtent b="0" l="0" r="0" t="0"/>
            <wp:docPr descr="" title="" id="18" name="Picture"/>
            <a:graphic>
              <a:graphicData uri="http://schemas.openxmlformats.org/drawingml/2006/picture">
                <pic:pic>
                  <pic:nvPicPr>
                    <pic:cNvPr descr="generated_tables/table_12.png" id="18" name="Picture"/>
                    <pic:cNvPicPr>
                      <a:picLocks noChangeArrowheads="1" noChangeAspect="1"/>
                    </pic:cNvPicPr>
                  </pic:nvPicPr>
                  <pic:blipFill>
                    <a:blip r:embed="rId40"/>
                    <a:stretch>
                      <a:fillRect/>
                    </a:stretch>
                  </pic:blipFill>
                  <pic:spPr bwMode="auto">
                    <a:xfrm>
                      <a:off x="0" y="0"/>
                      <a:ext cx="5579999" cy="18165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表4-11显示，PCA</w:t>
      </w:r>
      <w:r>
        <w:rPr>
          <w:rFonts w:ascii="Times New Roman" w:hAnsi="Times New Roman" w:eastAsia="宋体"/>
          <w:b w:val="0"/>
          <w:sz w:val="21"/>
        </w:rPr>
        <w:t xml:space="preserve"> </w:t>
      </w:r>
      <w:r>
        <w:rPr>
          <w:rFonts w:hint="eastAsia" w:ascii="Times New Roman" w:hAnsi="Times New Roman" w:eastAsia="宋体"/>
          <w:b w:val="0"/>
          <w:sz w:val="21"/>
        </w:rPr>
        <w:t xml:space="preserve">口径下中介链条的三步路径均达到显著性标准。统一样本上的总效应（模型3）系数为0.0092，并在1%的统计层面上显著；路径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的系数为0.0146，也在1%的统计层面上显著（p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0.005），说明补贴强度上升与管理层权力抬升相伴随；模型5中，Power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的系数为0.0173，在5%的统计层面上显著（p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0.011），提示在控制补贴强度后，管理层权力仍与超额薪酬存在正向关联；补贴的直接效应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为0.0089，仍在1%的统计层面上显著（p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0.009），说明补贴对超额薪酬的牵动有一部分经由管理层权力传导，另一部分仍保留在直接路径上。Bootstrap</w:t>
      </w:r>
      <w:r>
        <w:rPr>
          <w:rFonts w:ascii="Times New Roman" w:hAnsi="Times New Roman" w:eastAsia="宋体"/>
          <w:b w:val="0"/>
          <w:sz w:val="21"/>
        </w:rPr>
        <w:t xml:space="preserve"> </w:t>
      </w:r>
      <w:r>
        <w:rPr>
          <w:rFonts w:hint="eastAsia" w:ascii="Times New Roman" w:hAnsi="Times New Roman" w:eastAsia="宋体"/>
          <w:b w:val="0"/>
          <w:sz w:val="21"/>
        </w:rPr>
        <w:t xml:space="preserve">检验（300次重复抽样）的间接效应95%置信区间为[0.000034,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 xml:space="preserve">0.000609]，不包含零，对应</w:t>
      </w:r>
      <w:r>
        <w:rPr>
          <w:rFonts w:ascii="Times New Roman" w:hAnsi="Times New Roman" w:eastAsia="宋体"/>
          <w:b w:val="0"/>
          <w:sz w:val="21"/>
        </w:rPr>
        <w:t xml:space="preserve"> p = </w:t>
      </w:r>
      <w:r>
        <w:rPr>
          <w:rFonts w:hint="eastAsia" w:ascii="Times New Roman" w:hAnsi="Times New Roman" w:eastAsia="宋体"/>
          <w:b w:val="0"/>
          <w:sz w:val="21"/>
        </w:rPr>
        <w:t xml:space="preserve">0.007，与三步回归的方向一致。Sobel</w:t>
      </w:r>
      <w:r>
        <w:rPr>
          <w:rFonts w:ascii="Times New Roman" w:hAnsi="Times New Roman" w:eastAsia="宋体"/>
          <w:b w:val="0"/>
          <w:sz w:val="21"/>
        </w:rPr>
        <w:t xml:space="preserve"> </w:t>
      </w:r>
      <w:r>
        <w:rPr>
          <w:rFonts w:hint="eastAsia" w:ascii="Times New Roman" w:hAnsi="Times New Roman" w:eastAsia="宋体"/>
          <w:b w:val="0"/>
          <w:sz w:val="21"/>
        </w:rPr>
        <w:t xml:space="preserve">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值为0.059，仅处于边际显著性标准。考虑到</w:t>
      </w:r>
      <w:r>
        <w:rPr>
          <w:rFonts w:ascii="Times New Roman" w:hAnsi="Times New Roman" w:eastAsia="宋体"/>
          <w:b w:val="0"/>
          <w:sz w:val="21"/>
        </w:rPr>
        <w:t xml:space="preserve"> Sobel </w:t>
      </w:r>
      <w:r>
        <w:rPr>
          <w:rFonts w:hint="eastAsia" w:ascii="Times New Roman" w:hAnsi="Times New Roman" w:eastAsia="宋体"/>
          <w:b w:val="0"/>
          <w:sz w:val="21"/>
        </w:rPr>
        <w:t xml:space="preserve">对间接效应正态性的假设更强，文中仍以</w:t>
      </w:r>
      <w:r>
        <w:rPr>
          <w:rFonts w:ascii="Times New Roman" w:hAnsi="Times New Roman" w:eastAsia="宋体"/>
          <w:b w:val="0"/>
          <w:sz w:val="21"/>
        </w:rPr>
        <w:t xml:space="preserve"> Bootstrap </w:t>
      </w:r>
      <w:r>
        <w:rPr>
          <w:rFonts w:hint="eastAsia" w:ascii="Times New Roman" w:hAnsi="Times New Roman" w:eastAsia="宋体"/>
          <w:b w:val="0"/>
          <w:sz w:val="21"/>
        </w:rPr>
        <w:t xml:space="preserve">结论作为主要参考。</w:t>
      </w:r>
    </w:p>
    <w:p>
      <w:pPr>
        <w:spacing w:line="312" w:lineRule="auto" w:before="0" w:after="0"/>
        <w:ind w:firstLine="420"/>
        <w:jc w:val="both"/>
      </w:pPr>
      <w:r>
        <w:rPr>
          <w:rFonts w:hint="eastAsia" w:ascii="Times New Roman" w:hAnsi="Times New Roman" w:eastAsia="宋体"/>
          <w:b w:val="0"/>
          <w:sz w:val="21"/>
        </w:rPr>
        <w:t xml:space="preserve">综合来看，PCA</w:t>
      </w:r>
      <w:r>
        <w:rPr>
          <w:rFonts w:ascii="Times New Roman" w:hAnsi="Times New Roman" w:eastAsia="宋体"/>
          <w:b w:val="0"/>
          <w:sz w:val="21"/>
        </w:rPr>
        <w:t xml:space="preserve"> </w:t>
      </w:r>
      <w:r>
        <w:rPr>
          <w:rFonts w:hint="eastAsia" w:ascii="Times New Roman" w:hAnsi="Times New Roman" w:eastAsia="宋体"/>
          <w:b w:val="0"/>
          <w:sz w:val="21"/>
        </w:rPr>
        <w:t xml:space="preserve">口径下管理层权力在补贴强度与超额薪酬之间发挥了部分中介角色，H2</w:t>
      </w:r>
      <w:r>
        <w:rPr>
          <w:rFonts w:ascii="Times New Roman" w:hAnsi="Times New Roman" w:eastAsia="宋体"/>
          <w:b w:val="0"/>
          <w:sz w:val="21"/>
        </w:rPr>
        <w:t xml:space="preserve"> </w:t>
      </w:r>
      <w:r>
        <w:rPr>
          <w:rFonts w:hint="eastAsia" w:ascii="Times New Roman" w:hAnsi="Times New Roman" w:eastAsia="宋体"/>
          <w:b w:val="0"/>
          <w:sz w:val="21"/>
        </w:rPr>
        <w:t xml:space="preserve">获得支持。从经济含义来看，间接效应（</w:t>
      </w:r>
      <m:oMath>
        <m:r>
          <m:t>a</m:t>
        </m:r>
        <m:r>
          <m:rPr>
            <m:sty m:val="p"/>
          </m:rPr>
          <m:t>×</m:t>
        </m:r>
        <m:r>
          <m:t>b</m:t>
        </m:r>
        <m:r>
          <m:rPr>
            <m:sty m:val="p"/>
          </m:rPr>
          <m:t>=</m:t>
        </m:r>
        <m:r>
          <m:t>0.0146</m:t>
        </m:r>
        <m:r>
          <m:rPr>
            <m:sty m:val="p"/>
          </m:rPr>
          <m:t>×</m:t>
        </m:r>
        <m:r>
          <m:t>0.0173</m:t>
        </m:r>
        <m:r>
          <m:rPr>
            <m:sty m:val="p"/>
          </m:rPr>
          <m:t>≈</m:t>
        </m:r>
        <m:r>
          <m:t>0.00025</m:t>
        </m:r>
      </m:oMath>
      <w:r>
        <w:rPr>
          <w:rFonts w:hint="eastAsia" w:ascii="Times New Roman" w:hAnsi="Times New Roman" w:eastAsia="宋体"/>
          <w:b w:val="0"/>
          <w:sz w:val="21"/>
        </w:rPr>
        <w:t xml:space="preserve">）仅占总效应（0.0092）的约3%，说明补贴强度对超额薪酬的牵动绝大部分通过直接路径传导，经由管理层权力中介的部分非常有限。这一证据的可能解释是：补贴资源对超额薪酬的直接推动（如改善账面业绩后被纳入绩效薪酬基数、放松董事会的支付约束等）远强于通过改变权力结构形成的间接传导。管理层权力作为中介变量的传导虽在统计上成立，但在经济规模上受到两个因素的制约：从测度上看，Power本身是基于可观测治理特征构造的经验性综合测度，难以完整捕捉真实的权力变动；从估计结构看，公司固定效应思路下的</w:t>
      </w:r>
      <w:r>
        <w:rPr>
          <w:rFonts w:ascii="Times New Roman" w:hAnsi="Times New Roman" w:eastAsia="宋体"/>
          <w:b w:val="0"/>
          <w:sz w:val="21"/>
        </w:rPr>
        <w:t xml:space="preserve"> Power </w:t>
      </w:r>
      <w:r>
        <w:rPr>
          <w:rFonts w:hint="eastAsia" w:ascii="Times New Roman" w:hAnsi="Times New Roman" w:eastAsia="宋体"/>
          <w:b w:val="0"/>
          <w:sz w:val="21"/>
        </w:rPr>
        <w:t xml:space="preserve">组内变异主要来自治理结构的缓慢调整，这部分变异本身就较小。因此，相关证据更适合理解为“传导力度有限，但权力渠道存在”。</w:t>
      </w:r>
    </w:p>
    <w:bookmarkEnd w:id="62"/>
    <w:bookmarkEnd w:id="63"/>
    <w:bookmarkStart w:id="66" w:name="异质性分析"/>
    <w:p>
      <w:pPr>
        <w:pStyle w:val="2"/>
        <w:spacing w:line="312" w:lineRule="auto" w:before="0" w:after="0"/>
        <w:ind w:firstLine="0"/>
        <w:jc w:val="left"/>
      </w:pPr>
      <w:bookmarkStart w:id="98" w:name="_TocAuto0024"/>
      <w:r>
        <w:rPr>
          <w:rFonts w:ascii="Times New Roman" w:hAnsi="Times New Roman" w:eastAsia="黑体"/>
          <w:b w:val="0"/>
          <w:sz w:val="28"/>
        </w:rPr>
        <w:t xml:space="preserve">4.8 </w:t>
      </w:r>
      <w:r>
        <w:rPr>
          <w:rFonts w:hint="eastAsia" w:ascii="Times New Roman" w:hAnsi="Times New Roman" w:eastAsia="黑体"/>
          <w:b w:val="0"/>
          <w:sz w:val="28"/>
        </w:rPr>
        <w:t xml:space="preserve">异质性分析</w:t>
      </w:r>
      <w:bookmarkEnd w:id="98"/>
    </w:p>
    <w:bookmarkStart w:id="67" w:name="产权性质差异"/>
    <w:p>
      <w:pPr>
        <w:pStyle w:val="31"/>
        <w:spacing w:line="312" w:lineRule="auto" w:before="0" w:after="0"/>
        <w:ind w:firstLine="420"/>
        <w:jc w:val="left"/>
      </w:pPr>
      <w:r>
        <w:rPr>
          <w:rFonts w:ascii="Times New Roman" w:hAnsi="Times New Roman" w:eastAsia="宋体"/>
          <w:b w:val="0"/>
          <w:sz w:val="24"/>
        </w:rPr>
        <w:t xml:space="preserve">4.8.1 </w:t>
      </w:r>
      <w:r>
        <w:rPr>
          <w:rFonts w:hint="eastAsia" w:ascii="Times New Roman" w:hAnsi="Times New Roman" w:eastAsia="宋体"/>
          <w:b w:val="0"/>
          <w:sz w:val="24"/>
        </w:rPr>
        <w:t xml:space="preserve">产权性质差异</w:t>
      </w:r>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由于基准回归已经限定为上一年已获补贴的公司年度，分组回归的样本边界与表4-5保持一致，只是在各组内分别重复估计同一基准回归模型，对应估计见表4-12。</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039799"/>
            <wp:effectExtent b="0" l="0" r="0" t="0"/>
            <wp:docPr descr="" title="" id="19" name="Picture"/>
            <a:graphic>
              <a:graphicData uri="http://schemas.openxmlformats.org/drawingml/2006/picture">
                <pic:pic>
                  <pic:nvPicPr>
                    <pic:cNvPr descr="generated_tables/table_13.png" id="19" name="Picture"/>
                    <pic:cNvPicPr>
                      <a:picLocks noChangeArrowheads="1" noChangeAspect="1"/>
                    </pic:cNvPicPr>
                  </pic:nvPicPr>
                  <pic:blipFill>
                    <a:blip r:embed="rId41"/>
                    <a:stretch>
                      <a:fillRect/>
                    </a:stretch>
                  </pic:blipFill>
                  <pic:spPr bwMode="auto">
                    <a:xfrm>
                      <a:off x="0" y="0"/>
                      <a:ext cx="5579999" cy="2039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产权性质分组的核心信息已经比较清楚：国有企业组的补贴强度系数虽为正（0.0046），但未达到常见显著性标准（t</w:t>
      </w:r>
      <w:r>
        <w:rPr>
          <w:rFonts w:ascii="Times New Roman" w:hAnsi="Times New Roman" w:eastAsia="宋体"/>
          <w:b w:val="0"/>
          <w:sz w:val="21"/>
        </w:rPr>
        <w:t xml:space="preserve"> = </w:t>
      </w:r>
      <w:r>
        <w:rPr>
          <w:rFonts w:hint="eastAsia" w:ascii="Times New Roman" w:hAnsi="Times New Roman" w:eastAsia="宋体"/>
          <w:b w:val="0"/>
          <w:sz w:val="21"/>
        </w:rPr>
        <w:t xml:space="preserve">1.04）；私营企业组的系数为0.0135，并在1%的统计层面上显著为正。这说明在新的基准回归口径下，补贴强度与超额薪酬之间的正向关联主要集中在私营企业，而在国有企业中并未形成稳健证据。</w:t>
      </w:r>
    </w:p>
    <w:p>
      <w:pPr>
        <w:spacing w:line="312" w:lineRule="auto" w:before="0" w:after="0"/>
        <w:ind w:firstLine="420"/>
        <w:jc w:val="both"/>
      </w:pPr>
      <w:r>
        <w:rPr>
          <w:rFonts w:hint="eastAsia" w:ascii="Times New Roman" w:hAnsi="Times New Roman" w:eastAsia="宋体"/>
          <w:b w:val="0"/>
          <w:sz w:val="21"/>
        </w:rPr>
        <w:t xml:space="preserve">这一差异可以从以下几个层面加以理解。制度约束的刚性不同，是首要解释。2015年国务院出台的《中央管理企业负责人薪酬制度改革方案》对国有企业高管薪酬设定了明确上限，并要求薪酬与企业经营业绩和职工收入挂钩。在此类行政限薪路线下，即便国有企业获得了较高额度的财政补贴，高管薪酬的上调空间也受到制度天花板的严格约束，补贴资源难以直接转化为高管的额外报酬。相比之下，私营企业的薪酬安排更多依赖市场通道和董事会内部谈判，行政限薪的外部硬约束相对缺位，补贴带来的资源扩张更容易转化为高管在薪酬谈判中的议价筹码。</w:t>
      </w:r>
    </w:p>
    <w:p>
      <w:pPr>
        <w:spacing w:line="312" w:lineRule="auto" w:before="0" w:after="0"/>
        <w:ind w:firstLine="420"/>
        <w:jc w:val="both"/>
      </w:pPr>
      <w:r>
        <w:rPr>
          <w:rFonts w:hint="eastAsia" w:ascii="Times New Roman" w:hAnsi="Times New Roman" w:eastAsia="宋体"/>
          <w:b w:val="0"/>
          <w:sz w:val="21"/>
        </w:rPr>
        <w:t xml:space="preserve">另一处差异来自委托代理链条。国有企业通常面临多层委托代理结构：国资委、党委会、董事会和经理层之间形成多重监督关系。党委会在”三重一大”决策逻辑中对高管薪酬具有实质性审议权，国资委的年度经营考核也会对薪酬总额形成约束。这些多层嵌套的监督约束客观上压缩了管理层利用补贴资源抬高薪酬的空间。私营企业的委托代理链条相对简单，虽然大股东在理论上可以发挥监督功能，但当实际控制人与高管身份重叠或关系密切时，内部制衡的有效性会显著下降。</w:t>
      </w:r>
    </w:p>
    <w:p>
      <w:pPr>
        <w:spacing w:line="312" w:lineRule="auto" w:before="0" w:after="0"/>
        <w:ind w:firstLine="420"/>
        <w:jc w:val="both"/>
      </w:pPr>
      <w:r>
        <w:rPr>
          <w:rFonts w:hint="eastAsia" w:ascii="Times New Roman" w:hAnsi="Times New Roman" w:eastAsia="宋体"/>
          <w:b w:val="0"/>
          <w:sz w:val="21"/>
        </w:rPr>
        <w:t xml:space="preserve">从模型拟合角度看，国有企业组的R²（0.0041）远低于私营企业组（0.0365），说明在国有企业内部，当前模型所纳入的市场化治理变量（Roa、Lever、Top1）对超额薪酬变动的解释力明显不足。这也从侧面反映出，国有企业高管薪酬的形成安排更多受行政体制和组织安排驱动，而非单纯由市场化的财务变量所决定。</w:t>
      </w:r>
    </w:p>
    <w:p>
      <w:pPr>
        <w:spacing w:line="312" w:lineRule="auto" w:before="0" w:after="0"/>
        <w:ind w:firstLine="420"/>
        <w:jc w:val="both"/>
      </w:pPr>
      <w:r>
        <w:rPr>
          <w:rFonts w:hint="eastAsia" w:ascii="Times New Roman" w:hAnsi="Times New Roman" w:eastAsia="宋体"/>
          <w:b w:val="0"/>
          <w:sz w:val="21"/>
        </w:rPr>
        <w:t xml:space="preserve">此外，在国有企业内部进一步区分央企与地方国企后，两组补贴强度系数均未达到统计显著标准，说明产权差异主要停留在国有与私营这一层面，不存在央地国企之间的进一步分化。这一回归估计提示，限薪令和多层监督链条对央企和地方国企的约束效力大致相当，产权性质差异的核心分野在于国有与私营之间的制度鸿沟。</w:t>
      </w:r>
    </w:p>
    <w:bookmarkEnd w:id="64"/>
    <w:bookmarkStart w:id="68" w:name="行业管制强度差异"/>
    <w:p>
      <w:pPr>
        <w:pStyle w:val="31"/>
        <w:spacing w:line="312" w:lineRule="auto" w:before="0" w:after="0"/>
        <w:ind w:firstLine="420"/>
        <w:jc w:val="left"/>
      </w:pPr>
      <w:r>
        <w:rPr>
          <w:rFonts w:ascii="Times New Roman" w:hAnsi="Times New Roman" w:eastAsia="宋体"/>
          <w:b w:val="0"/>
          <w:sz w:val="24"/>
        </w:rPr>
        <w:t xml:space="preserve">4.8.2 </w:t>
      </w:r>
      <w:r>
        <w:rPr>
          <w:rFonts w:hint="eastAsia" w:ascii="Times New Roman" w:hAnsi="Times New Roman" w:eastAsia="宋体"/>
          <w:b w:val="0"/>
          <w:sz w:val="24"/>
        </w:rPr>
        <w:t xml:space="preserve">行业管制强度差异</w:t>
      </w:r>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基准回归模型，对应估计见表4-13。</w:t>
      </w:r>
    </w:p>
    <w:p>
      <w:pPr>
        <w:spacing w:line="312" w:lineRule="auto" w:before="0" w:after="0"/>
        <w:ind w:firstLine="0"/>
        <w:jc w:val="center"/>
      </w:pPr>
      <w:r>
        <w:rPr>
          <w:rFonts w:hint="eastAsia" w:ascii="Times New Roman" w:hAnsi="Times New Roman" w:eastAsia="宋体"/>
          <w:b/>
          <w:sz w:val="18"/>
        </w:rPr>
        <w:t xml:space="preserve">表4-13</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039799"/>
            <wp:effectExtent b="0" l="0" r="0" t="0"/>
            <wp:docPr descr="" title="" id="20" name="Picture"/>
            <a:graphic>
              <a:graphicData uri="http://schemas.openxmlformats.org/drawingml/2006/picture">
                <pic:pic>
                  <pic:nvPicPr>
                    <pic:cNvPr descr="generated_tables/table_14.png" id="20" name="Picture"/>
                    <pic:cNvPicPr>
                      <a:picLocks noChangeArrowheads="1" noChangeAspect="1"/>
                    </pic:cNvPicPr>
                  </pic:nvPicPr>
                  <pic:blipFill>
                    <a:blip r:embed="rId42"/>
                    <a:stretch>
                      <a:fillRect/>
                    </a:stretch>
                  </pic:blipFill>
                  <pic:spPr bwMode="auto">
                    <a:xfrm>
                      <a:off x="0" y="0"/>
                      <a:ext cx="5579999" cy="2039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行业管制分组下，非管制行业组的补贴强度系数为0.0110，并在1%的统计层面上显著为正；管制行业组系数为−0.0020，为负但远未达到显著性标准（t</w:t>
      </w:r>
      <w:r>
        <w:rPr>
          <w:rFonts w:ascii="Times New Roman" w:hAnsi="Times New Roman" w:eastAsia="宋体"/>
          <w:b w:val="0"/>
          <w:sz w:val="21"/>
        </w:rPr>
        <w:t xml:space="preserve"> = </w:t>
      </w:r>
      <w:r>
        <w:rPr>
          <w:rFonts w:hint="eastAsia" w:ascii="Times New Roman" w:hAnsi="Times New Roman" w:eastAsia="宋体"/>
          <w:b w:val="0"/>
          <w:sz w:val="21"/>
        </w:rPr>
        <w:t xml:space="preserve">−0.36）。这说明补贴强度与超额薪酬的正向关联主要出现在非管制行业，在管制行业中这一传导路径基本不成立。</w:t>
      </w:r>
    </w:p>
    <w:p>
      <w:pPr>
        <w:spacing w:line="312" w:lineRule="auto" w:before="0" w:after="0"/>
        <w:ind w:firstLine="420"/>
        <w:jc w:val="both"/>
      </w:pPr>
      <w:r>
        <w:rPr>
          <w:rFonts w:hint="eastAsia" w:ascii="Times New Roman" w:hAnsi="Times New Roman" w:eastAsia="宋体"/>
          <w:b w:val="0"/>
          <w:sz w:val="21"/>
        </w:rPr>
        <w:t xml:space="preserve">两组统计信息的差异可以从以下几个维度深入理解。管制行业面对更严格的补贴用途约束。采掘业、电力热力燃气及水的生产和供应业、交通运输等行业通常带有公共事业属性，其获得的财政补贴往往附带明确的专项用途要求（如基础设施建设、价格稳定补贴等），补贴资金的挪用空间较小。相比之下，非管制行业的补贴更多以研发补助、产业扶持等形式发放，资金使用的自由裁量权更大，管理层在补贴分配中的话语权也更强，补贴资源更容易在内部转化为薪酬议价的筹码。</w:t>
      </w:r>
    </w:p>
    <w:p>
      <w:pPr>
        <w:spacing w:line="312" w:lineRule="auto" w:before="0" w:after="0"/>
        <w:ind w:firstLine="420"/>
        <w:jc w:val="both"/>
      </w:pPr>
      <w:r>
        <w:rPr>
          <w:rFonts w:hint="eastAsia" w:ascii="Times New Roman" w:hAnsi="Times New Roman" w:eastAsia="宋体"/>
          <w:b w:val="0"/>
          <w:sz w:val="21"/>
        </w:rPr>
        <w:t xml:space="preserve">外部监管频率和深度也不同。价格管制通道、行业准入审批、定期的监管核查和信息披露要求，使得管制行业企业的经营和财务状况长期处于较高的外部关注之下。这种持续性的监管压力对高管薪酬安排形成了有效的外部制衡，削弱了补贴资源向超额薪酬传导的可能性。而非管制行业的企业在薪酬制定上享有更大的市场化空间，外部监管的介入相对有限，补贴与薪酬之间的联动因而更容易形成。</w:t>
      </w:r>
    </w:p>
    <w:p>
      <w:pPr>
        <w:spacing w:line="312" w:lineRule="auto" w:before="0" w:after="0"/>
        <w:ind w:firstLine="420"/>
        <w:jc w:val="both"/>
      </w:pPr>
      <w:r>
        <w:rPr>
          <w:rFonts w:hint="eastAsia" w:ascii="Times New Roman" w:hAnsi="Times New Roman" w:eastAsia="宋体"/>
          <w:b w:val="0"/>
          <w:sz w:val="21"/>
        </w:rPr>
        <w:t xml:space="preserve">管制行业组的Top1系数（−0.0052，1%显著）明显大于非管制行业组（−0.0019，5%显著），说明在管制行业中大股东监督对超额薪酬的抑制效应更强。管制行业中国有资本占比通常较高，大股东（往往是国资机构）对薪酬安排的约束力度更大。这也解释了为什么管制行业的R²（0.0644）反而高于非管制行业（0.0184）：在管制行业中，财务杠杆和股权监督等控制变量对超额薪酬的解释力更强，说明这些行业的薪酬安排受制度约束和外部监督牵动更为明显，模型的解释力相应提升。</w:t>
      </w:r>
    </w:p>
    <w:p>
      <w:pPr>
        <w:spacing w:line="312" w:lineRule="auto" w:before="0" w:after="0"/>
        <w:ind w:firstLine="420"/>
        <w:jc w:val="both"/>
      </w:pPr>
      <w:r>
        <w:rPr>
          <w:rFonts w:hint="eastAsia" w:ascii="Times New Roman" w:hAnsi="Times New Roman" w:eastAsia="宋体"/>
          <w:b w:val="0"/>
          <w:sz w:val="21"/>
        </w:rPr>
        <w:t xml:space="preserve">综合产权性质和行业管制两个维度的异质性估计，可以得到一个较为清晰的格局：补贴强度与超额薪酬的正向关联，主要出现在制度约束较弱、市场化程度较高的企业群体中（私营企业、非管制行业），而在制度约束较强的企业（国有企业、管制行业）中并不显著。这一格局与第二章理论考察中“治理约束强度调节补贴—薪酬传导”的推断高度一致，也为差异化监管政策的制定提供了经验参考。</w:t>
      </w:r>
    </w:p>
    <w:bookmarkEnd w:id="65"/>
    <w:bookmarkEnd w:id="66"/>
    <w:bookmarkEnd w:id="67"/>
    <w:bookmarkStart w:id="69" w:name="第五章-结论"/>
    <w:p>
      <w:pPr>
        <w:pStyle w:val="1"/>
        <w:pageBreakBefore/>
        <w:spacing w:line="312" w:lineRule="auto" w:before="0" w:after="0"/>
        <w:ind w:firstLine="0"/>
        <w:jc w:val="center"/>
      </w:pPr>
      <w:bookmarkStart w:id="99" w:name="_TocAuto0025"/>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99"/>
    </w:p>
    <w:bookmarkStart w:id="70" w:name="研究结论"/>
    <w:p>
      <w:pPr>
        <w:pStyle w:val="2"/>
        <w:spacing w:line="312" w:lineRule="auto" w:before="0" w:after="0"/>
        <w:ind w:firstLine="0"/>
        <w:jc w:val="left"/>
      </w:pPr>
      <w:bookmarkStart w:id="100" w:name="_TocAuto0026"/>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00"/>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安排下，考察财政补贴、高管超额薪酬与管理层权力之间的关系。与旧的全样本平均效应思路不同，本文将核心疑问收束为“已获得财政补贴的上市公司内部，补贴强度是否伴随更高的高管超额薪酬”。全文大体形成五点认识。整体上，财政补贴与高管超额薪酬之间存在较一致的条件相关，现有证据仍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的系数为0.0094（p</w:t>
      </w:r>
      <w:r>
        <w:rPr>
          <w:rFonts w:ascii="Times New Roman" w:hAnsi="Times New Roman" w:eastAsia="宋体"/>
          <w:b w:val="0"/>
          <w:sz w:val="21"/>
        </w:rPr>
        <w:t xml:space="preserve"> = </w:t>
      </w:r>
      <w:r>
        <w:rPr>
          <w:rFonts w:hint="eastAsia" w:ascii="Times New Roman" w:hAnsi="Times New Roman" w:eastAsia="宋体"/>
          <w:b w:val="0"/>
          <w:sz w:val="21"/>
        </w:rPr>
        <w:t xml:space="preserve">0.005）。也就是说，在已获补贴企业内部，补贴拿得更多，后续超额薪酬也更高。与旧的全样本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基准回归把“是否获得补贴”和“获得补贴后的强弱差异”拆开处理，更贴近本文真正要回答的命题。从经济幅度看，该系数对应约0.016个标准差的残差变化，统计上稳健，经济规模有限。这与财政补贴作为条件性政策冲击的性质是一致的：补贴并非企业的主要收入来源，其对高管薪酬的边际效应通常小于企业盈利和规模等核心驱动力。</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基准回归在多种稳健性设定下保持正向显著，异质性格局也较为清晰。</w:t>
      </w:r>
      <w:r>
        <w:rPr>
          <w:rFonts w:ascii="Times New Roman" w:hAnsi="Times New Roman" w:eastAsia="宋体"/>
          <w:b w:val="0"/>
          <w:sz w:val="21"/>
        </w:rPr>
        <w:t xml:space="preserve"> </w:t>
      </w:r>
      <w:r>
        <w:rPr>
          <w:rFonts w:hint="eastAsia" w:ascii="Times New Roman" w:hAnsi="Times New Roman" w:eastAsia="宋体"/>
          <w:b w:val="0"/>
          <w:sz w:val="21"/>
        </w:rPr>
        <w:t xml:space="preserve">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 xml:space="preserve">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 xml:space="preserve">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 xml:space="preserve">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0.013）。产权与行业分组说明，正向关联主要集中在私营企业（0.0135，p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 xml:space="preserve">0.004）和非管制行业（0.0110，p</w:t>
      </w:r>
      <w:r>
        <w:rPr>
          <w:rFonts w:ascii="Times New Roman" w:hAnsi="Times New Roman" w:eastAsia="宋体"/>
          <w:b w:val="0"/>
          <w:sz w:val="21"/>
        </w:rPr>
        <w:t xml:space="preserve"> = </w:t>
      </w:r>
      <w:r>
        <w:rPr>
          <w:rFonts w:hint="eastAsia" w:ascii="Times New Roman" w:hAnsi="Times New Roman" w:eastAsia="宋体"/>
          <w:b w:val="0"/>
          <w:sz w:val="21"/>
        </w:rPr>
        <w:t xml:space="preserve">0.004），国有企业、管制行业以及央地国企内部都未形成稳健显著估计。这一格局与制度背景大体一致：国有企业受行政限薪和组织考核约束更强，管制行业也面临更多外部约束；私营企业和非管制行业的薪酬形成更依赖市场逻辑和内部谈判，补贴带来的资源扩张更容易转化为高管议价空间。</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选择偏差校正和事件动态检验均未改变基准回归方向，因果解释仍需保持谨慎。</w:t>
      </w:r>
      <w:r>
        <w:rPr>
          <w:rFonts w:ascii="Times New Roman" w:hAnsi="Times New Roman" w:eastAsia="宋体"/>
          <w:b w:val="0"/>
          <w:sz w:val="21"/>
        </w:rPr>
        <w:t xml:space="preserve"> </w:t>
      </w:r>
      <w:r>
        <w:rPr>
          <w:rFonts w:hint="eastAsia" w:ascii="Times New Roman" w:hAnsi="Times New Roman" w:eastAsia="宋体"/>
          <w:b w:val="0"/>
          <w:sz w:val="21"/>
        </w:rPr>
        <w:t xml:space="preserve">基准回归口径下，Heckman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 xml:space="preserve">0.008），说明主估计不宜简单归因于样本选择。进一步看，事件研究中的前趋势联合检验</w:t>
      </w:r>
      <w:r>
        <w:rPr>
          <w:rFonts w:ascii="Times New Roman" w:hAnsi="Times New Roman" w:eastAsia="宋体"/>
          <w:b w:val="0"/>
          <w:sz w:val="21"/>
        </w:rPr>
        <w:t xml:space="preserve"> p </w:t>
      </w:r>
      <w:r>
        <w:rPr>
          <w:rFonts w:hint="eastAsia" w:ascii="Times New Roman" w:hAnsi="Times New Roman" w:eastAsia="宋体"/>
          <w:b w:val="0"/>
          <w:sz w:val="21"/>
        </w:rPr>
        <w:t xml:space="preserve">值为0.669，事件当期及随后1至3期的系数分别为0.0235（p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0.007），指向高补贴事件发生前未观察到显著预趋势，事件之后超额薪酬则出现持续上行。表4-5的正向结论在识别边界收紧后仍然存在，正文仍把它解释为较稳健的条件相关，而非无条件强因果效应。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PCA </w:t>
      </w:r>
      <w:r>
        <w:rPr>
          <w:rFonts w:hint="eastAsia" w:ascii="Times New Roman" w:hAnsi="Times New Roman" w:eastAsia="宋体"/>
          <w:b w:val="0"/>
          <w:bCs/>
          <w:sz w:val="21"/>
        </w:rPr>
        <w:t xml:space="preserve">口径下，管理层权力在补贴强度与超额薪酬之间发挥了部分中介角色，H2</w:t>
      </w:r>
      <w:r>
        <w:rPr>
          <w:rFonts w:ascii="Times New Roman" w:hAnsi="Times New Roman" w:eastAsia="宋体"/>
          <w:b w:val="0"/>
          <w:bCs/>
          <w:sz w:val="21"/>
        </w:rPr>
        <w:t xml:space="preserve"> </w:t>
      </w:r>
      <w:r>
        <w:rPr>
          <w:rFonts w:hint="eastAsia" w:ascii="Times New Roman" w:hAnsi="Times New Roman" w:eastAsia="宋体"/>
          <w:b w:val="0"/>
          <w:bCs/>
          <w:sz w:val="21"/>
        </w:rPr>
        <w:t xml:space="preserve">获得支持，经济幅度较小。</w:t>
      </w:r>
      <w:r>
        <w:rPr>
          <w:rFonts w:ascii="Times New Roman" w:hAnsi="Times New Roman" w:eastAsia="宋体"/>
          <w:b w:val="0"/>
          <w:sz w:val="21"/>
        </w:rPr>
        <w:t xml:space="preserve"> </w:t>
      </w:r>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管理层权力）为正且显著（0.0146，p</w:t>
      </w:r>
      <w:r>
        <w:rPr>
          <w:rFonts w:ascii="Times New Roman" w:hAnsi="Times New Roman" w:eastAsia="宋体"/>
          <w:b w:val="0"/>
          <w:sz w:val="21"/>
        </w:rPr>
        <w:t xml:space="preserve"> = </w:t>
      </w:r>
      <w:r>
        <w:rPr>
          <w:rFonts w:hint="eastAsia" w:ascii="Times New Roman" w:hAnsi="Times New Roman" w:eastAsia="宋体"/>
          <w:b w:val="0"/>
          <w:sz w:val="21"/>
        </w:rPr>
        <w:t xml:space="preserve">0.005），路径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超额薪酬）同样显著为正（0.0173，p</w:t>
      </w:r>
      <w:r>
        <w:rPr>
          <w:rFonts w:ascii="Times New Roman" w:hAnsi="Times New Roman" w:eastAsia="宋体"/>
          <w:b w:val="0"/>
          <w:sz w:val="21"/>
        </w:rPr>
        <w:t xml:space="preserve"> = </w:t>
      </w:r>
      <w:r>
        <w:rPr>
          <w:rFonts w:hint="eastAsia" w:ascii="Times New Roman" w:hAnsi="Times New Roman" w:eastAsia="宋体"/>
          <w:b w:val="0"/>
          <w:sz w:val="21"/>
        </w:rPr>
        <w:t xml:space="preserve">0.011），直接效应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仍在1%层面显著（0.0089，p</w:t>
      </w:r>
      <w:r>
        <w:rPr>
          <w:rFonts w:ascii="Times New Roman" w:hAnsi="Times New Roman" w:eastAsia="宋体"/>
          <w:b w:val="0"/>
          <w:sz w:val="21"/>
        </w:rPr>
        <w:t xml:space="preserve"> = </w:t>
      </w:r>
      <w:r>
        <w:rPr>
          <w:rFonts w:hint="eastAsia" w:ascii="Times New Roman" w:hAnsi="Times New Roman" w:eastAsia="宋体"/>
          <w:b w:val="0"/>
          <w:sz w:val="21"/>
        </w:rPr>
        <w:t xml:space="preserve">0.009）。Bootstrap</w:t>
      </w:r>
      <w:r>
        <w:rPr>
          <w:rFonts w:ascii="Times New Roman" w:hAnsi="Times New Roman" w:eastAsia="宋体"/>
          <w:b w:val="0"/>
          <w:sz w:val="21"/>
        </w:rPr>
        <w:t xml:space="preserve"> </w:t>
      </w:r>
      <w:r>
        <w:rPr>
          <w:rFonts w:hint="eastAsia" w:ascii="Times New Roman" w:hAnsi="Times New Roman" w:eastAsia="宋体"/>
          <w:b w:val="0"/>
          <w:sz w:val="21"/>
        </w:rPr>
        <w:t xml:space="preserve">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 xml:space="preserve">0.000609]，不包含零（p</w:t>
      </w:r>
      <w:r>
        <w:rPr>
          <w:rFonts w:ascii="Times New Roman" w:hAnsi="Times New Roman" w:eastAsia="宋体"/>
          <w:b w:val="0"/>
          <w:sz w:val="21"/>
        </w:rPr>
        <w:t xml:space="preserve"> = </w:t>
      </w:r>
      <w:r>
        <w:rPr>
          <w:rFonts w:hint="eastAsia" w:ascii="Times New Roman" w:hAnsi="Times New Roman" w:eastAsia="宋体"/>
          <w:b w:val="0"/>
          <w:sz w:val="21"/>
        </w:rPr>
        <w:t xml:space="preserve">0.007），说明经由管理层权力的间接传导路径在统计上成立。间接效应仅占总效应的约3%，因此相关证据更适合理解为“传导力度有限，但权力渠道存在”。</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机器学习补充验证在与基准回归一致的43,417条样本上，为基准回归提供了辅助线索。</w:t>
      </w:r>
      <w:r>
        <w:rPr>
          <w:rFonts w:ascii="Times New Roman" w:hAnsi="Times New Roman" w:eastAsia="宋体"/>
          <w:b w:val="0"/>
          <w:sz w:val="21"/>
        </w:rPr>
        <w:t xml:space="preserve"> </w:t>
      </w:r>
      <w:r>
        <w:rPr>
          <w:rFonts w:hint="eastAsia" w:ascii="Times New Roman" w:hAnsi="Times New Roman" w:eastAsia="宋体"/>
          <w:b w:val="0"/>
          <w:sz w:val="21"/>
        </w:rPr>
        <w:t xml:space="preserve">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同样排名第3；Lasso</w:t>
      </w:r>
      <w:r>
        <w:rPr>
          <w:rFonts w:ascii="Times New Roman" w:hAnsi="Times New Roman" w:eastAsia="宋体"/>
          <w:b w:val="0"/>
          <w:sz w:val="21"/>
        </w:rPr>
        <w:t xml:space="preserve"> </w:t>
      </w:r>
      <w:r>
        <w:rPr>
          <w:rFonts w:hint="eastAsia" w:ascii="Times New Roman" w:hAnsi="Times New Roman" w:eastAsia="宋体"/>
          <w:b w:val="0"/>
          <w:sz w:val="21"/>
        </w:rPr>
        <w:t xml:space="preserve">估计显示</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排名第2，财政补贴的部分依赖曲线整体呈上升趋势。这显示在严格匹配基准回归变量口径的前提下，财政补贴强度在预测层面的正向信息并未消失。机器学习检验本质上仍属于辅助验证，而非正式识别，不能替代计量回归中的显著性与因果识别结论。</w:t>
      </w:r>
    </w:p>
    <w:bookmarkEnd w:id="68"/>
    <w:bookmarkStart w:id="71" w:name="政策建议"/>
    <w:p>
      <w:pPr>
        <w:pStyle w:val="2"/>
        <w:spacing w:line="312" w:lineRule="auto" w:before="0" w:after="0"/>
        <w:ind w:firstLine="0"/>
        <w:jc w:val="left"/>
      </w:pPr>
      <w:bookmarkStart w:id="101" w:name="_TocAuto0027"/>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01"/>
    </w:p>
    <w:p>
      <w:pPr>
        <w:spacing w:line="312" w:lineRule="auto" w:before="0" w:after="0"/>
        <w:ind w:firstLine="420"/>
        <w:jc w:val="both"/>
      </w:pPr>
      <w:r>
        <w:rPr>
          <w:rFonts w:hint="eastAsia" w:ascii="Times New Roman" w:hAnsi="Times New Roman" w:eastAsia="宋体"/>
          <w:b w:val="0"/>
          <w:sz w:val="21"/>
        </w:rPr>
        <w:t xml:space="preserve">基于上述全文结论，从财政补贴监管以及薪酬治理与信息披露两个维度给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完善财政补贴项目的事后跟踪与信息对表约束。</w:t>
      </w:r>
      <w:r>
        <w:rPr>
          <w:rFonts w:ascii="Times New Roman" w:hAnsi="Times New Roman" w:eastAsia="宋体"/>
          <w:b w:val="0"/>
          <w:sz w:val="21"/>
        </w:rPr>
        <w:t xml:space="preserve"> </w:t>
      </w:r>
      <w:r>
        <w:rPr>
          <w:rFonts w:hint="eastAsia" w:ascii="Times New Roman" w:hAnsi="Times New Roman" w:eastAsia="宋体"/>
          <w:b w:val="0"/>
          <w:sz w:val="21"/>
        </w:rPr>
        <w:t xml:space="preserve">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安排、绩效达标标准、薪酬委员会独立性评估证据，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输出误用为可靠证据。</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针对产权性质和行业特征实施差异化监管。</w:t>
      </w:r>
      <w:r>
        <w:rPr>
          <w:rFonts w:ascii="Times New Roman" w:hAnsi="Times New Roman" w:eastAsia="宋体"/>
          <w:b w:val="0"/>
          <w:sz w:val="21"/>
        </w:rPr>
        <w:t xml:space="preserve"> </w:t>
      </w:r>
      <w:r>
        <w:rPr>
          <w:rFonts w:hint="eastAsia" w:ascii="Times New Roman" w:hAnsi="Times New Roman" w:eastAsia="宋体"/>
          <w:b w:val="0"/>
          <w:sz w:val="21"/>
        </w:rPr>
        <w:t xml:space="preserve">异质性检验提示，补贴强度与超额薪酬的正向关联主要集中在私营企业和非管制行业，国有企业和管制行业则不显著。据此，监管部门在设计补贴后续监督链条时，可对私营企业和非管制行业适当加强薪酬信息披露要求和补贴使用核查力度；对国有企业，则可继续完善现有限薪设定下的补贴绩效对表通道，确保行政约束与市场激励协调互补。</w:t>
      </w:r>
    </w:p>
    <w:bookmarkEnd w:id="69"/>
    <w:bookmarkStart w:id="72" w:name="研究局限与展望"/>
    <w:p>
      <w:pPr>
        <w:pStyle w:val="2"/>
        <w:spacing w:line="312" w:lineRule="auto" w:before="0" w:after="0"/>
        <w:ind w:firstLine="0"/>
        <w:jc w:val="left"/>
      </w:pPr>
      <w:bookmarkStart w:id="102" w:name="_TocAuto0028"/>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02"/>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本文已就财政补贴与高管超额薪酬之间的关系做了较为系统的检验，但受数据条件和识别做法限制，以下三个方向仍有待深化。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本文借助公司固定效应、行业×年份固定效应、事件动态检验以及针对正补助样本的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来源实施了较为系统的处理。尽管如此，这些工具更多是在当前样本边界内收紧识别，而非提供完全外生的政策冲击；而围绕当前基准样本统一重跑的传统留一法工具变量也未能提供稳定的一阶段支撑。未来考察仍有必要结合更具外生性的政策冲击，采用双重差分（DID）、断点回归（RDD）或其他准自然实验设计，以进一步提升因果识别的严谨性。此外，事件文献中高补贴事件的阈值目前固定为上四分位数，未来可检验替代阈值下动态检验结论的敏感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讨论重点放在已获补贴企业内部的补贴强度差异上，并主要依据可观测的治理特征刻画管理层权力，这有助于建立统一的实证结构，但对补贴类型差异、补贴进入样本之前的选择逻辑以及隐性权力来源的反映仍不够充分。未来检验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部分虽然已经采用建模样本与保留样本划分，并结合按公司分组的交叉验证，但总体上仍局限于当前样本设定，年报、社会责任报告和媒体报道等文本信息的利用也相对有限，相关证据更多体现为对传统回归结论的补充验证。由于机器学习部分严格限制在与基准回归一致的样本和四变量设定之内，第四章中的这组检验更适合被理解为对“已获补贴企业内部的补贴强度效应”这一主线判断的辅助证据，而不宜机械外推至全部基础样本或更宽的特征空间。未来课题可借助滚动窗口、跨市场样本和多源文本信息融合等方式，检验模型在不同阶段和不同情境下的稳健性，以便更全面地揭示财政补贴与高管薪酬之间关系的边界条件。</w:t>
      </w:r>
    </w:p>
    <w:bookmarkEnd w:id="70"/>
    <w:bookmarkEnd w:id="71"/>
    <w:bookmarkStart w:id="73" w:name="参考文献"/>
    <w:p>
      <w:pPr>
        <w:pStyle w:val="1"/>
        <w:pageBreakBefore/>
        <w:spacing w:line="312" w:lineRule="auto" w:before="0" w:after="0"/>
        <w:ind w:firstLine="0"/>
        <w:jc w:val="center"/>
      </w:pPr>
      <w:bookmarkStart w:id="103" w:name="_TocAuto0029"/>
      <w:r>
        <w:rPr>
          <w:rFonts w:hint="eastAsia" w:ascii="Times New Roman" w:hAnsi="Times New Roman" w:eastAsia="黑体"/>
          <w:b/>
          <w:sz w:val="32"/>
        </w:rPr>
        <w:t xml:space="preserve">参考文献</w:t>
      </w:r>
      <w:bookmarkEnd w:id="103"/>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[7]GU S, KELLY B, XIU D. Empirical asset pricing via machine learning[J]. The Review of Financial Studies, 2020, 33(5): 2223–2273.</w:t>
      </w:r>
    </w:p>
    <w:p>
      <w:pPr>
        <w:spacing w:line="312" w:lineRule="auto" w:before="0" w:after="0"/>
        <w:ind w:firstLine="0"/>
        <w:jc w:val="both"/>
      </w:pPr>
      <w:r>
        <w:rPr>
          <w:rFonts w:ascii="Times New Roman" w:hAnsi="Times New Roman" w:eastAsia="宋体"/>
          <w:b w:val="0"/>
          <w:sz w:val="21"/>
        </w:rPr>
        <w:t xml:space="preserve">[8]JENSEN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[9]JIANG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[10]KETELAAR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[11]LI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[12]PEROLS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[13]RJIBA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[14]SPENCE M. Job market signaling[J]. The Quarterly Journal of Economics, 1973, 87(3): 355–374.</w:t>
      </w:r>
    </w:p>
    <w:p>
      <w:pPr>
        <w:spacing w:line="312" w:lineRule="auto" w:before="0" w:after="0"/>
        <w:ind w:firstLine="0"/>
        <w:jc w:val="both"/>
      </w:pPr>
      <w:r>
        <w:rPr>
          <w:rFonts w:ascii="Times New Roman" w:hAnsi="Times New Roman" w:eastAsia="宋体"/>
          <w:b w:val="0"/>
          <w:sz w:val="21"/>
        </w:rPr>
        <w:t xml:space="preserve">[15]ZHAO Y, LYNCH J G, CHEN Q. Reconsidering Baron and Kenny: Myths and truths about mediation analysis[J]. Journal of Consumer Research, 2010, 37(2): 197–206.</w:t>
      </w:r>
    </w:p>
    <w:p>
      <w:pPr>
        <w:spacing w:line="312" w:lineRule="auto" w:before="0" w:after="0"/>
        <w:ind w:firstLine="0"/>
        <w:jc w:val="both"/>
      </w:pPr>
      <w:r>
        <w:rPr>
          <w:rFonts w:hint="eastAsia" w:ascii="Times New Roman" w:hAnsi="Times New Roman" w:eastAsia="宋体"/>
          <w:b w:val="0"/>
          <w:sz w:val="21"/>
        </w:rPr>
        <w:t xml:space="preserve">[16]步丹璐，王晓艳.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[17]陈冬华，陈信元，万华林.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[18]方军雄.</w:t>
      </w:r>
      <w:r>
        <w:rPr>
          <w:rFonts w:ascii="Times New Roman" w:hAnsi="Times New Roman" w:eastAsia="宋体"/>
          <w:b w:val="0"/>
          <w:sz w:val="21"/>
        </w:rPr>
        <w:t xml:space="preserve"> </w:t>
      </w:r>
      <w:r>
        <w:rPr>
          <w:rFonts w:hint="eastAsia" w:ascii="Times New Roman" w:hAnsi="Times New Roman" w:eastAsia="宋体"/>
          <w:b w:val="0"/>
          <w:sz w:val="21"/>
        </w:rPr>
        <w:t xml:space="preserve">我国上市公司高管薪酬存在粘性吗？[J].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经济研究，2009，44(3):</w:t>
      </w:r>
      <w:r>
        <w:rPr>
          <w:rFonts w:ascii="Times New Roman" w:hAnsi="Times New Roman" w:eastAsia="宋体"/>
          <w:b w:val="0"/>
          <w:sz w:val="21"/>
        </w:rPr>
        <w:t xml:space="preserve"> 110–124.</w:t>
      </w:r>
    </w:p>
    <w:p>
      <w:pPr>
        <w:spacing w:line="312" w:lineRule="auto" w:before="0" w:after="0"/>
        <w:ind w:firstLine="0"/>
        <w:jc w:val="both"/>
      </w:pPr>
      <w:r>
        <w:rPr>
          <w:rFonts w:hint="eastAsia" w:ascii="Times New Roman" w:hAnsi="Times New Roman" w:eastAsia="宋体"/>
          <w:b w:val="0"/>
          <w:sz w:val="21"/>
        </w:rPr>
        <w:t xml:space="preserve">[19]李哲，王文翰，王遥.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[20]连君莎.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[21]卢锐，柳建华，许宁.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[22]陆瑶，张叶青，黎波，等.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[23]罗进辉.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[24]罗昆，曹光宇.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[25]马长峰，陈志娟，张顺明.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[26]潘红波，夏新平，余明桂.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[27]唐清泉，罗党论.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[28]王克敏，王华杰，李栋栋，等.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[29]吴妍.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[30]徐坤.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[31]章海浪.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[32]张莉莉.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72"/>
    <w:bookmarkStart w:id="74" w:name="致谢"/>
    <w:p>
      <w:pPr>
        <w:pStyle w:val="1"/>
        <w:pageBreakBefore/>
        <w:spacing w:line="312" w:lineRule="auto" w:before="0" w:after="0"/>
        <w:ind w:firstLine="0"/>
        <w:jc w:val="center"/>
      </w:pPr>
      <w:bookmarkStart w:id="104" w:name="_TocAuto0030"/>
      <w:r>
        <w:rPr>
          <w:rFonts w:hint="eastAsia" w:ascii="Times New Roman" w:hAnsi="Times New Roman" w:eastAsia="黑体"/>
          <w:b/>
          <w:sz w:val="32"/>
        </w:rPr>
        <w:t xml:space="preserve">致谢</w:t>
      </w:r>
      <w:bookmarkEnd w:id="104"/>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bookmarkStart w:id="105" w:name="_BodyEnd"/>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bookmarkEnd w:id="105"/>
    </w:p>
    <w:bookmarkEnd w:id="73"/>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