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F218DA1">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sz w:val="21"/>
        </w:rPr>
      </w:pPr>
      <w:r>
        <w:rPr>
          <w:rFonts w:hint="eastAsia" w:ascii="宋体" w:hAnsi="宋体" w:eastAsia="宋体" w:cs="宋体"/>
          <w:sz w:val="21"/>
        </w:rPr>
        <w:t>本文以 2003—2024 年沪深 A 股非金融上市公司为研究样本，将基准回归限定在上一年已获财政补贴的公司年度，聚焦财政补贴强度与高管超额薪酬的关系展开实证分析。研究综合运用 OLS 回归、</w:t>
      </w:r>
      <w:r>
        <w:rPr>
          <w:rFonts w:hint="default" w:ascii="Times New Roman Regular" w:hAnsi="Times New Roman Regular" w:eastAsia="宋体" w:cs="Times New Roman Regular"/>
          <w:sz w:val="21"/>
        </w:rPr>
        <w:t>Heckman</w:t>
      </w:r>
      <w:r>
        <w:rPr>
          <w:rFonts w:hint="eastAsia" w:ascii="宋体" w:hAnsi="宋体" w:eastAsia="宋体" w:cs="宋体"/>
          <w:sz w:val="21"/>
        </w:rPr>
        <w:t> 校正、事件动态检验等传统计量方法，深入剖析二者关联的稳健性与异质性特征；同时引入随机森林、</w:t>
      </w:r>
      <w:r>
        <w:rPr>
          <w:rFonts w:hint="default" w:ascii="Times New Roman Regular" w:hAnsi="Times New Roman Regular" w:eastAsia="宋体" w:cs="Times New Roman Regular"/>
          <w:sz w:val="21"/>
        </w:rPr>
        <w:t>Lasso </w:t>
      </w:r>
      <w:r>
        <w:rPr>
          <w:rFonts w:hint="eastAsia" w:ascii="宋体" w:hAnsi="宋体" w:eastAsia="宋体" w:cs="宋体"/>
          <w:sz w:val="21"/>
        </w:rPr>
        <w:t>回归、</w:t>
      </w:r>
      <w:r>
        <w:rPr>
          <w:rFonts w:hint="default" w:ascii="Times New Roman Regular" w:hAnsi="Times New Roman Regular" w:eastAsia="宋体" w:cs="Times New Roman Regular"/>
          <w:sz w:val="21"/>
        </w:rPr>
        <w:t>XGBoost </w:t>
      </w:r>
      <w:r>
        <w:rPr>
          <w:rFonts w:hint="eastAsia" w:ascii="宋体" w:hAnsi="宋体" w:eastAsia="宋体" w:cs="宋体"/>
          <w:sz w:val="21"/>
        </w:rPr>
        <w:t>及 </w:t>
      </w:r>
      <w:r>
        <w:rPr>
          <w:rFonts w:hint="default" w:ascii="Times New Roman Regular" w:hAnsi="Times New Roman Regular" w:eastAsia="宋体" w:cs="Times New Roman Regular"/>
          <w:sz w:val="21"/>
        </w:rPr>
        <w:t>SHAP</w:t>
      </w:r>
      <w:r>
        <w:rPr>
          <w:rFonts w:hint="eastAsia" w:ascii="宋体" w:hAnsi="宋体" w:eastAsia="宋体" w:cs="宋体"/>
          <w:sz w:val="21"/>
        </w:rPr>
        <w:t> 解释等数据挖掘技术，对基准回归结论进行交叉验证与补充分析。结果显示，滞后一期正补助对数系数显著为正，表明财政补贴强度对高管超额薪酬具有正向驱动作用。加入行业 × 年份固定效应、缩短样本期、仅保留制造业样本，并通过 </w:t>
      </w:r>
      <w:r>
        <w:rPr>
          <w:rFonts w:hint="default" w:ascii="Times New Roman Regular" w:hAnsi="Times New Roman Regular" w:eastAsia="宋体" w:cs="Times New Roman Regular"/>
          <w:sz w:val="21"/>
        </w:rPr>
        <w:t>Heckman</w:t>
      </w:r>
      <w:r>
        <w:rPr>
          <w:rFonts w:hint="eastAsia" w:ascii="宋体" w:hAnsi="宋体" w:eastAsia="宋体" w:cs="宋体"/>
          <w:sz w:val="21"/>
        </w:rPr>
        <w:t> 校正与事件动态检验后，核心结论方向保持一致。异质性分析进一步发现，这一关联在民营企业与非管制行业中表现更为显著，管理层权力可能参与传导但经济幅度较小。数据挖掘技术的补充验证结果表明，财政补贴与高管超额薪酬之间存在较为一致的条件相关关系，不仅强化了基准回归结论的可靠性，也从非线性与特征重要性视角揭示了二者关</w:t>
      </w:r>
      <w:bookmarkStart w:id="105" w:name="_GoBack"/>
      <w:bookmarkEnd w:id="105"/>
      <w:r>
        <w:rPr>
          <w:rFonts w:hint="eastAsia" w:ascii="宋体" w:hAnsi="宋体" w:eastAsia="宋体" w:cs="宋体"/>
          <w:sz w:val="21"/>
        </w:rPr>
        <w:t xml:space="preserve">联的潜在逻辑。本文的研究结论丰富了财政补贴经济后果与高管薪酬激励的相关研究，为企业优化薪酬激励机制、政府制定财政补贴政策提供了微观经验依据。 </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68</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71</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2D9B10B2">
      <w:pPr>
        <w:spacing w:before="0" w:after="0" w:line="312" w:lineRule="auto"/>
        <w:ind w:firstLine="420"/>
        <w:jc w:val="both"/>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556ABC67">
      <w:pPr>
        <w:spacing w:before="0" w:after="0" w:line="312" w:lineRule="auto"/>
        <w:ind w:firstLine="420"/>
        <w:jc w:val="both"/>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02429D0C">
      <w:pPr>
        <w:spacing w:before="0" w:after="0" w:line="312" w:lineRule="auto"/>
        <w:ind w:firstLine="420"/>
        <w:jc w:val="both"/>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t>全文真正想回答的是：在已经拿到补贴的企业里，补贴额度高低会不会稳定对应更高的高管超额薪酬。</w:t>
      </w:r>
    </w:p>
    <w:p w14:paraId="475B0A63">
      <w:pPr>
        <w:spacing w:before="0" w:after="0" w:line="312" w:lineRule="auto"/>
        <w:ind w:firstLine="420"/>
        <w:jc w:val="both"/>
      </w:pPr>
      <w:r>
        <w:t>放在理论层面，文章把政府补贴拉进高管超额薪酬的讨论，不再只看公司内部治理，而是把政策性资源进入企业后的分配后果一并纳入。经验识别时，特意把“有没有补贴”同“拿到后多少”拆开，只在正补助样本里考察强度差异，避免不同层次的议题被同一个回归系数混在一起。管理层权力以 PCA 综合指数衡量；固定效应、选择偏差校正和机器学习补充检验则并行使用，用不同视角互相校对。</w:t>
      </w:r>
    </w:p>
    <w:p w14:paraId="39A18AC5">
      <w:pPr>
        <w:spacing w:before="0" w:after="0" w:line="312" w:lineRule="auto"/>
        <w:ind w:firstLine="420"/>
        <w:jc w:val="both"/>
      </w:pPr>
      <w:r>
        <w:t>落到实际层面，这一讨论对应的是补贴监管和公司治理能否真正衔接。文中证据可提醒财政监管部门：当已获补贴企业的补贴额度继续上升时，是否同时出现高管薪酬异常抬升，值得持续盯住。对资本市场监管者来说，产权和行业分组给出的差异说明，民营企业与非管制行业更需要被重点核查；机器学习部分给出的变量排序，也可作为筛查线索之一。对投资者和公众而言，弄清这类联动出现在哪些边界内，也有助于判断公司治理质量与财政资金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185C0D2B">
      <w:pPr>
        <w:spacing w:before="0" w:after="0" w:line="312" w:lineRule="auto"/>
        <w:ind w:firstLine="420"/>
        <w:jc w:val="both"/>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3DEC55DB">
      <w:pPr>
        <w:spacing w:before="0" w:after="0" w:line="312" w:lineRule="auto"/>
        <w:ind w:firstLine="420"/>
        <w:jc w:val="both"/>
      </w:pPr>
      <w:r>
        <w:t>后续文献将这一思路扩展到文本识别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t>技术路线可以分成两个衔接步骤。先做文献梳理和理论推演，把全文的检验任务压缩成两件事：一是看财政补贴与高管超额薪酬是否稳定同向，二是看管理层权力是否夹在中间形成传导。随后进入计量部分，依托 CSMAR 面板数据，并按 Core等（1999）[5] 的设定构造超额薪酬变量，把基准回归限定在“上一年已经拿到补贴”的公司年度之内，在公司和年份固定效应下考察滞后一期正补助对数与 Overpay 的对应变化。再往后，行业×年份固定效应、选择偏差校正和事件动态检验用来收紧识别边界；中介检验和异质性考察则分别对应路径与情境差异。</w:t>
      </w:r>
    </w:p>
    <w:p w14:paraId="39E0A131">
      <w:pPr>
        <w:spacing w:before="0" w:after="0" w:line="312" w:lineRule="auto"/>
        <w:ind w:firstLine="420"/>
        <w:jc w:val="both"/>
      </w:pPr>
      <w:r>
        <w:t>机器学习部分放在第四章稳健性检验之后，样本边界和核心变量口径都不另起炉灶。随机森林主要比较财政补贴和控制变量的相对重要性，SHAP补看财政补贴的边际贡献强弱，Lasso用来确认该变量是否仍被保留且方向不变，XGBoost则借特征重要性和部分依赖图观察更灵活设定下的走势是否仍与 OLS 相近。</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t>管理者权力理论（Managerial Power Theory）为补贴—薪酬关系提供了一个更贴近现实的解释起点。Bebchuk 和 Fried（2003）[2]提出该理论，本质上是在质疑“最优契约说”对董事会理性和中立性的乐观假定。若完全按最优契约理解，高管薪酬应主要反映边际贡献；但在管理者权力视角下，董事会、薪酬委员会和经理人市场未必足够强，高管本人常会直接参与薪酬合同形成，薪酬安排因而更容易受权力格局左右。Finkelstein（1992）[6]把高管权力细分为结构性、所有权、专家性和声望性四类，为经验操作提供了清楚参照。本文据此选用两职合一、董事会规模、内部董事比例和高管持股四项指标来描绘管理层权力。</w:t>
      </w:r>
    </w:p>
    <w:p w14:paraId="55AB16B4">
      <w:pPr>
        <w:spacing w:before="0" w:after="0" w:line="312" w:lineRule="auto"/>
        <w:ind w:firstLine="420"/>
        <w:jc w:val="both"/>
      </w:pPr>
      <w:r>
        <w:t>顺着这条思路往下看，高管影响薪酬安排并不只靠单一渠道。它可以体现在董事会成员关系和表决氛围的塑造，也可以体现在把薪酬结构做得更复杂、让外部不易迅速辨认，还可以体现在对披露节奏和披露内容的把握。Core等（1999）[5]把治理结构、较高薪酬和较差绩效放进同一经验框架，后来不少文献都借此讨论薪酬失衡。放到中国上市公司情境里，这套视角的现实意味更强：国有企业里党委会、董事会和经理层的边界未必完全清晰，民营企业里实控人与高管关系紧密、独立董事制衡不足也并不少见。形式上的治理安排，未必真能压住高管在薪酬决定中的影响力。</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t>本章的经验设计围绕一个收得很窄的命题展开：已经拿到财政补贴的上市公司之间，补贴多少是否对应更高的高管超额薪酬。这一设定刻意把“有没有补贴”与“拿到后多少”分开。既有文献常在全样本里讨论补贴平均效应，零补助企业和正补助企业一起进入回归，结论里容易把获得边际和强度边际揉在一起。本文因此只保留上一年已获正补助的公司年度，让估计对象落在已获补贴企业内部的强度差异上，而不是全部上市公司的平均补贴效应。围绕这一核心命题，后面还会接着看两件事：管理层权力会不会承接补贴强度到超额薪酬的传导（H2），以及产权性质、行业管制强度不同，关联格局会不会随之变化。</w:t>
      </w:r>
    </w:p>
    <w:p w14:paraId="5B00B4C1">
      <w:pPr>
        <w:spacing w:before="0" w:after="0" w:line="312" w:lineRule="auto"/>
        <w:ind w:firstLine="420"/>
        <w:jc w:val="both"/>
      </w:pPr>
      <w:r>
        <w:t>整套经验检验其实沿着两条线往前走。第一条线看财政补贴与高管超额薪酬之间是否存在稳定的条件对应；第二条线看这层对应是否有一部分会通过管理层权力传过去。产权性质和行业管制强度则被当作制度情境，用来观察这一关系在不同环境里会不会换一种样子。</w:t>
      </w:r>
    </w:p>
    <w:p w14:paraId="29D50066">
      <w:pPr>
        <w:spacing w:before="0" w:after="0" w:line="312" w:lineRule="auto"/>
        <w:ind w:firstLine="420"/>
        <w:jc w:val="both"/>
      </w:pPr>
      <w:r>
        <w:t>企业拿到财政补贴后，最先发生的变化，是可支配资源和账面利润一起被改写，薪酬安排所面对的资源约束随之松动。补贴从申报到落地再到使用，通常又需要高管深度介入，这会进一步抬高其在组织内部的议程设置权和资源调度权。</w:t>
      </w:r>
    </w:p>
    <w:p w14:paraId="6FB440D1">
      <w:pPr>
        <w:spacing w:before="0" w:after="0" w:line="312" w:lineRule="auto"/>
        <w:ind w:firstLine="420"/>
        <w:jc w:val="both"/>
      </w:pPr>
      <w:r>
        <w:t>顺着这一判断，后文的实证安排按四步展开。先用基准回归确认主联系，再看稳健性检验下这一联系会不会明显摇摆；随后加入选择偏差校正、中介拆解和异质性考察，把识别边界、传导路径与制度差异交代清楚；最后再用机器学习部分复核财政补贴的变量地位、方向一致性和局部走势。不同工具分别回答不同命题，而不是简单叠加在一起。</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t>政府补助数据先按披露口径处理。若公司年度没有披露补助项目，当年补助金额记为0，避免零补贴观测在描述统计和第一阶段变量构造时被自动丢掉；少量负值观测在构造 时也统一按0处理。进入基准回归时，不再把“没拿补贴”和“拿了补贴但多少不同”的公司年度放在一起估计，而是只留下上一年确实存在正补助的公司年度，并用滞后一期正补助对数表示补贴强度。这样一来，第二阶段只回答一个问题：已获补贴企业内部的补贴强度上升后，超额薪酬是否也会随之抬升。Zone 的识别先依据公司注册地址，信息不足时再结合办公地址和城市字段确定省级区域，并按“东部=0、中西部=1”编码，以减少城市名单不完整带来的系统错分。之后删除核心变量缺失严重的观测，对主要连续变量（Overpay除外）统一在1%和99%分位数处做Winsorize缩尾；原始薪酬数据继续沿用CSMAR数据库既有缩尾口径。</w:t>
      </w:r>
    </w:p>
    <w:p w14:paraId="04DF5202">
      <w:pPr>
        <w:spacing w:before="0" w:after="0" w:line="312" w:lineRule="auto"/>
        <w:ind w:firstLine="420"/>
        <w:jc w:val="both"/>
      </w:pPr>
      <w:r>
        <w:t>样本筛选后的数量变化如下。原始公司—年度观测为70,559条，剔除金融行业后剩69,142条，再剔除特殊处理样本后剩63,011条；关键变量齐全的样本为52,980条，其中满足基准薪酬模型完整案例要求的有52,805条。若再要求管理层权力底层指标齐备，可用于构造 Power 的样本为50,171条。进入基准回归阶段后，进一步保留“上一年补助金额大于0”且滞后一期补贴强度可得的公司年度，模型2样本为43,417条；机器学习补充验证沿用同一变量口径，因此样本数不变；中介效应部分还要求 Overpay、Power 与滞后一期正补助同时完整，统一样本最终收窄到41,186条。</w:t>
      </w:r>
    </w:p>
    <w:p w14:paraId="0BEA3D25">
      <w:pPr>
        <w:spacing w:before="0" w:after="0" w:line="312" w:lineRule="auto"/>
        <w:ind w:firstLine="420"/>
        <w:jc w:val="both"/>
      </w:pPr>
      <w:r>
        <w:t>时间窗口的设定也有现实考虑。样本从2003年起步，一方面是加入世贸组织后上市公司信息披露逐步规范，CSMAR 在2003年前后的数据完整性和可比性明显好转；另一方面，政府补助作为独立披露科目的规范要求也在这一阶段渐次清晰，若把更早年份混进来，口径差异会带来额外误差。样本截止到2024年，既尽量利用最新可得数据，也给滞后变量留下足够年份。剔除金融行业后，样本覆盖制造业、信息技术、批发零售、房地产、交通运输等17个行业门类，整体行业结构与沪深A股分布大体一致。</w:t>
      </w:r>
    </w:p>
    <w:p w14:paraId="30313DA7">
      <w:pPr>
        <w:spacing w:before="0" w:after="0" w:line="312" w:lineRule="auto"/>
        <w:ind w:firstLine="420"/>
        <w:jc w:val="both"/>
      </w:pPr>
      <w:r>
        <w:t>不同实证模块所用样本并不完全一样，这里单独把口径摊开。构造 Overpay 的基准薪酬模型用到 52,805 条观测。模型2再加上“上一年获得正补助”的限制后，样本缩减为 43,417 条。机器学习补充部分直接沿用这组基准回归样本，只放入 lnSubsidy_pos_l1、Roa、Lever 和 Top1 四个输入变量，因此样本数量保持在 43,417 条。中介检验另外要求管理层权力综合指标 Power（PCA）完整，统一样本便进一步缩小到 41,186 条。这样处理后，基准回归样本、机器学习样本和中介样本的边界就不会混在一起。</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t>这里不把 Power 直接纳入基准回归，是为了先保持主模型的变量口径简洁，再在传导路径部分单独检验权力渠道。这样安排也便于区分“补贴强度本身的条件相关”和“管理层权力参与的间接传导”。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分别表示年份固定效应。需要注意的是，式（3-4）并非在全部公司年度上估计，而只保留“上一年补助金额大于0”的公司年度，因此最关键的是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的方向、大小及统计显著性：若</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rPr>
          <w:rFonts w:ascii="Times New Roman" w:hAnsi="Times New Roman" w:eastAsia="宋体"/>
          <w:b w:val="0"/>
          <w:sz w:val="21"/>
        </w:rPr>
        <w:t xml:space="preserve"> </w:t>
      </w:r>
      <w:r>
        <w:rPr>
          <w:rFonts w:hint="eastAsia" w:ascii="Times New Roman" w:hAnsi="Times New Roman" w:eastAsia="宋体"/>
          <w:b w:val="0"/>
          <w:sz w:val="21"/>
        </w:rPr>
        <w:t>残差中保留的公司层面稳定异质性，会在式（3-4）的公司固定效应中进一步被吸收，因此两阶段设定并不冲突。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t>其中 为损失函数（回归任务通常取均方误差）， 为前 轮的累积预测， 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t>表4-1报告了主要变量的描述性统计信息。剔除金融行业后，样本为69,142条。再按公司简称标签剔除 ST、*ST、S*ST、SST、PT 及退市整理期样本后，剩余63,011条。关键变量完整且政府补助缺失按0处理时，可用于基础统计检验的样本为52,980条。基准薪酬模型中，企业规模变量 lnSale 与无形资产占比 IA 存在缺失。最终可用样本为52,805条。纳入管理层权力指标所需底层变量后，可用于构造 Power 的样本为50,171条。基准回归模型再要求“上一年补助金额大于0”。此时模型2样本为43,417条。中介效应检验进一步要求 Overpay、Power 与滞后一期正补助同时完整。对应的统一样本为41,186条。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t>注：以下统计基于完整样本且已完成缩尾处理。对应观测数为52,805个公司年度。相关系数中绝对值最高的是企业规模变量 lnSale 与财务杠杆变量 Lever 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1A0D5D58">
      <w:pPr>
        <w:spacing w:before="0" w:after="0" w:line="312" w:lineRule="auto"/>
        <w:ind w:firstLine="420"/>
        <w:jc w:val="both"/>
      </w:pPr>
      <w:r>
        <w:t>模型2同时要求 Overpay、滞后一期正补助和控制变量完整，因此样本量为 43,417 条，高于后面中介检验统一使用的样本。若换成经济量级来读，Overpay 的标准差为 0.5840，基准系数 0.0094 意味着 lnSubsidy_pos_l1 每增加 1 个单位，大约对应 0.0160 个标准差的残差变化。这个幅度不大，但方向稳定为正，统计上也达到常用显著性标准。考虑到财政补贴本身属于条件性政策冲击，而不是企业主营收入来源，这样的量级并不突兀：它对薪酬的边际牵动通常弱于盈利和规模等核心驱动，却仍可能在治理约束不足时留下持续的正向对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统计量为62.36，并在1%的统计层面上显著，说明控制变量与固定效应的联合设定可以有效工作。把固定效应进一步收紧为“公司固定效应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0.013）。此处识别的，仍是“已获补贴企业内部，补贴强度差异是否对应超额薪酬差异”，并非全部上市公司平均意义上的补贴效应。与旧的全样本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口径相比，这种写法把获得边际与强度边际拆开了，因此更贴近本文真正讨论的边界。由此，H1在新的基准回归口径下得到支持。模型2的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为0.0205，这对残差型因变量配合双向固定效应的设定并不异常；公司固定效应和年份固定效应已经吸收掉大部分个体与年度差异，回归主要解释的是组内残差波动，所以</w:t>
      </w:r>
      <w:r>
        <w:rPr>
          <w:rFonts w:ascii="Times New Roman" w:hAnsi="Times New Roman" w:eastAsia="宋体"/>
          <w:b w:val="0"/>
          <w:sz w:val="21"/>
        </w:rPr>
        <w:t xml:space="preserve"> R² </w:t>
      </w:r>
      <w:r>
        <w:rPr>
          <w:rFonts w:hint="eastAsia" w:ascii="Times New Roman" w:hAnsi="Times New Roman" w:eastAsia="宋体"/>
          <w:b w:val="0"/>
          <w:sz w:val="21"/>
        </w:rPr>
        <w:t>偏低本身不构成问题。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t>注：、、 分别表示在1%、5%、10%的统计层面上显著。事件定义为上一年补助金额首次进入正补助样本上四分位区间（阈值约3,497.88万元）。处理企业共2,237家。样本量为43,417个公司年度观测。回归控制 Roa、Lever、Top1 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t>表4-10和图4-2显示，基于平均绝对 SHAP 值得到的排序与随机森林基尼重要性排序完全一致：Roa 和 Top1 仍位列前两位。财政补贴位列第3，Lever 位列第4。换一个解释口径，排序仍未变化，说明财政补贴变量的重要性并非某一种指标偶然给出的统计数值。财政补贴强度虽然不是树模型中最强的全局预测变量，但它对 Overpay 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3A23EC65">
      <w:pPr>
        <w:spacing w:before="0" w:after="0" w:line="312" w:lineRule="auto"/>
        <w:ind w:firstLine="420"/>
        <w:jc w:val="both"/>
      </w:pPr>
      <w:r>
        <w:t>从特征重要性排序估计来看，在 XGBoost 模型中，Roa 位列第1，lnSubsidy_pos_l1 排名第2。Top1 排名第3，Lever 排名第4。这说明即使在允许更复杂非线性关系的树模型中，财政补贴仍是对 Overpay 具有较高解释贡献的关键特征，其重要性排序与 OLS 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进入较高补贴区间后，正向预测联系会更突出。</w:t>
      </w:r>
    </w:p>
    <w:p w14:paraId="6CBFB932">
      <w:pPr>
        <w:spacing w:before="0" w:after="0" w:line="312" w:lineRule="auto"/>
        <w:ind w:firstLine="420"/>
        <w:jc w:val="both"/>
      </w:pPr>
      <w:r>
        <w:t>把四种机器学习结果并排看，财政补贴变量始终没有掉队。随机森林和 SHAP 都把它排在第3，XGBoost 排第2，Lasso 也没有把它压成0，且保留的是正系数。换成更直白的话说，哪怕从预测而非计量识别出发，补贴强度仍携带稳定信息。它们给出的方向同 OLS 基准回归也基本一致：Lasso 留住正系数，XGBoost 的部分依赖曲线整体向上。尤其是“低补贴区间较平、高补贴区间抬升更快”的图形特征，补上了 OLS 线性系数不方便直接展示的部分，提示补贴作用并不是在全区间平均铺开，而更像在较高强度时才明显加速。</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t>为检验财政补贴会不会借由管理层权力推高高管超额薪酬，文中把 Power 纳入经验结构。这个指标不是单一原始字段，而是结合中国上市公司治理特征，由两职合一（Dual）、董事会规模（Boardsize）、内部董事比例（Insider）和高管持股比例（Mgshder）四项指标合成。四项指标分别对应正式职位权力、董事会结构权力与所有权权力：两职合一体现高管是否同时掌握董事会与经理层议程，董事会规模和内部董事比例反映董事会监督强弱，高管持股比例则对应所有权层面的正式权力基础。</w:t>
      </w:r>
    </w:p>
    <w:p w14:paraId="420615EE">
      <w:pPr>
        <w:spacing w:before="0" w:after="0" w:line="312" w:lineRule="auto"/>
        <w:ind w:firstLine="420"/>
        <w:jc w:val="both"/>
      </w:pPr>
      <w:r>
        <w:t>具体测度时，正文采用主成分拆解法（PCA）提取前两个主成分，再按方差贡献率加权生成综合权力指数 Power。这样处理的含义很直接：先利用四项治理指标的共同变异信息压缩多维特征，再让解释力更高的主成分在最终指数里占更大比重，避免简单平均带来的信息损失。</w:t>
      </w:r>
    </w:p>
    <w:p w14:paraId="6E35FA66">
      <w:pPr>
        <w:spacing w:before="0" w:after="0" w:line="312" w:lineRule="auto"/>
        <w:ind w:firstLine="420"/>
        <w:jc w:val="both"/>
      </w:pPr>
      <w:r>
        <w:t>从统计诊断看，PCA 口径的整体 KMO 约为0.565，前两个主成分累计方差解释率约为69.08%。其中，PC1（43.0%）主要载荷于 Boardsize（0.615）与 Insider（0.544），更贴近董事会结构权力；PC2（26.1%）主要载荷于 Mgshder（0.584）、Dual（0.554）和 Insider（0.517），更多反映所有权与职位权力。四项指标在样本里确实呈现出可区分的结构。KMO 偏低意味着共同变异不算强、潜在结构也不算紧密，但PCA在这里的主要用途是降维和信息压缩。只要前几个主成分能够覆盖样本中的主要方差信息，这一综合口径仍可作为经验测度。对本文而言，69.08%的累计方差解释率已经覆盖了大部分信息，因此仍将其用作管理层权力的经验性综合指标，同时在解释上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t>在完成选择偏差校正后，将基于 PCA 构造的管理层权力指标纳入中介效应检验结构。为保证模型3至模型5之间具有可比性，这一部分统一使用同时具备 Overpay、Power 与滞后一期正补助信息的样本。统一后的样本量为41,186个公司年度观测。表4-11给出结果。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t>这种分化首先来自制度约束硬度的不同。2015年国务院出台的《中央管理企业负责人薪酬制度改革方案》对国有企业高管薪酬设定了明确上限，并要求薪酬与经营业绩、职工收入挂钩。在这类行政限薪安排下，即便国有企业获得更高额度的财政补贴，高管薪酬的上调空间也会被制度天花板压住，补贴资源自然不容易直接转成额外报酬。私营企业的薪酬形成更多依赖市场通道和董事会内部协商，外部行政硬约束相对薄弱，所以补贴带来的资源扩张更容易变成高管在薪酬谈判里的筹码。</w:t>
      </w:r>
    </w:p>
    <w:p w14:paraId="6FC26A39">
      <w:pPr>
        <w:spacing w:before="0" w:after="0" w:line="312" w:lineRule="auto"/>
        <w:ind w:firstLine="420"/>
        <w:jc w:val="both"/>
      </w:pPr>
      <w:r>
        <w:t>再往深一层看，差别还来自委托代理链条的长短。国有企业通常处在多层监督结构之中：国资委、党委会、董事会和经理层之间相互嵌套。党委会在“三重一大”框架下对高管薪酬有实质性审议权，国资委的年度经营考核也会压住薪酬总额。层层监督叠加在一起，会明显压缩管理层借补贴资源抬高薪酬的空间。私营企业的代理链条则短得多，虽然大股东理论上承担监督角色，但一旦实际控制人与高管身份重叠或双方关系过于紧密，内部制衡就容易失灵。</w:t>
      </w:r>
    </w:p>
    <w:p w14:paraId="6AFAF416">
      <w:pPr>
        <w:spacing w:before="0" w:after="0" w:line="312" w:lineRule="auto"/>
        <w:ind w:firstLine="420"/>
        <w:jc w:val="both"/>
      </w:pPr>
      <w:r>
        <w:t>从模型拟合表现看，国有企业组的R²（0.0041）远低于私营企业组（0.0365）。这说明在国有企业内部，当前模型纳入的市场化治理变量（Roa、Lever、Top1）对超额薪酬变动的解释力较弱。由此也能看出，国有企业高管薪酬的形成，更容易受行政体制和组织安排牵动，而不只是由市场化财务变量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t>行业管制强弱带来的差异，同样可以从制度环境来理解。管制行业首先面临更严格的补贴用途约束。采掘业、电力热力燃气及水的生产和供应业、交通运输等行业往往带有公共事业属性，其获得的财政补贴通常附着明确用途，例如基础设施建设或价格稳定补贴，资金被挪作他用的空间较小。非管制行业获得的补贴则更多表现为研发补助、产业扶持等形式，使用上的自由裁量权更大，管理层在资源分配中的话语权也更强，因此补贴更容易在企业内部变成薪酬议价筹码。</w:t>
      </w:r>
    </w:p>
    <w:p w14:paraId="55DD07F3">
      <w:pPr>
        <w:spacing w:before="0" w:after="0" w:line="312" w:lineRule="auto"/>
        <w:ind w:firstLine="420"/>
        <w:jc w:val="both"/>
      </w:pPr>
      <w:r>
        <w:t>再看外部监管的频率和深度。价格管制通道、行业准入审批、定期监管核查和信息披露要求，使管制行业企业的经营与财务状况长期处在较高外部关注之下。这种持续存在的监管压力，会对高管薪酬安排形成更强的外部制衡，从而削弱补贴资源向超额薪酬传导的空间。相较之下，非管制行业企业在薪酬制定上保留了更大的市场化空间，外部监管介入较少，补贴与薪酬之间的联动也更容易出现。</w:t>
      </w:r>
    </w:p>
    <w:p w14:paraId="08516D1D">
      <w:pPr>
        <w:spacing w:before="0" w:after="0" w:line="312" w:lineRule="auto"/>
        <w:ind w:firstLine="420"/>
        <w:jc w:val="both"/>
      </w:pPr>
      <w:r>
        <w:t>管制行业组的Top1系数（−0.0052，1%显著）明显大于非管制行业组（−0.0019，5%显著），这说明在管制行业里，大股东监督对超额薪酬的压制更强。考虑到管制行业中国有资本占比通常更高，大股东往往就是国资机构，其对薪酬安排的约束力度也更足。这也有助于理解为何管制行业的R²（0.0644）反而高于非管制行业（0.0184）：在前者内部，财务杠杆和股权监督等控制变量对超额薪酬的解释力度更大，说明薪酬安排更容易被制度约束和外部监督牵动。</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在“上一年已获得补贴”的公司年度中，滞后一期补贴强度与高管超额薪酬呈显著正相关。</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0.005）。也就是说，对已经获补贴的企业而言，补贴额度增加往往对应更高的后续超额薪酬。与旧的全样本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里把“是否得到补贴”和“得到后多少”分开估计，更贴近本文真正关心的强度问题。若按经济量级理解，该系数约对应0.016个标准差的残差变化，统计上稳健但幅度有限。这与财政补贴作为条件性政策冲击的性质相符：补贴不是企业主要收入来源，它对高管薪酬的边际牵动通常弱于盈利和规模等核心因素。</w:t>
      </w:r>
    </w:p>
    <w:p w14:paraId="143782E0">
      <w:pPr>
        <w:spacing w:before="0" w:after="0" w:line="312" w:lineRule="auto"/>
        <w:ind w:firstLine="420"/>
        <w:jc w:val="both"/>
      </w:pPr>
      <w:r>
        <w:t>（2）把回归设定来回替换后，这个正向估计仍然站得住，异质性分布也比较清楚。因变量改成高管前三名薪酬对数时，补贴强度系数为0.0331（p &lt; 0.001）；样本期收窄到2010—2020年后，系数为0.0120（p = 0.003）；只看制造业样本，系数为0.0099（p = 0.023）；再放入行业×年份固定效应，系数仍有0.0082（p = 0.013）。分组结果显示，显著正向关系主要落在私营企业（0.0135，p = 0.004）和非管制行业（0.0110，p = 0.004），国有企业、管制行业以及央地国企内部都没有得到稳健显著估计。这种分布与制度背景基本吻合：国有企业受行政限薪和组织考核约束更强，管制行业外部约束也更多；私营企业和非管制行业的薪酬安排更依赖市场协商与内部谈判，所以补贴扩张更容易转成高管议价空间。</w:t>
      </w:r>
    </w:p>
    <w:p w14:paraId="37022B64">
      <w:pPr>
        <w:spacing w:before="0" w:after="0" w:line="312" w:lineRule="auto"/>
        <w:ind w:firstLine="420"/>
        <w:jc w:val="both"/>
      </w:pPr>
      <w:r>
        <w:t>（3）选择偏差校正和事件动态检验都没有把基准回归方向扭转过来，但因果解释仍要保持克制。在基准回归口径下，Heckman 两步法中的逆米尔斯比率显著（p = 0.0056），校正后的补贴系数仍为0.0093（p = 0.008），说明主估计不适合简单归因于样本选择。再看事件研究，前趋势联合检验的 p 值为0.669，事件当期及随后1至3期的系数分别为0.0235（p = 0.034）、0.0268（p = 0.018）、0.0256（p = 0.031）和0.0305（p = 0.007）。这说明高补贴事件发生前没有观察到显著预趋势，而事件之后超额薪酬则持续上行。表4-5里的正向结论在识别边界收紧后仍然存在，但正文仍把它理解为较稳健的条件相关，而不是无条件的强因果效应。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口径下，管理层权力在补贴强度与超额薪酬之间确实留有一条部分中介路径。</w:t>
      </w:r>
      <w:r>
        <w:rPr>
          <w:rFonts w:ascii="Times New Roman" w:hAnsi="Times New Roman" w:eastAsia="宋体"/>
          <w:b w:val="0"/>
          <w:bCs/>
          <w:sz w:val="21"/>
        </w:rPr>
        <w:t xml:space="preserve"> </w:t>
      </w:r>
      <w:r>
        <w:rPr>
          <w:rFonts w:hint="eastAsia" w:ascii="Times New Roman" w:hAnsi="Times New Roman" w:eastAsia="宋体"/>
          <w:b w:val="0"/>
          <w:bCs/>
          <w:sz w:val="21"/>
        </w:rPr>
        <w:t>这表明 H2 得到支持，不过经济量级并不大。</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管理层权力）系数为正且显著（0.0146，p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超额薪酬）同样为正且显著（0.0173，p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0.000609]，区间不跨零（p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0.007），说明经由管理层权力的间接传导在统计上成立。不过，间接效应只占总效应约3%，因此更合适的理解是：权力渠道存在，但传导力度有限。</w:t>
      </w:r>
    </w:p>
    <w:p w14:paraId="68E19A06">
      <w:pPr>
        <w:spacing w:before="0" w:after="0" w:line="312" w:lineRule="auto"/>
        <w:ind w:firstLine="420"/>
        <w:jc w:val="both"/>
      </w:pPr>
      <w:r>
        <w:t>（5）在与基准回归完全一致的43,417条样本上，机器学习部分给出了另一组辅助证据。随机森林里，lnSubsidy_pos_l1 在4个输入特征中排第3；基于随机森林计算的平均绝对SHAP值中，它仍排第3；Lasso 估计没有把 lnSubsidy_pos_l1 压缩为0，而且保留的是正系数；XGBoost 的特征重要性里，该变量排第2，财政补贴的部分依赖曲线总体也向上。由此可以看到，在保持基准回归样本与变量口径一致的前提下，财政补贴强度在预测层面的正向信息并没有消失。机器学习检验在本文里仍是辅助验证，不能替代计量回归中的显著性判断和因果识别。</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t>（1）完善财政补贴项目的事后跟踪和信息对表约束。 正文识别到的重点，不是“全样本平均补贴效应”，而是已获补贴企业内部的强度差异。因此，监管时不宜预先设定“补贴一定会推高高管薪酬”，更应盯住补贴金额上升后，资金用途、项目产出和薪酬变动之间有没有异常背离。对于获得大额补贴的企业，可以要求其在补贴使用报告中同步披露补贴计入利润的金额、项目执行进度、绩效完成情况以及高管薪酬变动，并把这些信息纳入后续补贴续期和规模调整的参考条件。</w:t>
      </w:r>
    </w:p>
    <w:p w14:paraId="0211745B">
      <w:pPr>
        <w:spacing w:before="0" w:after="0" w:line="312" w:lineRule="auto"/>
        <w:ind w:firstLine="420"/>
        <w:jc w:val="both"/>
      </w:pPr>
      <w:r>
        <w:t>（2）强化受补贴上市公司的薪酬治理披露，并把核查重点更多放在风险导向上。监管机构可进一步要求上市公司把高管薪酬决定安排、绩效达标标准、薪酬委员会独立性评估证据，以及补贴是否进入绩效考核基数讲清楚。对补贴规模较大、且机器学习补充部分中财政补贴变量持续排位靠前的企业，可以把这些数据检验信号当作内部核查线索，但不宜直接把图形或排序证据当成处罚与政策调整依据。更合适的做法，是用它们帮助提高透明度，降低识别异常薪酬的成本。</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690009F4">
      <w:pPr>
        <w:spacing w:before="0" w:after="0" w:line="312" w:lineRule="auto"/>
        <w:ind w:firstLine="420"/>
        <w:jc w:val="both"/>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49049FCA">
      <w:pPr>
        <w:spacing w:before="0" w:after="0" w:line="312" w:lineRule="auto"/>
        <w:ind w:firstLine="420"/>
        <w:jc w:val="both"/>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96"/>
    <w:bookmarkEnd w:id="98"/>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7F4EF0"/>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45</Pages>
  <Words>827</Words>
  <Characters>4717</Characters>
  <Lines>39</Lines>
  <Paragraphs>11</Paragraphs>
  <TotalTime>244</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2021-08-18T19:52:00Z</dcterms:created>
  <dc:creator>lml</dc:creator>
  <cp:lastModifiedBy>Avenger</cp:lastModifiedBy>
  <cp:lastPrinted>2009-10-23T22:19:00Z</cp:lastPrinted>
  <dcterms:modified xsi:type="dcterms:W3CDTF">2026-04-14T22:37:32Z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