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2"/>
        </w:rPr>
        <w:t>回归分析结果</w:t>
      </w:r>
    </w:p>
    <w:p>
      <w:pPr>
        <w:jc w:val="center"/>
      </w:pPr>
      <w:r>
        <w:rPr>
          <w:rFonts w:ascii="Times New Roman" w:hAnsi="Times New Roman" w:eastAsia="宋体"/>
          <w:sz w:val="24"/>
        </w:rPr>
        <w:t>基于数据挖掘的上市公司财政补贴与高管超额薪酬研究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表1  主要变量描述性统计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均值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中位数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标准差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最小值</w:t>
            </w:r>
          </w:p>
        </w:tc>
        <w:tc>
          <w:tcPr>
            <w:tcW w:type="dxa" w:w="1234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最大值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高管前三名薪酬总额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2.64e+06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1.92e+06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3.05e+06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10000.0000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1.18e+08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政府补助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5.00e+07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1.09e+07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4.33e+08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-6.33e+07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8.41e+10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财政补贴强度(lnSubsidy=ln(1+Subsidy))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14.6590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16.2039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5.2503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20.3015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高管前三名薪酬对数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14.4341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14.4653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0.8354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9.2103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18.5820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企业规模(lnSale)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52972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21.4579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21.3015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1.4521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18.3829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25.6603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无形资产占比(IA)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52813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0.0444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0.0507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0.3227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超额薪酬(Overpay)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52805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-0.0147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0.5840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-3.3962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3.7591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管理层权力(Power, FA口径)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50171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0.0386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-6.3992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4.8548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资产收益率(Roa)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0.0351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0.0363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0.0615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-0.2340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0.1936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财务杠杆(Lever)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0.4227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0.4167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0.2062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0.0517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0.8947</w:t>
            </w:r>
          </w:p>
        </w:tc>
      </w:tr>
      <w:tr>
        <w:tc>
          <w:tcPr>
            <w:tcW w:type="dxa" w:w="1234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第一大股东持股比例(Top1)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34.5275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32.2700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15.0152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8.4800</w:t>
            </w:r>
          </w:p>
        </w:tc>
        <w:tc>
          <w:tcPr>
            <w:tcW w:type="dxa" w:w="1234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74.3000</w:t>
            </w:r>
          </w:p>
        </w:tc>
      </w:tr>
      <w:tr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地区(Zone, 中西部=1)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52980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0.2925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0.4549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1234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1.0000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注：薪酬和政府补助单位为元。Overpay 直接使用模型1残差，不再进行二次缩尾；其余连续变量按 1%/99% 分位数缩尾处理。Zone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表2  第一阶段期望薪酬模型估计结果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t值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lnSale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0.1979***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(106.4979)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企业规模越大，期望薪酬越高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1.9156***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(45.0073)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盈利能力越强，期望薪酬越高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IA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-0.3301***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(-6.1348)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无形资产占比较高时，期望薪酬相对较低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Zone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-0.2268***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(-39.6966)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在中西部=1的定义下，负系数表示中西部期望薪酬低于东部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Industry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17 个行业虚拟变量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 个年份虚拟变量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52805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0.5117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p&lt;0.01。模型1使用 OLS 并控制行业与年份虚拟变量，其残差直接记为超额薪酬 Overpay。Zone 为虚拟变量，其中中西部=1、东部=0。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表3  主回归结果（模型2，公司与年份固定效应）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432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432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Overpay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0.0005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(0.5372)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-0.8576***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(-12.1195)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-0.1114***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(-2.7716)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-0.0027***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(-3.6328)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F统计量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44.01</w:t>
            </w:r>
          </w:p>
        </w:tc>
      </w:tr>
      <w:tr>
        <w:tc>
          <w:tcPr>
            <w:tcW w:type="dxa" w:w="432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432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49755</w:t>
            </w:r>
          </w:p>
        </w:tc>
      </w:tr>
      <w:tr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432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0.0149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p&lt;0.01。F 统计量报告公司层面聚类稳健标准误下的联合显著性检验。标准误为公司层面聚类稳健标准误。控制变量包括 Roa、Lever 和 Top1。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表4  内生性识别与 Heckman 两阶段结果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识别方案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工具/排除变量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一阶段统计量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二阶段补贴系数</w:t>
            </w:r>
          </w:p>
        </w:tc>
        <w:tc>
          <w:tcPr>
            <w:tcW w:type="dxa" w:w="1728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N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基准工具变量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滞后一期同城同年其他企业平均补助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F=22.77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-0.0337; t=-1.5560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46634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简单替代工具变量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滞后一期同行业同年其他企业平均补助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F=105.46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-0.0109; t=-1.3223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49741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精炼双工具变量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滞后一期同行业同年排除本省平均补助 + 同省同行业同年排除本市平均补助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F=77.74; OverID p=0.040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-0.0233**; t=-2.1588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38620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增强shift-share单工具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企业早期补贴暴露度 × 全国（排除本省）行业补贴增量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F=0.31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0.5203; t=0.5512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48897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增强shift-share双工具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省—行业正补助暴露度 × 全国（排除本省）行业补贴增量 + 企业早期补贴暴露度 × 全国（排除本省）行业补贴增量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F=0.73; OverID p=0.759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0.3267; t=0.8327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46537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Heckman两步法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IV_lnSubsidy_l1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IMR p=0.0056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0.0093***; t=2.6543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40679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注：前三行为公司固定效应 + 年份固定效应的 FE-2SLS 比较；其后两行为公司固定效应 + 行业×年份固定效应下的 shift-share Bartik 识别。增强 shift-share 工具变量以预定暴露度（企业早期补贴暴露度或省—行业早期正补助暴露度）与全国（排除本省）行业补贴年度增量的交互项构造。Heckman 两步法仅用于 `lnSubsidy_pos_l1` 的正补助样本选择校正，第二阶段仍控制 Roa、Lever、Top1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表5  管理层权力的中介效应检验结果（模型3至模型5，FA口径）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系数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标准误（cluster）</w:t>
            </w:r>
          </w:p>
        </w:tc>
        <w:tc>
          <w:tcPr>
            <w:tcW w:type="dxa" w:w="2160"/>
            <w:tcBorders>
              <w:top w:val="single" w:sz="12" w:space="0" w:color="000000"/>
            </w:tcBorders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Bootstrap 95%CI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模型3 总效应 c：lnSubsidy_l1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模型4 路径 a：lnSubsidy_l1 → Power（FA）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路径 b：Power（FA）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0.0117*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0.0063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模型5 直接效应 c'：lnSubsidy_l1 → Overpay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0.0007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0.0009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间接效应 a×b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0.000020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[-0.000009, 0.000070]</w:t>
            </w:r>
          </w:p>
        </w:tc>
      </w:tr>
      <w:tr>
        <w:tc>
          <w:tcPr>
            <w:tcW w:type="dxa" w:w="216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Sobel p 值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0.2994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中介效应占比（a×b / c）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2.80%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216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注：***、**、* 分别表示在1%、5%、10%水平上显著。模型3报告总效应，模型4报告路径a，模型5同时报告路径b与直接效应。Bootstrap 为公司层面 cluster bootstrap，300 次重抽样。所有回归均控制 Roa、Lever、Top1 以及公司和年份固定效应。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表6  稳健性检验结果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(1) 替换因变量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(2) 缩小样本期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(3) 仅制造业</w:t>
            </w:r>
          </w:p>
        </w:tc>
        <w:tc>
          <w:tcPr>
            <w:tcW w:type="dxa" w:w="1728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(4) 替换解释变量</w:t>
            </w:r>
          </w:p>
        </w:tc>
      </w:tr>
      <w:tr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高管前三名薪酬对数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  <w:tc>
          <w:tcPr>
            <w:tcW w:type="dxa" w:w="1728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Overpay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补助变量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0.0035***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-0.0002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0.0094***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(3.7531)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(0.9361)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(-0.2086)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(2.8007)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Controls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1728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49920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26437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32488</w:t>
            </w:r>
          </w:p>
        </w:tc>
        <w:tc>
          <w:tcPr>
            <w:tcW w:type="dxa" w:w="1728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43417</w:t>
            </w:r>
          </w:p>
        </w:tc>
      </w:tr>
      <w:tr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0.0430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0.0222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0.0130</w:t>
            </w:r>
          </w:p>
        </w:tc>
        <w:tc>
          <w:tcPr>
            <w:tcW w:type="dxa" w:w="1728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0.0205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p&lt;0.01。标准误为公司层面聚类稳健标准误。所有固定效应回归均控制 Roa、Lever、Top1，并加入公司和年份固定效应。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表7  分产权性质主回归结果（模型2）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国有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私营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(0.0248)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(-0.1145)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-0.1703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-1.2358***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(-1.3058)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(-14.9249)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-0.1757***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-0.0821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(-2.7042)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(-1.4953)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-0.0022*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(-1.9479)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(-0.7082)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20233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25099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0.0040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0.0317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表8  分行业管制主回归结果（模型2）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管制行业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非管制行业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0.0008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(-0.3560)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(0.7896)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-1.4176***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-0.8173***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(-11.0995)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(-10.4495)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-0.1312**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-0.0712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(-2.0618)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(-1.5793)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-0.0044***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-0.0024***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(-3.1516)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(-3.0972)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8339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41416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0.0525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0.0132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p>
      <w:pPr>
        <w:spacing w:before="240" w:after="120"/>
        <w:jc w:val="center"/>
      </w:pPr>
      <w:r>
        <w:rPr>
          <w:rFonts w:ascii="Times New Roman" w:hAnsi="Times New Roman" w:eastAsia="黑体"/>
          <w:b/>
          <w:sz w:val="24"/>
        </w:rPr>
        <w:t>表9  央企与地方国企主回归结果（模型2，央地可识别比例=74.53%）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变量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央企</w:t>
            </w:r>
          </w:p>
        </w:tc>
        <w:tc>
          <w:tcPr>
            <w:tcW w:type="dxa" w:w="2880"/>
            <w:tcBorders>
              <w:top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地方国企</w:t>
            </w:r>
          </w:p>
        </w:tc>
      </w:tr>
      <w:tr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  <w:tc>
          <w:tcPr>
            <w:tcW w:type="dxa" w:w="2880"/>
            <w:tcBorders>
              <w:bottom w:val="single" w:sz="6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模型2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lnSubsidy_l1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-0.0006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-0.0012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(-0.3282)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(-0.8789)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Roa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-0.1620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-0.1534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(-0.6292)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(-0.9197)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Lever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0.0020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-0.1519**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(0.0130)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(-2.0007)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Top1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-0.0013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-0.0034**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(-0.7117)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(-2.1888)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Firm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Year FE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控制</w:t>
            </w:r>
          </w:p>
        </w:tc>
      </w:tr>
      <w:tr>
        <w:tc>
          <w:tcPr>
            <w:tcW w:type="dxa" w:w="2880"/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N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4647</w:t>
            </w:r>
          </w:p>
        </w:tc>
        <w:tc>
          <w:tcPr>
            <w:tcW w:type="dxa" w:w="2880"/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10494</w:t>
            </w:r>
          </w:p>
        </w:tc>
      </w:tr>
      <w:tr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R²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0.0011</w:t>
            </w:r>
          </w:p>
        </w:tc>
        <w:tc>
          <w:tcPr>
            <w:tcW w:type="dxa" w:w="2880"/>
            <w:tcBorders>
              <w:bottom w:val="single" w:sz="12" w:space="0" w:color="000000"/>
            </w:tcBorders>
          </w:tcPr>
          <w:p>
            <w:pPr>
              <w:spacing w:before="20" w:after="20" w:line="280" w:lineRule="exact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0.0061</w:t>
            </w:r>
          </w:p>
        </w:tc>
      </w:tr>
    </w:tbl>
    <w:p>
      <w:pPr>
        <w:spacing w:before="40" w:after="240"/>
      </w:pPr>
      <w:r>
        <w:rPr>
          <w:rFonts w:ascii="Times New Roman" w:hAnsi="Times New Roman" w:eastAsia="宋体"/>
          <w:sz w:val="18"/>
        </w:rPr>
        <w:t>注：括号中为 t 值，* p&lt;0.1, ** p&lt;0.05, *** p&lt;0.01。标准误为公司层面聚类稳健标准误。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