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plate</w:t>
      </w:r>
      <w:r>
        <w:t xml:space="preserve"> </w:t>
      </w:r>
      <w:r>
        <w:t xml:space="preserve">model</w:t>
      </w:r>
      <w:r>
        <w:t xml:space="preserve"> </w:t>
      </w:r>
      <w:r>
        <w:t xml:space="preserve">choice</w:t>
      </w:r>
      <w:r>
        <w:t xml:space="preserve"> </w:t>
      </w:r>
      <w:r>
        <w:t xml:space="preserve">impacts</w:t>
      </w:r>
      <w:r>
        <w:t xml:space="preserve"> </w:t>
      </w:r>
      <w:r>
        <w:t xml:space="preserve">reconstructions</w:t>
      </w:r>
      <w:r>
        <w:t xml:space="preserve"> </w:t>
      </w:r>
      <w:r>
        <w:t xml:space="preserve">of</w:t>
      </w:r>
      <w:r>
        <w:t xml:space="preserve"> </w:t>
      </w:r>
      <w:r>
        <w:t xml:space="preserve">the</w:t>
      </w:r>
      <w:r>
        <w:t xml:space="preserve"> </w:t>
      </w:r>
      <w:r>
        <w:t xml:space="preserve">latitudinal</w:t>
      </w:r>
      <w:r>
        <w:t xml:space="preserve"> </w:t>
      </w:r>
      <w:r>
        <w:t xml:space="preserve">biodiversity</w:t>
      </w:r>
      <w:r>
        <w:t xml:space="preserve"> </w:t>
      </w:r>
      <w:r>
        <w:t xml:space="preserve">gradient</w:t>
      </w:r>
    </w:p>
    <w:p>
      <w:pPr>
        <w:pStyle w:val="Author"/>
      </w:pPr>
      <w:r>
        <w:t xml:space="preserve">—</w:t>
      </w:r>
    </w:p>
    <w:p>
      <w:pPr>
        <w:pStyle w:val="Author"/>
      </w:pPr>
      <w:r>
        <w:t xml:space="preserve">Lewis</w:t>
      </w:r>
      <w:r>
        <w:t xml:space="preserve"> </w:t>
      </w:r>
      <w:r>
        <w:t xml:space="preserve">A.</w:t>
      </w:r>
      <w:r>
        <w:t xml:space="preserve"> </w:t>
      </w:r>
      <w:r>
        <w:t xml:space="preserve">Jones</w:t>
      </w:r>
      <w:r>
        <w:rPr>
          <w:vertAlign w:val="superscript"/>
        </w:rPr>
        <w:t xml:space="preserve">1</w:t>
      </w:r>
      <w:r>
        <w:t xml:space="preserve">,</w:t>
      </w:r>
      <w:r>
        <w:t xml:space="preserve"> </w:t>
      </w:r>
      <w:r>
        <w:t xml:space="preserve">Bethany</w:t>
      </w:r>
      <w:r>
        <w:t xml:space="preserve"> </w:t>
      </w:r>
      <w:r>
        <w:t xml:space="preserve">J.</w:t>
      </w:r>
      <w:r>
        <w:t xml:space="preserve"> </w:t>
      </w:r>
      <w:r>
        <w:t xml:space="preserve">Allen</w:t>
      </w:r>
      <w:r>
        <w:rPr>
          <w:vertAlign w:val="superscript"/>
        </w:rPr>
        <w:t xml:space="preserve">2,3</w:t>
      </w:r>
      <w:r>
        <w:t xml:space="preserve">,</w:t>
      </w:r>
      <w:r>
        <w:t xml:space="preserve"> </w:t>
      </w:r>
      <w:r>
        <w:t xml:space="preserve">William</w:t>
      </w:r>
      <w:r>
        <w:t xml:space="preserve"> </w:t>
      </w:r>
      <w:r>
        <w:t xml:space="preserve">Gearty</w:t>
      </w:r>
      <w:r>
        <w:rPr>
          <w:vertAlign w:val="superscript"/>
        </w:rPr>
        <w:t xml:space="preserve">4</w:t>
      </w:r>
      <w:r>
        <w:t xml:space="preserve">,</w:t>
      </w:r>
      <w:r>
        <w:t xml:space="preserve"> </w:t>
      </w:r>
      <w:r>
        <w:t xml:space="preserve">and</w:t>
      </w:r>
      <w:r>
        <w:t xml:space="preserve"> </w:t>
      </w:r>
      <w:r>
        <w:t xml:space="preserve">Lucas</w:t>
      </w:r>
      <w:r>
        <w:t xml:space="preserve"> </w:t>
      </w:r>
      <w:r>
        <w:t xml:space="preserve">Buffan</w:t>
      </w:r>
      <w:r>
        <w:rPr>
          <w:vertAlign w:val="superscript"/>
        </w:rPr>
        <w:t xml:space="preserve">5</w:t>
      </w:r>
    </w:p>
    <w:p>
      <w:pPr>
        <w:pStyle w:val="Author"/>
      </w:pPr>
      <w:r>
        <w:t xml:space="preserve">—</w:t>
      </w:r>
    </w:p>
    <w:p>
      <w:pPr>
        <w:pStyle w:val="Author"/>
      </w:pPr>
      <w:r>
        <w:rPr>
          <w:vertAlign w:val="superscript"/>
        </w:rPr>
        <w:t xml:space="preserve">1</w:t>
      </w:r>
      <w:r>
        <w:t xml:space="preserve">Grupo</w:t>
      </w:r>
      <w:r>
        <w:t xml:space="preserve"> </w:t>
      </w:r>
      <w:r>
        <w:t xml:space="preserve">de</w:t>
      </w:r>
      <w:r>
        <w:t xml:space="preserve"> </w:t>
      </w:r>
      <w:r>
        <w:t xml:space="preserve">Ecoloxía</w:t>
      </w:r>
      <w:r>
        <w:t xml:space="preserve"> </w:t>
      </w:r>
      <w:r>
        <w:t xml:space="preserve">Animal,</w:t>
      </w:r>
      <w:r>
        <w:t xml:space="preserve"> </w:t>
      </w:r>
      <w:r>
        <w:t xml:space="preserve">Departamento</w:t>
      </w:r>
      <w:r>
        <w:t xml:space="preserve"> </w:t>
      </w:r>
      <w:r>
        <w:t xml:space="preserve">de</w:t>
      </w:r>
      <w:r>
        <w:t xml:space="preserve"> </w:t>
      </w:r>
      <w:r>
        <w:t xml:space="preserve">Ecoloxía</w:t>
      </w:r>
      <w:r>
        <w:t xml:space="preserve"> </w:t>
      </w:r>
      <w:r>
        <w:t xml:space="preserve">e</w:t>
      </w:r>
      <w:r>
        <w:t xml:space="preserve"> </w:t>
      </w:r>
      <w:r>
        <w:t xml:space="preserve">Bioloxía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rPr>
          <w:vertAlign w:val="superscript"/>
        </w:rPr>
        <w:t xml:space="preserve">2</w:t>
      </w:r>
      <w:r>
        <w:t xml:space="preserve">Department</w:t>
      </w:r>
      <w:r>
        <w:t xml:space="preserve"> </w:t>
      </w:r>
      <w:r>
        <w:t xml:space="preserve">of</w:t>
      </w:r>
      <w:r>
        <w:t xml:space="preserve"> </w:t>
      </w:r>
      <w:r>
        <w:t xml:space="preserve">Biosystems</w:t>
      </w:r>
      <w:r>
        <w:t xml:space="preserve"> </w:t>
      </w:r>
      <w:r>
        <w:t xml:space="preserve">Science</w:t>
      </w:r>
      <w:r>
        <w:t xml:space="preserve"> </w:t>
      </w:r>
      <w:r>
        <w:t xml:space="preserve">and</w:t>
      </w:r>
      <w:r>
        <w:t xml:space="preserve"> </w:t>
      </w:r>
      <w:r>
        <w:t xml:space="preserve">Engineering,</w:t>
      </w:r>
      <w:r>
        <w:t xml:space="preserve"> </w:t>
      </w:r>
      <w:r>
        <w:t xml:space="preserve">ETH</w:t>
      </w:r>
      <w:r>
        <w:t xml:space="preserve"> </w:t>
      </w:r>
      <w:r>
        <w:t xml:space="preserve">Zürich,</w:t>
      </w:r>
      <w:r>
        <w:t xml:space="preserve"> </w:t>
      </w:r>
      <w:r>
        <w:t xml:space="preserve">4058</w:t>
      </w:r>
      <w:r>
        <w:t xml:space="preserve"> </w:t>
      </w:r>
      <w:r>
        <w:t xml:space="preserve">Basel,</w:t>
      </w:r>
      <w:r>
        <w:t xml:space="preserve"> </w:t>
      </w:r>
      <w:r>
        <w:t xml:space="preserve">Switzerland.</w:t>
      </w:r>
    </w:p>
    <w:p>
      <w:pPr>
        <w:pStyle w:val="Author"/>
      </w:pPr>
      <w:r>
        <w:rPr>
          <w:vertAlign w:val="superscript"/>
        </w:rPr>
        <w:t xml:space="preserve">3</w:t>
      </w:r>
      <w:r>
        <w:t xml:space="preserve">Computational</w:t>
      </w:r>
      <w:r>
        <w:t xml:space="preserve"> </w:t>
      </w:r>
      <w:r>
        <w:t xml:space="preserve">Evolution</w:t>
      </w:r>
      <w:r>
        <w:t xml:space="preserve"> </w:t>
      </w:r>
      <w:r>
        <w:t xml:space="preserve">Group,</w:t>
      </w:r>
      <w:r>
        <w:t xml:space="preserve"> </w:t>
      </w:r>
      <w:r>
        <w:t xml:space="preserve">Swiss</w:t>
      </w:r>
      <w:r>
        <w:t xml:space="preserve"> </w:t>
      </w:r>
      <w:r>
        <w:t xml:space="preserve">Institute</w:t>
      </w:r>
      <w:r>
        <w:t xml:space="preserve"> </w:t>
      </w:r>
      <w:r>
        <w:t xml:space="preserve">of</w:t>
      </w:r>
      <w:r>
        <w:t xml:space="preserve"> </w:t>
      </w:r>
      <w:r>
        <w:t xml:space="preserve">Bioinformatics,</w:t>
      </w:r>
      <w:r>
        <w:t xml:space="preserve"> </w:t>
      </w:r>
      <w:r>
        <w:t xml:space="preserve">1015</w:t>
      </w:r>
      <w:r>
        <w:t xml:space="preserve"> </w:t>
      </w:r>
      <w:r>
        <w:t xml:space="preserve">Lausanne,</w:t>
      </w:r>
      <w:r>
        <w:t xml:space="preserve"> </w:t>
      </w:r>
      <w:r>
        <w:t xml:space="preserve">Switzerland.</w:t>
      </w:r>
    </w:p>
    <w:p>
      <w:pPr>
        <w:pStyle w:val="Author"/>
      </w:pPr>
      <w:r>
        <w:rPr>
          <w:vertAlign w:val="superscript"/>
        </w:rPr>
        <w:t xml:space="preserve">4</w:t>
      </w:r>
      <w:r>
        <w:t xml:space="preserve">Division</w:t>
      </w:r>
      <w:r>
        <w:t xml:space="preserve"> </w:t>
      </w:r>
      <w:r>
        <w:t xml:space="preserve">of</w:t>
      </w:r>
      <w:r>
        <w:t xml:space="preserve"> </w:t>
      </w:r>
      <w:r>
        <w:t xml:space="preserve">Paleontology,</w:t>
      </w:r>
      <w:r>
        <w:t xml:space="preserve"> </w:t>
      </w:r>
      <w:r>
        <w:t xml:space="preserve">American</w:t>
      </w:r>
      <w:r>
        <w:t xml:space="preserve"> </w:t>
      </w:r>
      <w:r>
        <w:t xml:space="preserve">Museum</w:t>
      </w:r>
      <w:r>
        <w:t xml:space="preserve"> </w:t>
      </w:r>
      <w:r>
        <w:t xml:space="preserve">of</w:t>
      </w:r>
      <w:r>
        <w:t xml:space="preserve"> </w:t>
      </w:r>
      <w:r>
        <w:t xml:space="preserve">Natural</w:t>
      </w:r>
      <w:r>
        <w:t xml:space="preserve"> </w:t>
      </w:r>
      <w:r>
        <w:t xml:space="preserve">History,</w:t>
      </w:r>
      <w:r>
        <w:t xml:space="preserve"> </w:t>
      </w:r>
      <w:r>
        <w:t xml:space="preserve">New</w:t>
      </w:r>
      <w:r>
        <w:t xml:space="preserve"> </w:t>
      </w:r>
      <w:r>
        <w:t xml:space="preserve">York,</w:t>
      </w:r>
      <w:r>
        <w:t xml:space="preserve"> </w:t>
      </w:r>
      <w:r>
        <w:t xml:space="preserve">NY,</w:t>
      </w:r>
      <w:r>
        <w:t xml:space="preserve"> </w:t>
      </w:r>
      <w:r>
        <w:t xml:space="preserve">10024</w:t>
      </w:r>
      <w:r>
        <w:t xml:space="preserve"> </w:t>
      </w:r>
      <w:r>
        <w:t xml:space="preserve">USA.</w:t>
      </w:r>
    </w:p>
    <w:p>
      <w:pPr>
        <w:pStyle w:val="Author"/>
      </w:pPr>
      <w:r>
        <w:rPr>
          <w:vertAlign w:val="superscript"/>
        </w:rPr>
        <w:t xml:space="preserve">5</w:t>
      </w:r>
      <w:r>
        <w:t xml:space="preserve">Département</w:t>
      </w:r>
      <w:r>
        <w:t xml:space="preserve"> </w:t>
      </w:r>
      <w:r>
        <w:t xml:space="preserve">de</w:t>
      </w:r>
      <w:r>
        <w:t xml:space="preserve"> </w:t>
      </w:r>
      <w:r>
        <w:t xml:space="preserve">Biologie,</w:t>
      </w:r>
      <w:r>
        <w:t xml:space="preserve"> </w:t>
      </w:r>
      <w:r>
        <w:t xml:space="preserve">École</w:t>
      </w:r>
      <w:r>
        <w:t xml:space="preserve"> </w:t>
      </w:r>
      <w:r>
        <w:t xml:space="preserve">Normale</w:t>
      </w:r>
      <w:r>
        <w:t xml:space="preserve"> </w:t>
      </w:r>
      <w:r>
        <w:t xml:space="preserve">Supérieure</w:t>
      </w:r>
      <w:r>
        <w:t xml:space="preserve"> </w:t>
      </w:r>
      <w:r>
        <w:t xml:space="preserve">de</w:t>
      </w:r>
      <w:r>
        <w:t xml:space="preserve"> </w:t>
      </w:r>
      <w:r>
        <w:t xml:space="preserve">Lyon,</w:t>
      </w:r>
      <w:r>
        <w:t xml:space="preserve"> </w:t>
      </w:r>
      <w:r>
        <w:t xml:space="preserve">Université</w:t>
      </w:r>
      <w:r>
        <w:t xml:space="preserve"> </w:t>
      </w:r>
      <w:r>
        <w:t xml:space="preserve">Claude</w:t>
      </w:r>
      <w:r>
        <w:t xml:space="preserve"> </w:t>
      </w:r>
      <w:r>
        <w:t xml:space="preserve">Bernard</w:t>
      </w:r>
      <w:r>
        <w:t xml:space="preserve"> </w:t>
      </w:r>
      <w:r>
        <w:t xml:space="preserve">Lyon</w:t>
      </w:r>
      <w:r>
        <w:t xml:space="preserve"> </w:t>
      </w:r>
      <w:r>
        <w:t xml:space="preserve">1,</w:t>
      </w:r>
      <w:r>
        <w:t xml:space="preserve"> </w:t>
      </w:r>
      <w:r>
        <w:t xml:space="preserve">69342</w:t>
      </w:r>
      <w:r>
        <w:t xml:space="preserve"> </w:t>
      </w:r>
      <w:r>
        <w:t xml:space="preserve">Lyon</w:t>
      </w:r>
      <w:r>
        <w:t xml:space="preserve"> </w:t>
      </w:r>
      <w:r>
        <w:t xml:space="preserve">Cedex</w:t>
      </w:r>
      <w:r>
        <w:t xml:space="preserve"> </w:t>
      </w:r>
      <w:r>
        <w:t xml:space="preserve">07,</w:t>
      </w:r>
      <w:r>
        <w:t xml:space="preserve"> </w:t>
      </w:r>
      <w:r>
        <w:t xml:space="preserve">France.</w:t>
      </w:r>
    </w:p>
    <w:p>
      <w:pPr>
        <w:pStyle w:val="Author"/>
      </w:pPr>
      <w:r>
        <w:t xml:space="preserve">—</w:t>
      </w:r>
    </w:p>
    <w:p>
      <w:pPr>
        <w:pStyle w:val="Author"/>
      </w:pPr>
      <w:r>
        <w:rPr>
          <w:bCs/>
          <w:b/>
        </w:rPr>
        <w:t xml:space="preserve">All</w:t>
      </w:r>
      <w:r>
        <w:rPr>
          <w:bCs/>
          <w:b/>
        </w:rPr>
        <w:t xml:space="preserve"> </w:t>
      </w:r>
      <w:r>
        <w:rPr>
          <w:bCs/>
          <w:b/>
        </w:rPr>
        <w:t xml:space="preserve">authors</w:t>
      </w:r>
      <w:r>
        <w:rPr>
          <w:bCs/>
          <w:b/>
        </w:rPr>
        <w:t xml:space="preserve"> </w:t>
      </w:r>
      <w:r>
        <w:rPr>
          <w:bCs/>
          <w:b/>
        </w:rPr>
        <w:t xml:space="preserve">contributed</w:t>
      </w:r>
      <w:r>
        <w:rPr>
          <w:bCs/>
          <w:b/>
        </w:rPr>
        <w:t xml:space="preserve"> </w:t>
      </w:r>
      <w:r>
        <w:rPr>
          <w:bCs/>
          <w:b/>
        </w:rPr>
        <w:t xml:space="preserve">equally</w:t>
      </w:r>
      <w:r>
        <w:rPr>
          <w:bCs/>
          <w:b/>
        </w:rPr>
        <w:t xml:space="preserve"> </w:t>
      </w:r>
      <w:r>
        <w:rPr>
          <w:bCs/>
          <w:b/>
        </w:rPr>
        <w:t xml:space="preserve">to</w:t>
      </w:r>
      <w:r>
        <w:rPr>
          <w:bCs/>
          <w:b/>
        </w:rPr>
        <w:t xml:space="preserve"> </w:t>
      </w:r>
      <w:r>
        <w:rPr>
          <w:bCs/>
          <w:b/>
        </w:rPr>
        <w:t xml:space="preserve">this</w:t>
      </w:r>
      <w:r>
        <w:rPr>
          <w:bCs/>
          <w:b/>
        </w:rPr>
        <w:t xml:space="preserve"> </w:t>
      </w:r>
      <w:r>
        <w:rPr>
          <w:bCs/>
          <w:b/>
        </w:rPr>
        <w:t xml:space="preserve">work</w:t>
      </w:r>
    </w:p>
    <w:p>
      <w:pPr>
        <w:pStyle w:val="Author"/>
      </w:pPr>
      <w:r>
        <w:rPr>
          <w:bCs/>
          <w:b/>
        </w:rPr>
        <w:t xml:space="preserve">Corresponding</w:t>
      </w:r>
      <w:r>
        <w:rPr>
          <w:bCs/>
          <w:b/>
        </w:rPr>
        <w:t xml:space="preserve"> </w:t>
      </w:r>
      <w:r>
        <w:rPr>
          <w:bCs/>
          <w:b/>
        </w:rPr>
        <w:t xml:space="preserve">author:</w:t>
      </w:r>
      <w:r>
        <w:t xml:space="preserve"> </w:t>
      </w:r>
      <w:r>
        <w:t xml:space="preserve">LewisAlan.Jones@uvigo.es</w:t>
      </w:r>
    </w:p>
    <w:p>
      <w:pPr>
        <w:pStyle w:val="Abstract"/>
      </w:pPr>
      <w:r>
        <w:br/>
      </w:r>
      <w:r>
        <w:t xml:space="preserve">Abstract</w:t>
      </w:r>
    </w:p>
    <w:p>
      <w:pPr>
        <w:pStyle w:val="FirstParagraph"/>
      </w:pPr>
      <w:r>
        <w:t xml:space="preserve">Here goes the abstract…</w:t>
      </w:r>
    </w:p>
    <w:bookmarkStart w:id="20" w:name="keywords"/>
    <w:p>
      <w:pPr>
        <w:pStyle w:val="Heading1"/>
      </w:pPr>
      <w:r>
        <w:t xml:space="preserve">Keywords</w:t>
      </w:r>
    </w:p>
    <w:p>
      <w:pPr>
        <w:pStyle w:val="FirstParagraph"/>
      </w:pPr>
      <w:r>
        <w:t xml:space="preserve">Latitudinal biodiversity gradient, marine invertebrates, macroecology, global plate model, palaeogeographic uncertainty</w:t>
      </w:r>
    </w:p>
    <w:p>
      <w:r>
        <w:br w:type="page"/>
      </w:r>
    </w:p>
    <w:bookmarkEnd w:id="20"/>
    <w:bookmarkStart w:id="21" w:name="introduction-600-words"/>
    <w:p>
      <w:pPr>
        <w:pStyle w:val="Heading1"/>
      </w:pPr>
      <w:r>
        <w:t xml:space="preserve">Introduction (600 words)</w:t>
      </w:r>
    </w:p>
    <w:p>
      <w:pPr>
        <w:pStyle w:val="FirstParagraph"/>
      </w:pPr>
      <w:r>
        <w:t xml:space="preserve">Today, species richness decreases from the tropics to the poles. This phenomenon is known as the latitudinal biodiversity gradient (LBG), and is one of Earth’s longest recognised macroecological patterns</w:t>
      </w:r>
      <w:r>
        <w:t xml:space="preserve"> </w:t>
      </w:r>
      <w:r>
        <w:t xml:space="preserve">[1–4]</w:t>
      </w:r>
      <w:r>
        <w:t xml:space="preserve">. While observed across numerous taxonomic groups in the terrestrial</w:t>
      </w:r>
      <w:r>
        <w:t xml:space="preserve"> </w:t>
      </w:r>
      <w:r>
        <w:t xml:space="preserve">[2,3,</w:t>
      </w:r>
      <w:r>
        <w:rPr>
          <w:bCs/>
          <w:b/>
        </w:rPr>
        <w:t xml:space="preserve">kinlock2017?</w:t>
      </w:r>
      <w:r>
        <w:t xml:space="preserve">]</w:t>
      </w:r>
      <w:r>
        <w:t xml:space="preserve"> </w:t>
      </w:r>
      <w:r>
        <w:t xml:space="preserve">and marine realm today</w:t>
      </w:r>
      <w:r>
        <w:t xml:space="preserve"> </w:t>
      </w:r>
      <w:r>
        <w:t xml:space="preserve">[5,6,but see 7,8,9]</w:t>
      </w:r>
      <w:r>
        <w:t xml:space="preserve">, the fossil record suggests this broadly unimodal gradient was not always present, with flattened and bimodal gradients observed across a range of taxonomic groups at various points in Earth’s geological history</w:t>
      </w:r>
      <w:r>
        <w:t xml:space="preserve"> </w:t>
      </w:r>
      <w:r>
        <w:t xml:space="preserve">[e.g. 10,11–19]</w:t>
      </w:r>
      <w:r>
        <w:t xml:space="preserve">. Several studies have demonstrated that tropical peaks and poleward declines in taxonomic richness have been restricted to the last 30 million years (Myr), and intervals of the Palaeozoic when cool icehouse climatic regimes persisted</w:t>
      </w:r>
      <w:r>
        <w:t xml:space="preserve"> </w:t>
      </w:r>
      <w:r>
        <w:t xml:space="preserve">[4,19,e.g. 20,21–23]</w:t>
      </w:r>
      <w:r>
        <w:t xml:space="preserve">. Conversely, during intervals of warmer climatic conditions (i.e. greenhouse and interglacial periods), various taxonomic groups have exhibited flattened LBGs, or even temperate peaks in biodiversity</w:t>
      </w:r>
      <w:r>
        <w:t xml:space="preserve"> </w:t>
      </w:r>
      <w:r>
        <w:t xml:space="preserve">[e.g. 11,12,14–16,24,25]</w:t>
      </w:r>
      <w:r>
        <w:t xml:space="preserve">. However, recent work suggests that our ability to recognise different types of LBG in deep time is hindered by incomplete and heterogeneous spatial sampling in the fossil record</w:t>
      </w:r>
      <w:r>
        <w:t xml:space="preserve"> </w:t>
      </w:r>
      <w:r>
        <w:t xml:space="preserve">[26,27]</w:t>
      </w:r>
      <w:r>
        <w:t xml:space="preserve">.</w:t>
      </w:r>
    </w:p>
    <w:p>
      <w:pPr>
        <w:pStyle w:val="BodyText"/>
      </w:pPr>
      <w:r>
        <w:t xml:space="preserve">When examining the LBG in the present day, neontologists use the geographic coordinates where they collected their samples to infer the spatial distributions of taxa. However, palaeobiologists must contend with the migration of tectonic plates over geological timescales; the geographic location of a fossil occurrence on the Earth’s surface today does not necessarily represent its location</w:t>
      </w:r>
      <w:r>
        <w:t xml:space="preserve"> </w:t>
      </w:r>
      <w:r>
        <w:rPr>
          <w:iCs/>
          <w:i/>
        </w:rPr>
        <w:t xml:space="preserve">in</w:t>
      </w:r>
      <w:r>
        <w:t xml:space="preserve"> </w:t>
      </w:r>
      <w:r>
        <w:rPr>
          <w:iCs/>
          <w:i/>
        </w:rPr>
        <w:t xml:space="preserve">vivo</w:t>
      </w:r>
      <w:r>
        <w:t xml:space="preserve">. Being able to accurately translate modern-day locality coordinates into the geographic distributions of fossil taxa is therefore a fundamental step in reconstructing the LBG in deep time. To do this, palaeobiologists routinely use Global Plate Models–sometimes also called</w:t>
      </w:r>
      <w:r>
        <w:t xml:space="preserve"> </w:t>
      </w:r>
      <w:r>
        <w:t xml:space="preserve">‘</w:t>
      </w:r>
      <w:r>
        <w:t xml:space="preserve">palaeorotation models</w:t>
      </w:r>
      <w:r>
        <w:t xml:space="preserve">’</w:t>
      </w:r>
      <w:r>
        <w:t xml:space="preserve"> </w:t>
      </w:r>
      <w:r>
        <w:t xml:space="preserve">or</w:t>
      </w:r>
      <w:r>
        <w:t xml:space="preserve"> </w:t>
      </w:r>
      <w:r>
        <w:t xml:space="preserve">‘</w:t>
      </w:r>
      <w:r>
        <w:t xml:space="preserve">plate rotation models</w:t>
      </w:r>
      <w:r>
        <w:t xml:space="preserve">’</w:t>
      </w:r>
      <w:r>
        <w:t xml:space="preserve">–</w:t>
      </w:r>
      <w:r>
        <w:t xml:space="preserve"> </w:t>
      </w:r>
      <w:r>
        <w:t xml:space="preserve">[17,18,23,25,28,29]</w:t>
      </w:r>
      <w:r>
        <w:t xml:space="preserve">. These models aim to reconstruct the tectonic evolution of the Earth by modelling the motion of the continental– and sometimes marine–plates across its surface through geological time. Many Global Plate Models have been constructed</w:t>
      </w:r>
      <w:r>
        <w:t xml:space="preserve"> </w:t>
      </w:r>
      <w:r>
        <w:t xml:space="preserve">[e.g. 30,31–33]</w:t>
      </w:r>
      <w:r>
        <w:t xml:space="preserve">, varying in the way they define the geological boundaries of continents and how they rotate them through time, having consequence for how fossil occurrences might be palaeogeographically reconstructed</w:t>
      </w:r>
      <w:r>
        <w:t xml:space="preserve"> </w:t>
      </w:r>
      <w:r>
        <w:t xml:space="preserve">[34]</w:t>
      </w:r>
      <w:r>
        <w:t xml:space="preserve">. However, to date, few palaeobiological studies (though see ref.</w:t>
      </w:r>
      <w:r>
        <w:t xml:space="preserve"> </w:t>
      </w:r>
      <w:r>
        <w:t xml:space="preserve">[35,36]</w:t>
      </w:r>
      <w:r>
        <w:t xml:space="preserve">) have considered how different Global Plate Models might influence reconstructions of the latitudinal distributions of fossil occurrences.</w:t>
      </w:r>
    </w:p>
    <w:p>
      <w:pPr>
        <w:pStyle w:val="BodyText"/>
      </w:pPr>
      <w:r>
        <w:t xml:space="preserve">Here, we test how much Global Plate Model choice influences the recognition of</w:t>
      </w:r>
      <w:r>
        <w:t xml:space="preserve"> </w:t>
      </w:r>
      <w:r>
        <w:t xml:space="preserve">‘</w:t>
      </w:r>
      <w:r>
        <w:t xml:space="preserve">unimodal-type</w:t>
      </w:r>
      <w:r>
        <w:t xml:space="preserve">’</w:t>
      </w:r>
      <w:r>
        <w:t xml:space="preserve"> </w:t>
      </w:r>
      <w:r>
        <w:t xml:space="preserve">latitudinal biodiversity gradients throughout the Phanerozoic (the last 540 million years). To do so, we reconstruct the palaeogeographic distribution of fossil occurrences for five major marine invertebrate groups, using data from the Paleobiology Database, and three Global Plate Models. We then describe the raw latitudinal distribution of occurrences before reconstructing the latitudinal biodiversity gradient using coverage-based rarefaction–a common sampling-standardisation approach–and quantify the strength of the gradient through time and the variability between Global Plate Models. We hypothesise that reconstructions of the latitudinal biodiversity gradient are more sensitive to plate rotation model choice with increasing age of rotation.</w:t>
      </w:r>
    </w:p>
    <w:bookmarkEnd w:id="21"/>
    <w:bookmarkStart w:id="28" w:name="materials-and-methods-600-words"/>
    <w:p>
      <w:pPr>
        <w:pStyle w:val="Heading1"/>
      </w:pPr>
      <w:r>
        <w:t xml:space="preserve">Materials and Methods (600 words)</w:t>
      </w:r>
    </w:p>
    <w:bookmarkStart w:id="23" w:name="occurrence-data"/>
    <w:p>
      <w:pPr>
        <w:pStyle w:val="Heading2"/>
      </w:pPr>
      <w:r>
        <w:t xml:space="preserve">Occurrence data</w:t>
      </w:r>
    </w:p>
    <w:p>
      <w:pPr>
        <w:pStyle w:val="FirstParagraph"/>
      </w:pPr>
      <w:r>
        <w:t xml:space="preserve">We downloaded Fortunian–Piacenzian (541–0 Ma) fossil occurrence data from the Paleobiology Database (PBDB;</w:t>
      </w:r>
      <w:r>
        <w:t xml:space="preserve"> </w:t>
      </w:r>
      <w:hyperlink r:id="rId22">
        <w:r>
          <w:rPr>
            <w:rStyle w:val="Hyperlink"/>
          </w:rPr>
          <w:t xml:space="preserve">https://paleobiodb.org/</w:t>
        </w:r>
      </w:hyperlink>
      <w:r>
        <w:t xml:space="preserve">) for five major marine invertebrate groups (Bivalvia, Brachiopoda, Cephalopoda, Gastropoda, Trilobita) on March 16 2023. Fossil occurrence data were downloaded using the PBDB API service and were restricted to marine environments and regular preservation (i.e. excluding form taxa and ichnotaxa). Occurrence data were subsequently binned into stratigraphic stage-level time bins following the Geological Timescale 2020</w:t>
      </w:r>
      <w:r>
        <w:t xml:space="preserve"> </w:t>
      </w:r>
      <w:r>
        <w:t xml:space="preserve">[37]</w:t>
      </w:r>
      <w:r>
        <w:t xml:space="preserve">, with the exception of Holocene and Pleistocene stages which were collapsed into their equivalent Epoch-level bins (i.e. Holocene and Pleistocene). Temporal binning was carried out using the bin_time() function from the palaeoverse R package ver. 1.2.0, using the</w:t>
      </w:r>
      <w:r>
        <w:t xml:space="preserve"> </w:t>
      </w:r>
      <w:r>
        <w:t xml:space="preserve">‘</w:t>
      </w:r>
      <w:r>
        <w:t xml:space="preserve">majority</w:t>
      </w:r>
      <w:r>
        <w:t xml:space="preserve">’</w:t>
      </w:r>
      <w:r>
        <w:t xml:space="preserve"> </w:t>
      </w:r>
      <w:r>
        <w:t xml:space="preserve">approach</w:t>
      </w:r>
      <w:r>
        <w:t xml:space="preserve"> </w:t>
      </w:r>
      <w:r>
        <w:t xml:space="preserve">[38]</w:t>
      </w:r>
      <w:r>
        <w:t xml:space="preserve">. Subsequently, we removed all occurrences with less than 95% of their age range covered by their assigned temporal bin. After data preparation, the occurrence dataset contained 443,815 occurrences from 78,730 collections.</w:t>
      </w:r>
    </w:p>
    <w:bookmarkEnd w:id="23"/>
    <w:bookmarkStart w:id="26" w:name="X3b031ebdf784a58eae7b3cc341da0dedccb5575"/>
    <w:p>
      <w:pPr>
        <w:pStyle w:val="Heading2"/>
      </w:pPr>
      <w:r>
        <w:t xml:space="preserve">Palaeogeographic reconstruction and binning</w:t>
      </w:r>
    </w:p>
    <w:p>
      <w:pPr>
        <w:pStyle w:val="FirstParagraph"/>
      </w:pPr>
      <w:r>
        <w:t xml:space="preserve">To reconstruct the palaeogeographic distributions of fossil occurrences, we used localities’ present-day coordinates and midpoint age from their assigned temporal bins with three Global Plate Models: PALEOMAP</w:t>
      </w:r>
      <w:r>
        <w:t xml:space="preserve"> </w:t>
      </w:r>
      <w:r>
        <w:t xml:space="preserve">[32]</w:t>
      </w:r>
      <w:r>
        <w:t xml:space="preserve">, GOLONKA</w:t>
      </w:r>
      <w:r>
        <w:t xml:space="preserve"> </w:t>
      </w:r>
      <w:r>
        <w:t xml:space="preserve">[31]</w:t>
      </w:r>
      <w:r>
        <w:t xml:space="preserve">, and MERDITH2021</w:t>
      </w:r>
      <w:r>
        <w:t xml:space="preserve"> </w:t>
      </w:r>
      <w:r>
        <w:t xml:space="preserve">[33]</w:t>
      </w:r>
      <w:r>
        <w:t xml:space="preserve">. Palaeogeographic reconstructions were generated using the GPlates Web Service (</w:t>
      </w:r>
      <w:hyperlink r:id="rId24">
        <w:r>
          <w:rPr>
            <w:rStyle w:val="Hyperlink"/>
          </w:rPr>
          <w:t xml:space="preserve">https://gwsdoc.gplates.org</w:t>
        </w:r>
      </w:hyperlink>
      <w:r>
        <w:t xml:space="preserve">) via the palaeorotate() function in palaeoverse ver. 1.2.0</w:t>
      </w:r>
      <w:r>
        <w:t xml:space="preserve"> </w:t>
      </w:r>
      <w:r>
        <w:t xml:space="preserve">[38]</w:t>
      </w:r>
      <w:r>
        <w:t xml:space="preserve">. For each Global Plate Model, fossil occurrences were binned into one of six equal-area latitudinal bins, using the estimated palaeolatitudes (</w:t>
      </w:r>
      <w:hyperlink w:anchor="tbl-bins">
        <w:r>
          <w:rPr>
            <w:rStyle w:val="Hyperlink"/>
          </w:rPr>
          <w:t xml:space="preserve">Table 1</w:t>
        </w:r>
      </w:hyperlink>
      <w:r>
        <w:t xml:space="preserve">). These latitudinal bins broadly represent three climatic zones within each hemisphere: tropical, temperate, and polar. The number of fossil occurrences which were unable to be rotated due to model incompatibility was recorded for each Global Plate Model.</w:t>
      </w:r>
    </w:p>
    <w:bookmarkStart w:id="25" w:name="tbl-bins"/>
    <w:p>
      <w:pPr>
        <w:pStyle w:val="TableCaption"/>
      </w:pPr>
      <w:r>
        <w:t xml:space="preserve">Table 1: Equal-area latitudinal bins used in this study. Bins are generated assumming a regular spheroid Earth model with a mean radius of ~6,371 km.</w:t>
      </w:r>
    </w:p>
    <w:tbl>
      <w:tblPr>
        <w:tblStyle w:val="Table"/>
        <w:tblW w:type="pct" w:w="5100"/>
        <w:tblLook w:firstRow="1" w:lastRow="0" w:firstColumn="0" w:lastColumn="0" w:noHBand="0" w:noVBand="0" w:val="0020"/>
        <w:jc w:val="start"/>
        <w:tblCaption w:val="Table 1: Equal-area latitudinal bins used in this study. Bins are generated assumming a regular spheroid Earth model with a mean radius of ~6,371 km."/>
      </w:tblPr>
      <w:tblGrid>
        <w:gridCol w:w="1346"/>
        <w:gridCol w:w="1346"/>
        <w:gridCol w:w="1346"/>
        <w:gridCol w:w="1346"/>
        <w:gridCol w:w="1346"/>
        <w:gridCol w:w="1346"/>
      </w:tblGrid>
      <w:tr>
        <w:trPr>
          <w:tblHeader w:val="true"/>
        </w:trPr>
        <w:tc>
          <w:tcPr/>
          <w:p>
            <w:pPr>
              <w:pStyle w:val="Compact"/>
              <w:jc w:val="right"/>
            </w:pPr>
            <w:r>
              <w:t xml:space="preserve">Bin</w:t>
            </w:r>
          </w:p>
        </w:tc>
        <w:tc>
          <w:tcPr/>
          <w:p>
            <w:pPr>
              <w:pStyle w:val="Compact"/>
              <w:jc w:val="right"/>
            </w:pPr>
            <w:r>
              <w:t xml:space="preserve">Maximum</w:t>
            </w:r>
          </w:p>
        </w:tc>
        <w:tc>
          <w:tcPr/>
          <w:p>
            <w:pPr>
              <w:pStyle w:val="Compact"/>
              <w:jc w:val="right"/>
            </w:pPr>
            <w:r>
              <w:t xml:space="preserve">Midpoint</w:t>
            </w:r>
          </w:p>
        </w:tc>
        <w:tc>
          <w:tcPr/>
          <w:p>
            <w:pPr>
              <w:pStyle w:val="Compact"/>
              <w:jc w:val="right"/>
            </w:pPr>
            <w:r>
              <w:t xml:space="preserve">Minimum</w:t>
            </w:r>
          </w:p>
        </w:tc>
        <w:tc>
          <w:tcPr/>
          <w:p>
            <w:pPr>
              <w:pStyle w:val="Compact"/>
              <w:jc w:val="right"/>
            </w:pPr>
            <w:r>
              <w:t xml:space="preserve">Area (m</w:t>
            </w:r>
            <w:r>
              <w:rPr>
                <w:vertAlign w:val="superscript"/>
              </w:rPr>
              <w:t xml:space="preserve">2</w:t>
            </w:r>
            <w:r>
              <w:t xml:space="preserve">)</w:t>
            </w:r>
          </w:p>
        </w:tc>
        <w:tc>
          <w:tcPr/>
          <w:p>
            <w:pPr>
              <w:pStyle w:val="Compact"/>
              <w:jc w:val="right"/>
            </w:pPr>
            <w:r>
              <w:t xml:space="preserve">Proportion of Area</w:t>
            </w:r>
          </w:p>
        </w:tc>
      </w:tr>
      <w:tr>
        <w:tc>
          <w:tcPr/>
          <w:p>
            <w:pPr>
              <w:pStyle w:val="Compact"/>
              <w:jc w:val="right"/>
            </w:pPr>
            <w:r>
              <w:t xml:space="preserve">1</w:t>
            </w:r>
          </w:p>
        </w:tc>
        <w:tc>
          <w:tcPr/>
          <w:p>
            <w:pPr>
              <w:pStyle w:val="Compact"/>
              <w:jc w:val="right"/>
            </w:pPr>
            <w:r>
              <w:t xml:space="preserve">90.00</w:t>
            </w:r>
          </w:p>
        </w:tc>
        <w:tc>
          <w:tcPr/>
          <w:p>
            <w:pPr>
              <w:pStyle w:val="Compact"/>
              <w:jc w:val="right"/>
            </w:pPr>
            <w:r>
              <w:t xml:space="preserve">65.915</w:t>
            </w:r>
          </w:p>
        </w:tc>
        <w:tc>
          <w:tcPr/>
          <w:p>
            <w:pPr>
              <w:pStyle w:val="Compact"/>
              <w:jc w:val="right"/>
            </w:pPr>
            <w:r>
              <w:t xml:space="preserve">41.83</w:t>
            </w:r>
          </w:p>
        </w:tc>
        <w:tc>
          <w:tcPr/>
          <w:p>
            <w:pPr>
              <w:pStyle w:val="Compact"/>
              <w:jc w:val="right"/>
            </w:pPr>
            <w:r>
              <w:t xml:space="preserve">8.49e+13</w:t>
            </w:r>
          </w:p>
        </w:tc>
        <w:tc>
          <w:tcPr/>
          <w:p>
            <w:pPr>
              <w:pStyle w:val="Compact"/>
              <w:jc w:val="right"/>
            </w:pPr>
            <w:r>
              <w:t xml:space="preserve">0.167</w:t>
            </w:r>
          </w:p>
        </w:tc>
      </w:tr>
      <w:tr>
        <w:tc>
          <w:tcPr/>
          <w:p>
            <w:pPr>
              <w:pStyle w:val="Compact"/>
              <w:jc w:val="right"/>
            </w:pPr>
            <w:r>
              <w:t xml:space="preserve">2</w:t>
            </w:r>
          </w:p>
        </w:tc>
        <w:tc>
          <w:tcPr/>
          <w:p>
            <w:pPr>
              <w:pStyle w:val="Compact"/>
              <w:jc w:val="right"/>
            </w:pPr>
            <w:r>
              <w:t xml:space="preserve">41.83</w:t>
            </w:r>
          </w:p>
        </w:tc>
        <w:tc>
          <w:tcPr/>
          <w:p>
            <w:pPr>
              <w:pStyle w:val="Compact"/>
              <w:jc w:val="right"/>
            </w:pPr>
            <w:r>
              <w:t xml:space="preserve">30.655</w:t>
            </w:r>
          </w:p>
        </w:tc>
        <w:tc>
          <w:tcPr/>
          <w:p>
            <w:pPr>
              <w:pStyle w:val="Compact"/>
              <w:jc w:val="right"/>
            </w:pPr>
            <w:r>
              <w:t xml:space="preserve">19.48</w:t>
            </w:r>
          </w:p>
        </w:tc>
        <w:tc>
          <w:tcPr/>
          <w:p>
            <w:pPr>
              <w:pStyle w:val="Compact"/>
              <w:jc w:val="right"/>
            </w:pPr>
            <w:r>
              <w:t xml:space="preserve">8.50e+13</w:t>
            </w:r>
          </w:p>
        </w:tc>
        <w:tc>
          <w:tcPr/>
          <w:p>
            <w:pPr>
              <w:pStyle w:val="Compact"/>
              <w:jc w:val="right"/>
            </w:pPr>
            <w:r>
              <w:t xml:space="preserve">0.167</w:t>
            </w:r>
          </w:p>
        </w:tc>
      </w:tr>
      <w:tr>
        <w:tc>
          <w:tcPr/>
          <w:p>
            <w:pPr>
              <w:pStyle w:val="Compact"/>
              <w:jc w:val="right"/>
            </w:pPr>
            <w:r>
              <w:t xml:space="preserve">3</w:t>
            </w:r>
          </w:p>
        </w:tc>
        <w:tc>
          <w:tcPr/>
          <w:p>
            <w:pPr>
              <w:pStyle w:val="Compact"/>
              <w:jc w:val="right"/>
            </w:pPr>
            <w:r>
              <w:t xml:space="preserve">19.48</w:t>
            </w:r>
          </w:p>
        </w:tc>
        <w:tc>
          <w:tcPr/>
          <w:p>
            <w:pPr>
              <w:pStyle w:val="Compact"/>
              <w:jc w:val="right"/>
            </w:pPr>
            <w:r>
              <w:t xml:space="preserve">9.740</w:t>
            </w:r>
          </w:p>
        </w:tc>
        <w:tc>
          <w:tcPr/>
          <w:p>
            <w:pPr>
              <w:pStyle w:val="Compact"/>
              <w:jc w:val="right"/>
            </w:pPr>
            <w:r>
              <w:t xml:space="preserve">0.00</w:t>
            </w:r>
          </w:p>
        </w:tc>
        <w:tc>
          <w:tcPr/>
          <w:p>
            <w:pPr>
              <w:pStyle w:val="Compact"/>
              <w:jc w:val="right"/>
            </w:pPr>
            <w:r>
              <w:t xml:space="preserve">8.50e+13</w:t>
            </w:r>
          </w:p>
        </w:tc>
        <w:tc>
          <w:tcPr/>
          <w:p>
            <w:pPr>
              <w:pStyle w:val="Compact"/>
              <w:jc w:val="right"/>
            </w:pPr>
            <w:r>
              <w:t xml:space="preserve">0.167</w:t>
            </w:r>
          </w:p>
        </w:tc>
      </w:tr>
      <w:tr>
        <w:tc>
          <w:tcPr/>
          <w:p>
            <w:pPr>
              <w:pStyle w:val="Compact"/>
              <w:jc w:val="right"/>
            </w:pPr>
            <w:r>
              <w:t xml:space="preserve">4</w:t>
            </w:r>
          </w:p>
        </w:tc>
        <w:tc>
          <w:tcPr/>
          <w:p>
            <w:pPr>
              <w:pStyle w:val="Compact"/>
              <w:jc w:val="right"/>
            </w:pPr>
            <w:r>
              <w:t xml:space="preserve">0.00</w:t>
            </w:r>
          </w:p>
        </w:tc>
        <w:tc>
          <w:tcPr/>
          <w:p>
            <w:pPr>
              <w:pStyle w:val="Compact"/>
              <w:jc w:val="right"/>
            </w:pPr>
            <w:r>
              <w:t xml:space="preserve">-9.740</w:t>
            </w:r>
          </w:p>
        </w:tc>
        <w:tc>
          <w:tcPr/>
          <w:p>
            <w:pPr>
              <w:pStyle w:val="Compact"/>
              <w:jc w:val="right"/>
            </w:pPr>
            <w:r>
              <w:t xml:space="preserve">-19.48</w:t>
            </w:r>
          </w:p>
        </w:tc>
        <w:tc>
          <w:tcPr/>
          <w:p>
            <w:pPr>
              <w:pStyle w:val="Compact"/>
              <w:jc w:val="right"/>
            </w:pPr>
            <w:r>
              <w:t xml:space="preserve">8.50e+13</w:t>
            </w:r>
          </w:p>
        </w:tc>
        <w:tc>
          <w:tcPr/>
          <w:p>
            <w:pPr>
              <w:pStyle w:val="Compact"/>
              <w:jc w:val="right"/>
            </w:pPr>
            <w:r>
              <w:t xml:space="preserve">0.167</w:t>
            </w:r>
          </w:p>
        </w:tc>
      </w:tr>
      <w:tr>
        <w:tc>
          <w:tcPr/>
          <w:p>
            <w:pPr>
              <w:pStyle w:val="Compact"/>
              <w:jc w:val="right"/>
            </w:pPr>
            <w:r>
              <w:t xml:space="preserve">5</w:t>
            </w:r>
          </w:p>
        </w:tc>
        <w:tc>
          <w:tcPr/>
          <w:p>
            <w:pPr>
              <w:pStyle w:val="Compact"/>
              <w:jc w:val="right"/>
            </w:pPr>
            <w:r>
              <w:t xml:space="preserve">-19.48</w:t>
            </w:r>
          </w:p>
        </w:tc>
        <w:tc>
          <w:tcPr/>
          <w:p>
            <w:pPr>
              <w:pStyle w:val="Compact"/>
              <w:jc w:val="right"/>
            </w:pPr>
            <w:r>
              <w:t xml:space="preserve">-30.655</w:t>
            </w:r>
          </w:p>
        </w:tc>
        <w:tc>
          <w:tcPr/>
          <w:p>
            <w:pPr>
              <w:pStyle w:val="Compact"/>
              <w:jc w:val="right"/>
            </w:pPr>
            <w:r>
              <w:t xml:space="preserve">-41.83</w:t>
            </w:r>
          </w:p>
        </w:tc>
        <w:tc>
          <w:tcPr/>
          <w:p>
            <w:pPr>
              <w:pStyle w:val="Compact"/>
              <w:jc w:val="right"/>
            </w:pPr>
            <w:r>
              <w:t xml:space="preserve">8.50e+13</w:t>
            </w:r>
          </w:p>
        </w:tc>
        <w:tc>
          <w:tcPr/>
          <w:p>
            <w:pPr>
              <w:pStyle w:val="Compact"/>
              <w:jc w:val="right"/>
            </w:pPr>
            <w:r>
              <w:t xml:space="preserve">0.167</w:t>
            </w:r>
          </w:p>
        </w:tc>
      </w:tr>
      <w:tr>
        <w:tc>
          <w:tcPr/>
          <w:p>
            <w:pPr>
              <w:pStyle w:val="Compact"/>
              <w:jc w:val="right"/>
            </w:pPr>
            <w:r>
              <w:t xml:space="preserve">6</w:t>
            </w:r>
          </w:p>
        </w:tc>
        <w:tc>
          <w:tcPr/>
          <w:p>
            <w:pPr>
              <w:pStyle w:val="Compact"/>
              <w:jc w:val="right"/>
            </w:pPr>
            <w:r>
              <w:t xml:space="preserve">-41.83</w:t>
            </w:r>
          </w:p>
        </w:tc>
        <w:tc>
          <w:tcPr/>
          <w:p>
            <w:pPr>
              <w:pStyle w:val="Compact"/>
              <w:jc w:val="right"/>
            </w:pPr>
            <w:r>
              <w:t xml:space="preserve">-65.915</w:t>
            </w:r>
          </w:p>
        </w:tc>
        <w:tc>
          <w:tcPr/>
          <w:p>
            <w:pPr>
              <w:pStyle w:val="Compact"/>
              <w:jc w:val="right"/>
            </w:pPr>
            <w:r>
              <w:t xml:space="preserve">-90.00</w:t>
            </w:r>
          </w:p>
        </w:tc>
        <w:tc>
          <w:tcPr/>
          <w:p>
            <w:pPr>
              <w:pStyle w:val="Compact"/>
              <w:jc w:val="right"/>
            </w:pPr>
            <w:r>
              <w:t xml:space="preserve">8.49e+13</w:t>
            </w:r>
          </w:p>
        </w:tc>
        <w:tc>
          <w:tcPr/>
          <w:p>
            <w:pPr>
              <w:pStyle w:val="Compact"/>
              <w:jc w:val="right"/>
            </w:pPr>
            <w:r>
              <w:t xml:space="preserve">0.167</w:t>
            </w:r>
          </w:p>
        </w:tc>
      </w:tr>
    </w:tbl>
    <w:bookmarkEnd w:id="25"/>
    <w:bookmarkEnd w:id="26"/>
    <w:bookmarkStart w:id="27" w:name="Xd2c6f1bf69ff881a89365e8036d47e453160f97"/>
    <w:p>
      <w:pPr>
        <w:pStyle w:val="Heading2"/>
      </w:pPr>
      <w:r>
        <w:t xml:space="preserve">Quantifying the latitudinal biodiversity gradient</w:t>
      </w:r>
    </w:p>
    <w:p>
      <w:pPr>
        <w:pStyle w:val="FirstParagraph"/>
      </w:pPr>
      <w:r>
        <w:t xml:space="preserve">Subsequent data manipulation and visualisation were carried out using the Tidyverse suite of R packages</w:t>
      </w:r>
      <w:r>
        <w:t xml:space="preserve"> </w:t>
      </w:r>
      <w:r>
        <w:t xml:space="preserve">[39]</w:t>
      </w:r>
      <w:r>
        <w:t xml:space="preserve">. The raw number of genera were counted per stage per palaeolatitudinal bin for each Global Plate Model. We also estimated the latitudinal biodiversity gradient using coverage-based interpolation and extrapolation of Hill numbers with a coverage level of 0.4, in the R package iNEXT ver. 3.0.0</w:t>
      </w:r>
      <w:r>
        <w:t xml:space="preserve"> </w:t>
      </w:r>
      <w:r>
        <w:t xml:space="preserve">[40]</w:t>
      </w:r>
      <w:r>
        <w:t xml:space="preserve">. The rarefaction portion of this approach is equivalent to shareholder quorum subsampling</w:t>
      </w:r>
      <w:r>
        <w:t xml:space="preserve"> </w:t>
      </w:r>
      <w:r>
        <w:t xml:space="preserve">[41,42]</w:t>
      </w:r>
      <w:r>
        <w:t xml:space="preserve">. Extrapolated values with an estimated sample size more than double that of the observed sample size were discarded</w:t>
      </w:r>
      <w:r>
        <w:t xml:space="preserve"> </w:t>
      </w:r>
      <w:r>
        <w:t xml:space="preserve">[40]</w:t>
      </w:r>
      <w:r>
        <w:t xml:space="preserve">.</w:t>
      </w:r>
    </w:p>
    <w:p>
      <w:pPr>
        <w:pStyle w:val="BodyText"/>
      </w:pPr>
      <w:r>
        <w:t xml:space="preserve">We compared estimated latitudinal biodiversity gradients using two approaches. Firstly, for each stage, we computed the palaeolatitudinal bin with maximum estimated richness for each Global Plate Model. Subsequently, we calculated the number of stages in which estimated gradients agree, as well as the number of bins with a tropical, temperate, and polar peak in diversity. Secondly, we calculated the mean pairwise rank order difference between Global Plate Models. That is, for each stage and Global Plate Model, the latitudinal bins were put in rank order and the differences between models were computed and the mean calculated. The former of these metrics tests whether models agree on where peak diversity is concentrated in each Global Plate Model. The latter, tests for differences in the estimated ordered distribution of diversity (e.g. tropical-to-temperate-to-polar, temperate-tropical-polar, etc.).</w:t>
      </w:r>
    </w:p>
    <w:p>
      <w:pPr>
        <w:pStyle w:val="BodyText"/>
      </w:pPr>
      <w:r>
        <w:t xml:space="preserve">As the estimated latitudinal distribution of biodiversity is closely tied to the distribution of fossil collections (REFs), we also computed the number of collections in each latitudinal bin and stratigraphic stage for each Global Plate Model. Furthermore, we calculated the mean geodesic distance between the reconstructed palaeocoordinates for each fossil collection to test whether reconstructions of the latitudinal biodiversity gradient are more sensitive to plate rotation model choice with increasing age of rotation.</w:t>
      </w:r>
    </w:p>
    <w:bookmarkEnd w:id="27"/>
    <w:bookmarkEnd w:id="28"/>
    <w:bookmarkStart w:id="37" w:name="results-600-words"/>
    <w:p>
      <w:pPr>
        <w:pStyle w:val="Heading1"/>
      </w:pPr>
      <w:r>
        <w:t xml:space="preserve">Results (600 words)</w:t>
      </w:r>
    </w:p>
    <w:tbl>
      <w:tblPr>
        <w:tblStyle w:val="Table"/>
        <w:tblW w:type="pct" w:w="5000"/>
        <w:tblLook w:firstRow="0" w:lastRow="0" w:firstColumn="0" w:lastColumn="0" w:noHBand="0" w:noVBand="0" w:val="0000"/>
        <w:jc w:val="start"/>
      </w:tblPr>
      <w:tblGrid>
        <w:gridCol w:w="7920"/>
      </w:tblGrid>
      <w:tr>
        <w:tc>
          <w:tcPr/>
          <w:bookmarkStart w:id="32" w:name="fig-heatmap"/>
          <w:p>
            <w:pPr>
              <w:jc w:val="center"/>
            </w:pPr>
            <w:r>
              <w:drawing>
                <wp:inline>
                  <wp:extent cx="5943600" cy="6172200"/>
                  <wp:effectExtent b="0" l="0" r="0" t="0"/>
                  <wp:docPr descr="" title="" id="30" name="Picture"/>
                  <a:graphic>
                    <a:graphicData uri="http://schemas.openxmlformats.org/drawingml/2006/picture">
                      <pic:pic>
                        <pic:nvPicPr>
                          <pic:cNvPr descr="../figures/heatmap_SQS.png" id="31" name="Picture"/>
                          <pic:cNvPicPr>
                            <a:picLocks noChangeArrowheads="1" noChangeAspect="1"/>
                          </pic:cNvPicPr>
                        </pic:nvPicPr>
                        <pic:blipFill>
                          <a:blip r:embed="rId29"/>
                          <a:stretch>
                            <a:fillRect/>
                          </a:stretch>
                        </pic:blipFill>
                        <pic:spPr bwMode="auto">
                          <a:xfrm>
                            <a:off x="0" y="0"/>
                            <a:ext cx="5943600" cy="6172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Graphic</w:t>
            </w:r>
          </w:p>
          <w:bookmarkEnd w:id="32"/>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36" w:name="fig-metrics"/>
          <w:p>
            <w:pPr>
              <w:jc w:val="center"/>
            </w:pPr>
            <w:r>
              <w:drawing>
                <wp:inline>
                  <wp:extent cx="5943600" cy="5486399"/>
                  <wp:effectExtent b="0" l="0" r="0" t="0"/>
                  <wp:docPr descr="" title="" id="34" name="Picture"/>
                  <a:graphic>
                    <a:graphicData uri="http://schemas.openxmlformats.org/drawingml/2006/picture">
                      <pic:pic>
                        <pic:nvPicPr>
                          <pic:cNvPr descr="../figures/metrics_1_2_sqs.png" id="35" name="Picture"/>
                          <pic:cNvPicPr>
                            <a:picLocks noChangeArrowheads="1" noChangeAspect="1"/>
                          </pic:cNvPicPr>
                        </pic:nvPicPr>
                        <pic:blipFill>
                          <a:blip r:embed="rId33"/>
                          <a:stretch>
                            <a:fillRect/>
                          </a:stretch>
                        </pic:blipFill>
                        <pic:spPr bwMode="auto">
                          <a:xfrm>
                            <a:off x="0" y="0"/>
                            <a:ext cx="5943600" cy="54863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Graphic</w:t>
            </w:r>
          </w:p>
          <w:bookmarkEnd w:id="36"/>
        </w:tc>
      </w:tr>
    </w:tbl>
    <w:p>
      <w:pPr>
        <w:numPr>
          <w:ilvl w:val="0"/>
          <w:numId w:val="1001"/>
        </w:numPr>
        <w:pStyle w:val="Compact"/>
      </w:pPr>
      <w:r>
        <w:t xml:space="preserve">Summary of reconstructions (could all points be reconstructed for each model?)</w:t>
      </w:r>
    </w:p>
    <w:p>
      <w:pPr>
        <w:numPr>
          <w:ilvl w:val="0"/>
          <w:numId w:val="1001"/>
        </w:numPr>
        <w:pStyle w:val="Compact"/>
      </w:pPr>
      <w:r>
        <w:t xml:space="preserve">Summary of results from metrics, do different gradients emerge?</w:t>
      </w:r>
    </w:p>
    <w:bookmarkEnd w:id="37"/>
    <w:bookmarkStart w:id="38" w:name="discussion-700-words"/>
    <w:p>
      <w:pPr>
        <w:pStyle w:val="Heading1"/>
      </w:pPr>
      <w:r>
        <w:t xml:space="preserve">Discussion (700 words)</w:t>
      </w:r>
    </w:p>
    <w:p>
      <w:pPr>
        <w:numPr>
          <w:ilvl w:val="0"/>
          <w:numId w:val="1002"/>
        </w:numPr>
        <w:pStyle w:val="Compact"/>
      </w:pPr>
      <w:r>
        <w:t xml:space="preserve">Recap on importance of GPMs for deep time macroecology?</w:t>
      </w:r>
    </w:p>
    <w:p>
      <w:pPr>
        <w:numPr>
          <w:ilvl w:val="0"/>
          <w:numId w:val="1002"/>
        </w:numPr>
        <w:pStyle w:val="Compact"/>
      </w:pPr>
      <w:r>
        <w:t xml:space="preserve">What have we shown?</w:t>
      </w:r>
    </w:p>
    <w:p>
      <w:pPr>
        <w:numPr>
          <w:ilvl w:val="0"/>
          <w:numId w:val="1002"/>
        </w:numPr>
        <w:pStyle w:val="Compact"/>
      </w:pPr>
      <w:r>
        <w:t xml:space="preserve">Are some times or areas more problematic than others?</w:t>
      </w:r>
    </w:p>
    <w:p>
      <w:pPr>
        <w:numPr>
          <w:ilvl w:val="0"/>
          <w:numId w:val="1002"/>
        </w:numPr>
        <w:pStyle w:val="Compact"/>
      </w:pPr>
      <w:r>
        <w:t xml:space="preserve">Importance for other fields beyond palaeobiology?</w:t>
      </w:r>
    </w:p>
    <w:p>
      <w:pPr>
        <w:numPr>
          <w:ilvl w:val="0"/>
          <w:numId w:val="1002"/>
        </w:numPr>
        <w:pStyle w:val="Compact"/>
      </w:pPr>
      <w:r>
        <w:t xml:space="preserve">Consider importance of GPM choice in future work… or not?</w:t>
      </w:r>
    </w:p>
    <w:bookmarkEnd w:id="38"/>
    <w:bookmarkStart w:id="40" w:name="data-accessibility"/>
    <w:p>
      <w:pPr>
        <w:pStyle w:val="Heading1"/>
      </w:pPr>
      <w:r>
        <w:t xml:space="preserve">Data accessibility</w:t>
      </w:r>
    </w:p>
    <w:p>
      <w:pPr>
        <w:pStyle w:val="FirstParagraph"/>
      </w:pPr>
      <w:r>
        <w:t xml:space="preserve">The data generated in this study have been included within the paper, its supplementary material, and dedicated GitHub repository</w:t>
      </w:r>
      <w:r>
        <w:t xml:space="preserve"> </w:t>
      </w:r>
      <w:hyperlink r:id="rId39"/>
      <w:r>
        <w:t xml:space="preserve">.</w:t>
      </w:r>
    </w:p>
    <w:bookmarkEnd w:id="40"/>
    <w:bookmarkStart w:id="41" w:name="authors-contributions"/>
    <w:p>
      <w:pPr>
        <w:pStyle w:val="Heading1"/>
      </w:pPr>
      <w:r>
        <w:t xml:space="preserve">Authors’ contributions</w:t>
      </w:r>
    </w:p>
    <w:p>
      <w:pPr>
        <w:pStyle w:val="FirstParagraph"/>
      </w:pPr>
      <w:r>
        <w:t xml:space="preserve">L.A.J conceived the project. All authors contributed to the development of the project. All authors contributed to the writing of the manuscript. All authors contributed to the data analyses of the manuscript. W.G. produced the figures.</w:t>
      </w:r>
    </w:p>
    <w:bookmarkEnd w:id="41"/>
    <w:bookmarkStart w:id="42" w:name="funding"/>
    <w:p>
      <w:pPr>
        <w:pStyle w:val="Heading1"/>
      </w:pPr>
      <w:r>
        <w:t xml:space="preserve">Funding</w:t>
      </w:r>
    </w:p>
    <w:p>
      <w:pPr>
        <w:pStyle w:val="FirstParagraph"/>
      </w:pPr>
      <w:r>
        <w:t xml:space="preserve">The contributions of L.A.J. were supported by a Juan de la Cierva-formación 2021 fellowship (FJC2021-046695-I / MCIN / AEI / 10.13039 / 501100011033) from the European Union</w:t>
      </w:r>
      <w:r>
        <w:t xml:space="preserve"> </w:t>
      </w:r>
      <w:r>
        <w:t xml:space="preserve">“</w:t>
      </w:r>
      <w:r>
        <w:t xml:space="preserve">NextGenerationEU</w:t>
      </w:r>
      <w:r>
        <w:t xml:space="preserve">”</w:t>
      </w:r>
      <w:r>
        <w:t xml:space="preserve">/PRTR. L.A.J. also received funding from the European Research Council under the European Union’s Horizon 2020 research and innovation program (grant agreement 947921; MAPAS project). The contributions of B.J.A. were supported by…. The contributions of W.G. were supported by the Lerner-Gray Postdoctoral Research Fellowship from the Richard Gilder Graduate School at the American Museum of Natural History. The contributions of L.B. were supported by….</w:t>
      </w:r>
    </w:p>
    <w:bookmarkEnd w:id="42"/>
    <w:bookmarkStart w:id="43" w:name="acknowledgements"/>
    <w:p>
      <w:pPr>
        <w:pStyle w:val="Heading1"/>
      </w:pPr>
      <w:r>
        <w:t xml:space="preserve">Acknowledgements</w:t>
      </w:r>
    </w:p>
    <w:bookmarkEnd w:id="43"/>
    <w:bookmarkStart w:id="118" w:name="references"/>
    <w:p>
      <w:pPr>
        <w:pStyle w:val="Heading1"/>
      </w:pPr>
      <w:r>
        <w:t xml:space="preserve">References</w:t>
      </w:r>
    </w:p>
    <w:bookmarkStart w:id="117" w:name="refs"/>
    <w:bookmarkStart w:id="44" w:name="ref-humboldt1807"/>
    <w:p>
      <w:pPr>
        <w:pStyle w:val="Bibliography"/>
      </w:pPr>
      <w:r>
        <w:t xml:space="preserve">1.</w:t>
      </w:r>
      <w:r>
        <w:t xml:space="preserve"> </w:t>
      </w:r>
      <w:r>
        <w:t xml:space="preserve">	</w:t>
      </w:r>
      <w:r>
        <w:t xml:space="preserve">Humboldt A von, Bonpland A. 1807</w:t>
      </w:r>
      <w:r>
        <w:t xml:space="preserve"> </w:t>
      </w:r>
      <w:r>
        <w:rPr>
          <w:iCs/>
          <w:i/>
        </w:rPr>
        <w:t xml:space="preserve">Essai sur la géographie des plantes; accompagne d</w:t>
      </w:r>
      <w:r>
        <w:rPr>
          <w:iCs/>
          <w:i/>
        </w:rPr>
        <w:t xml:space="preserve">’</w:t>
      </w:r>
      <w:r>
        <w:rPr>
          <w:iCs/>
          <w:i/>
        </w:rPr>
        <w:t xml:space="preserve">un tableau physique des régions équinoxiales</w:t>
      </w:r>
      <w:r>
        <w:t xml:space="preserve">. Paris: Fr. Schoell.</w:t>
      </w:r>
      <w:r>
        <w:t xml:space="preserve"> </w:t>
      </w:r>
    </w:p>
    <w:bookmarkEnd w:id="44"/>
    <w:bookmarkStart w:id="45" w:name="ref-willig2003"/>
    <w:p>
      <w:pPr>
        <w:pStyle w:val="Bibliography"/>
      </w:pPr>
      <w:r>
        <w:t xml:space="preserve">2.</w:t>
      </w:r>
      <w:r>
        <w:t xml:space="preserve"> </w:t>
      </w:r>
      <w:r>
        <w:t xml:space="preserve">	</w:t>
      </w:r>
      <w:r>
        <w:t xml:space="preserve">Willig MR, Kaufman DM, Stevens RD. 2003 Latitudinal gradients of biodiversity: Pattern, process, scale, and synthesis.</w:t>
      </w:r>
      <w:r>
        <w:t xml:space="preserve"> </w:t>
      </w:r>
      <w:r>
        <w:rPr>
          <w:iCs/>
          <w:i/>
        </w:rPr>
        <w:t xml:space="preserve">Annual review of ecology, evolution, and systematics</w:t>
      </w:r>
      <w:r>
        <w:t xml:space="preserve"> </w:t>
      </w:r>
      <w:r>
        <w:rPr>
          <w:bCs/>
          <w:b/>
        </w:rPr>
        <w:t xml:space="preserve">34</w:t>
      </w:r>
      <w:r>
        <w:t xml:space="preserve">, 273309.</w:t>
      </w:r>
    </w:p>
    <w:bookmarkEnd w:id="45"/>
    <w:bookmarkStart w:id="46" w:name="ref-hillebrand2004"/>
    <w:p>
      <w:pPr>
        <w:pStyle w:val="Bibliography"/>
      </w:pPr>
      <w:r>
        <w:t xml:space="preserve">3.</w:t>
      </w:r>
      <w:r>
        <w:t xml:space="preserve"> </w:t>
      </w:r>
      <w:r>
        <w:t xml:space="preserve">	</w:t>
      </w:r>
      <w:r>
        <w:t xml:space="preserve">Hillebrand H. 2004 On the generality of the latitudinal diversity gradient.</w:t>
      </w:r>
      <w:r>
        <w:t xml:space="preserve"> </w:t>
      </w:r>
      <w:r>
        <w:rPr>
          <w:iCs/>
          <w:i/>
        </w:rPr>
        <w:t xml:space="preserve">The American Naturalist</w:t>
      </w:r>
      <w:r>
        <w:t xml:space="preserve"> </w:t>
      </w:r>
      <w:r>
        <w:rPr>
          <w:bCs/>
          <w:b/>
        </w:rPr>
        <w:t xml:space="preserve">163</w:t>
      </w:r>
      <w:r>
        <w:t xml:space="preserve">, 192211.</w:t>
      </w:r>
    </w:p>
    <w:bookmarkEnd w:id="46"/>
    <w:bookmarkStart w:id="48" w:name="ref-mannion2014"/>
    <w:p>
      <w:pPr>
        <w:pStyle w:val="Bibliography"/>
      </w:pPr>
      <w:r>
        <w:t xml:space="preserve">4.</w:t>
      </w:r>
      <w:r>
        <w:t xml:space="preserve"> </w:t>
      </w:r>
      <w:r>
        <w:t xml:space="preserve">	</w:t>
      </w:r>
      <w:r>
        <w:t xml:space="preserve">Mannion PD, Upchurch P, Benson RBJ, Goswami A. 2014 The latitudinal biodiversity gradient through deep time.</w:t>
      </w:r>
      <w:r>
        <w:t xml:space="preserve"> </w:t>
      </w:r>
      <w:r>
        <w:rPr>
          <w:iCs/>
          <w:i/>
        </w:rPr>
        <w:t xml:space="preserve">Trends in Ecology &amp; Evolution</w:t>
      </w:r>
      <w:r>
        <w:t xml:space="preserve"> </w:t>
      </w:r>
      <w:r>
        <w:rPr>
          <w:bCs/>
          <w:b/>
        </w:rPr>
        <w:t xml:space="preserve">29</w:t>
      </w:r>
      <w:r>
        <w:t xml:space="preserve">, 42–50. (doi:</w:t>
      </w:r>
      <w:hyperlink r:id="rId47">
        <w:r>
          <w:rPr>
            <w:rStyle w:val="Hyperlink"/>
          </w:rPr>
          <w:t xml:space="preserve">10.1016/j.tree.2013.09.012</w:t>
        </w:r>
      </w:hyperlink>
      <w:r>
        <w:t xml:space="preserve">)</w:t>
      </w:r>
    </w:p>
    <w:bookmarkEnd w:id="48"/>
    <w:bookmarkStart w:id="50" w:name="ref-roy2000"/>
    <w:p>
      <w:pPr>
        <w:pStyle w:val="Bibliography"/>
      </w:pPr>
      <w:r>
        <w:t xml:space="preserve">5.</w:t>
      </w:r>
      <w:r>
        <w:t xml:space="preserve"> </w:t>
      </w:r>
      <w:r>
        <w:t xml:space="preserve">	</w:t>
      </w:r>
      <w:r>
        <w:t xml:space="preserve">Roy K, Jablonski D, Valentine JW. 2000</w:t>
      </w:r>
      <w:r>
        <w:t xml:space="preserve"> </w:t>
      </w:r>
      <w:hyperlink r:id="rId49">
        <w:r>
          <w:rPr>
            <w:rStyle w:val="Hyperlink"/>
          </w:rPr>
          <w:t xml:space="preserve">Dissecting latitudinal diversity gradients: Functional groups and clades of marine bivalves.</w:t>
        </w:r>
      </w:hyperlink>
      <w:r>
        <w:t xml:space="preserve"> </w:t>
      </w:r>
      <w:r>
        <w:rPr>
          <w:iCs/>
          <w:i/>
        </w:rPr>
        <w:t xml:space="preserve">Proceedings of the Royal Society B: Biological Sciences</w:t>
      </w:r>
      <w:r>
        <w:t xml:space="preserve"> </w:t>
      </w:r>
      <w:r>
        <w:rPr>
          <w:bCs/>
          <w:b/>
        </w:rPr>
        <w:t xml:space="preserve">267</w:t>
      </w:r>
      <w:r>
        <w:t xml:space="preserve">, 293–299.</w:t>
      </w:r>
    </w:p>
    <w:bookmarkEnd w:id="50"/>
    <w:bookmarkStart w:id="52" w:name="ref-valentine2015"/>
    <w:p>
      <w:pPr>
        <w:pStyle w:val="Bibliography"/>
      </w:pPr>
      <w:r>
        <w:t xml:space="preserve">6.</w:t>
      </w:r>
      <w:r>
        <w:t xml:space="preserve"> </w:t>
      </w:r>
      <w:r>
        <w:t xml:space="preserve">	</w:t>
      </w:r>
      <w:r>
        <w:t xml:space="preserve">Valentine JW, Jablonski D. 2015 A twofold role for global energy gradients in marine biodiversity trends.</w:t>
      </w:r>
      <w:r>
        <w:t xml:space="preserve"> </w:t>
      </w:r>
      <w:r>
        <w:rPr>
          <w:iCs/>
          <w:i/>
        </w:rPr>
        <w:t xml:space="preserve">Journal of Biogeography</w:t>
      </w:r>
      <w:r>
        <w:t xml:space="preserve"> </w:t>
      </w:r>
      <w:r>
        <w:rPr>
          <w:bCs/>
          <w:b/>
        </w:rPr>
        <w:t xml:space="preserve">42</w:t>
      </w:r>
      <w:r>
        <w:t xml:space="preserve">, 997–1005. (doi:</w:t>
      </w:r>
      <w:hyperlink r:id="rId51">
        <w:r>
          <w:rPr>
            <w:rStyle w:val="Hyperlink"/>
          </w:rPr>
          <w:t xml:space="preserve">10.1111/jbi.12515</w:t>
        </w:r>
      </w:hyperlink>
      <w:r>
        <w:t xml:space="preserve">)</w:t>
      </w:r>
    </w:p>
    <w:bookmarkEnd w:id="52"/>
    <w:bookmarkStart w:id="54" w:name="ref-tittensor2010"/>
    <w:p>
      <w:pPr>
        <w:pStyle w:val="Bibliography"/>
      </w:pPr>
      <w:r>
        <w:t xml:space="preserve">7.</w:t>
      </w:r>
      <w:r>
        <w:t xml:space="preserve"> </w:t>
      </w:r>
      <w:r>
        <w:t xml:space="preserve">	</w:t>
      </w:r>
      <w:r>
        <w:t xml:space="preserve">Tittensor DP, Mora C, Jetz W, Lotze HK, Ricard D, Vanden Berghe E, Worm B. 2010 Global patterns and predictors of marine biodiversity across taxa.</w:t>
      </w:r>
      <w:r>
        <w:t xml:space="preserve"> </w:t>
      </w:r>
      <w:r>
        <w:rPr>
          <w:iCs/>
          <w:i/>
        </w:rPr>
        <w:t xml:space="preserve">Nature</w:t>
      </w:r>
      <w:r>
        <w:t xml:space="preserve"> </w:t>
      </w:r>
      <w:r>
        <w:rPr>
          <w:bCs/>
          <w:b/>
        </w:rPr>
        <w:t xml:space="preserve">466</w:t>
      </w:r>
      <w:r>
        <w:t xml:space="preserve">, 1098–1101. (doi:</w:t>
      </w:r>
      <w:hyperlink r:id="rId53">
        <w:r>
          <w:rPr>
            <w:rStyle w:val="Hyperlink"/>
          </w:rPr>
          <w:t xml:space="preserve">10.1038/nature09329</w:t>
        </w:r>
      </w:hyperlink>
      <w:r>
        <w:t xml:space="preserve">)</w:t>
      </w:r>
    </w:p>
    <w:bookmarkEnd w:id="54"/>
    <w:bookmarkStart w:id="56" w:name="ref-chaudhary2016"/>
    <w:p>
      <w:pPr>
        <w:pStyle w:val="Bibliography"/>
      </w:pPr>
      <w:r>
        <w:t xml:space="preserve">8.</w:t>
      </w:r>
      <w:r>
        <w:t xml:space="preserve"> </w:t>
      </w:r>
      <w:r>
        <w:t xml:space="preserve">	</w:t>
      </w:r>
      <w:r>
        <w:t xml:space="preserve">Chaudhary C, Saeedi H, Costello MJ. 2016 Bimodality of latitudinal gradients in marine species richness.</w:t>
      </w:r>
      <w:r>
        <w:t xml:space="preserve"> </w:t>
      </w:r>
      <w:r>
        <w:rPr>
          <w:iCs/>
          <w:i/>
        </w:rPr>
        <w:t xml:space="preserve">Trends in Ecology and Evolution</w:t>
      </w:r>
      <w:r>
        <w:t xml:space="preserve"> </w:t>
      </w:r>
      <w:r>
        <w:rPr>
          <w:bCs/>
          <w:b/>
        </w:rPr>
        <w:t xml:space="preserve">31</w:t>
      </w:r>
      <w:r>
        <w:t xml:space="preserve">, 670–676. (doi:</w:t>
      </w:r>
      <w:hyperlink r:id="rId55">
        <w:r>
          <w:rPr>
            <w:rStyle w:val="Hyperlink"/>
          </w:rPr>
          <w:t xml:space="preserve">10.1016/j.tree.2016.06.001</w:t>
        </w:r>
      </w:hyperlink>
      <w:r>
        <w:t xml:space="preserve">)</w:t>
      </w:r>
    </w:p>
    <w:bookmarkEnd w:id="56"/>
    <w:bookmarkStart w:id="58" w:name="ref-chaudhary2021"/>
    <w:p>
      <w:pPr>
        <w:pStyle w:val="Bibliography"/>
      </w:pPr>
      <w:r>
        <w:t xml:space="preserve">9.</w:t>
      </w:r>
      <w:r>
        <w:t xml:space="preserve"> </w:t>
      </w:r>
      <w:r>
        <w:t xml:space="preserve">	</w:t>
      </w:r>
      <w:r>
        <w:t xml:space="preserve">Chaudhary C, Richardson AJ, Schoeman DS, Costello MJ. 2021 Global warming is causing a more pronounced dip in marine species richness around the equator.</w:t>
      </w:r>
      <w:r>
        <w:t xml:space="preserve"> </w:t>
      </w:r>
      <w:r>
        <w:rPr>
          <w:iCs/>
          <w:i/>
        </w:rPr>
        <w:t xml:space="preserve">Proceedings of the National Academy of Sciences USA</w:t>
      </w:r>
      <w:r>
        <w:t xml:space="preserve"> </w:t>
      </w:r>
      <w:r>
        <w:rPr>
          <w:bCs/>
          <w:b/>
        </w:rPr>
        <w:t xml:space="preserve">118</w:t>
      </w:r>
      <w:r>
        <w:t xml:space="preserve">, e2015096118. (doi:</w:t>
      </w:r>
      <w:hyperlink r:id="rId57">
        <w:r>
          <w:rPr>
            <w:rStyle w:val="Hyperlink"/>
          </w:rPr>
          <w:t xml:space="preserve">10.1073/pnas.2015094118</w:t>
        </w:r>
      </w:hyperlink>
      <w:r>
        <w:t xml:space="preserve">)</w:t>
      </w:r>
    </w:p>
    <w:bookmarkEnd w:id="58"/>
    <w:bookmarkStart w:id="60" w:name="ref-rose2011"/>
    <w:p>
      <w:pPr>
        <w:pStyle w:val="Bibliography"/>
      </w:pPr>
      <w:r>
        <w:t xml:space="preserve">10.</w:t>
      </w:r>
      <w:r>
        <w:t xml:space="preserve"> </w:t>
      </w:r>
      <w:r>
        <w:t xml:space="preserve">	</w:t>
      </w:r>
      <w:r>
        <w:t xml:space="preserve">Rose PJ, Fox DL, Marcot J, Badgley C. 2011 Flat latitudinal gradient in Paleocene mammal richness suggests decoupling of climate and biodiversity.</w:t>
      </w:r>
      <w:r>
        <w:t xml:space="preserve"> </w:t>
      </w:r>
      <w:r>
        <w:rPr>
          <w:iCs/>
          <w:i/>
        </w:rPr>
        <w:t xml:space="preserve">Geology</w:t>
      </w:r>
      <w:r>
        <w:t xml:space="preserve"> </w:t>
      </w:r>
      <w:r>
        <w:rPr>
          <w:bCs/>
          <w:b/>
        </w:rPr>
        <w:t xml:space="preserve">39</w:t>
      </w:r>
      <w:r>
        <w:t xml:space="preserve">, 163–166. (doi:</w:t>
      </w:r>
      <w:hyperlink r:id="rId59">
        <w:r>
          <w:rPr>
            <w:rStyle w:val="Hyperlink"/>
          </w:rPr>
          <w:t xml:space="preserve">10.1130/G31099.1</w:t>
        </w:r>
      </w:hyperlink>
      <w:r>
        <w:t xml:space="preserve">)</w:t>
      </w:r>
    </w:p>
    <w:bookmarkEnd w:id="60"/>
    <w:bookmarkStart w:id="61" w:name="ref-mannion2012"/>
    <w:p>
      <w:pPr>
        <w:pStyle w:val="Bibliography"/>
      </w:pPr>
      <w:r>
        <w:t xml:space="preserve">11.</w:t>
      </w:r>
      <w:r>
        <w:t xml:space="preserve"> </w:t>
      </w:r>
      <w:r>
        <w:t xml:space="preserve">	</w:t>
      </w:r>
      <w:r>
        <w:t xml:space="preserve">Mannion PD, Benson RB, Upchurch P, Butler RJ, Carrano MT, Barrett PM. 2012 A temperate palaeodiversity peak in mesozoic dinosaurs and evidence for late cretaceous geographical partitioning.</w:t>
      </w:r>
      <w:r>
        <w:t xml:space="preserve"> </w:t>
      </w:r>
      <w:r>
        <w:rPr>
          <w:iCs/>
          <w:i/>
        </w:rPr>
        <w:t xml:space="preserve">Global Ecology and Biogeography</w:t>
      </w:r>
      <w:r>
        <w:t xml:space="preserve"> </w:t>
      </w:r>
      <w:r>
        <w:rPr>
          <w:bCs/>
          <w:b/>
        </w:rPr>
        <w:t xml:space="preserve">21</w:t>
      </w:r>
      <w:r>
        <w:t xml:space="preserve">, 898908.</w:t>
      </w:r>
    </w:p>
    <w:bookmarkEnd w:id="61"/>
    <w:bookmarkStart w:id="63" w:name="ref-yasuhara2012"/>
    <w:p>
      <w:pPr>
        <w:pStyle w:val="Bibliography"/>
      </w:pPr>
      <w:r>
        <w:t xml:space="preserve">12.</w:t>
      </w:r>
      <w:r>
        <w:t xml:space="preserve"> </w:t>
      </w:r>
      <w:r>
        <w:t xml:space="preserve">	</w:t>
      </w:r>
      <w:r>
        <w:t xml:space="preserve">Yasuhara M, Hunt G, Dowsett HJ, Robinson MM, Stoll DK. 2012 Latitudinal species diversity gradient of marine zooplankton for the last three million years.</w:t>
      </w:r>
      <w:r>
        <w:t xml:space="preserve"> </w:t>
      </w:r>
      <w:r>
        <w:rPr>
          <w:iCs/>
          <w:i/>
        </w:rPr>
        <w:t xml:space="preserve">Ecology Letters</w:t>
      </w:r>
      <w:r>
        <w:t xml:space="preserve"> </w:t>
      </w:r>
      <w:r>
        <w:rPr>
          <w:bCs/>
          <w:b/>
        </w:rPr>
        <w:t xml:space="preserve">15</w:t>
      </w:r>
      <w:r>
        <w:t xml:space="preserve">, 1174–1179. (doi:</w:t>
      </w:r>
      <w:hyperlink r:id="rId62">
        <w:r>
          <w:rPr>
            <w:rStyle w:val="Hyperlink"/>
          </w:rPr>
          <w:t xml:space="preserve">10.1111/j.1461-0248.2012.01828.x</w:t>
        </w:r>
      </w:hyperlink>
      <w:r>
        <w:t xml:space="preserve">)</w:t>
      </w:r>
    </w:p>
    <w:bookmarkEnd w:id="63"/>
    <w:bookmarkStart w:id="64" w:name="ref-powell2015"/>
    <w:p>
      <w:pPr>
        <w:pStyle w:val="Bibliography"/>
      </w:pPr>
      <w:r>
        <w:t xml:space="preserve">13.</w:t>
      </w:r>
      <w:r>
        <w:t xml:space="preserve"> </w:t>
      </w:r>
      <w:r>
        <w:t xml:space="preserve">	</w:t>
      </w:r>
      <w:r>
        <w:t xml:space="preserve">Powell MG, Moore BR, Smith TJ. 2015 Origination, extinction, invasion, and extirpation components of the brachiopod latitudinal biodiversity gradient through the phanerozoic eon.</w:t>
      </w:r>
      <w:r>
        <w:t xml:space="preserve"> </w:t>
      </w:r>
      <w:r>
        <w:rPr>
          <w:iCs/>
          <w:i/>
        </w:rPr>
        <w:t xml:space="preserve">Paleobiology</w:t>
      </w:r>
      <w:r>
        <w:t xml:space="preserve"> </w:t>
      </w:r>
      <w:r>
        <w:rPr>
          <w:bCs/>
          <w:b/>
        </w:rPr>
        <w:t xml:space="preserve">41</w:t>
      </w:r>
      <w:r>
        <w:t xml:space="preserve">, 330341.</w:t>
      </w:r>
    </w:p>
    <w:bookmarkEnd w:id="64"/>
    <w:bookmarkStart w:id="65" w:name="ref-nicholson2016"/>
    <w:p>
      <w:pPr>
        <w:pStyle w:val="Bibliography"/>
      </w:pPr>
      <w:r>
        <w:t xml:space="preserve">14.</w:t>
      </w:r>
      <w:r>
        <w:t xml:space="preserve"> </w:t>
      </w:r>
      <w:r>
        <w:t xml:space="preserve">	</w:t>
      </w:r>
      <w:r>
        <w:t xml:space="preserve">Nicholson DB, Holroyd PA, Valdes P, Barrett PM. 2016 Latitudinal diversity gradients in mesozoic non-marine turtles.</w:t>
      </w:r>
      <w:r>
        <w:t xml:space="preserve"> </w:t>
      </w:r>
      <w:r>
        <w:rPr>
          <w:iCs/>
          <w:i/>
        </w:rPr>
        <w:t xml:space="preserve">Royal Society open science</w:t>
      </w:r>
      <w:r>
        <w:t xml:space="preserve"> </w:t>
      </w:r>
      <w:r>
        <w:rPr>
          <w:bCs/>
          <w:b/>
        </w:rPr>
        <w:t xml:space="preserve">3</w:t>
      </w:r>
      <w:r>
        <w:t xml:space="preserve">, 1–8.</w:t>
      </w:r>
    </w:p>
    <w:bookmarkEnd w:id="65"/>
    <w:bookmarkStart w:id="67" w:name="ref-allen2020"/>
    <w:p>
      <w:pPr>
        <w:pStyle w:val="Bibliography"/>
      </w:pPr>
      <w:r>
        <w:t xml:space="preserve">15.</w:t>
      </w:r>
      <w:r>
        <w:t xml:space="preserve"> </w:t>
      </w:r>
      <w:r>
        <w:t xml:space="preserve">	</w:t>
      </w:r>
      <w:r>
        <w:t xml:space="preserve">Allen BJ, Wignall PB, Hill DJ, Saupe EE, Dunhill AM. 2020 The latitudinal diversity gradient of tetrapods across the permo-triassic mass extinction and recovery interval.</w:t>
      </w:r>
      <w:r>
        <w:t xml:space="preserve"> </w:t>
      </w:r>
      <w:r>
        <w:rPr>
          <w:iCs/>
          <w:i/>
        </w:rPr>
        <w:t xml:space="preserve">Proceedings of the Royal Society B: Biological Sciences</w:t>
      </w:r>
      <w:r>
        <w:t xml:space="preserve"> </w:t>
      </w:r>
      <w:r>
        <w:rPr>
          <w:bCs/>
          <w:b/>
        </w:rPr>
        <w:t xml:space="preserve">287</w:t>
      </w:r>
      <w:r>
        <w:t xml:space="preserve">. (doi:</w:t>
      </w:r>
      <w:hyperlink r:id="rId66">
        <w:r>
          <w:rPr>
            <w:rStyle w:val="Hyperlink"/>
          </w:rPr>
          <w:t xml:space="preserve">10.1098/rspb.2020.1125</w:t>
        </w:r>
      </w:hyperlink>
      <w:r>
        <w:t xml:space="preserve">)</w:t>
      </w:r>
    </w:p>
    <w:bookmarkEnd w:id="67"/>
    <w:bookmarkStart w:id="69" w:name="ref-song2020"/>
    <w:p>
      <w:pPr>
        <w:pStyle w:val="Bibliography"/>
      </w:pPr>
      <w:r>
        <w:t xml:space="preserve">16.</w:t>
      </w:r>
      <w:r>
        <w:t xml:space="preserve"> </w:t>
      </w:r>
      <w:r>
        <w:t xml:space="preserve">	</w:t>
      </w:r>
      <w:r>
        <w:t xml:space="preserve">Song H, Huang S, Jia E, Dai X, Wignall PB, Dunhill AM. 2020 Flat latitudinal diversity gradient caused by the Permian</w:t>
      </w:r>
      <w:r>
        <w:t xml:space="preserve">Triassic mass extinction.</w:t>
      </w:r>
      <w:r>
        <w:t xml:space="preserve"> </w:t>
      </w:r>
      <w:r>
        <w:rPr>
          <w:iCs/>
          <w:i/>
        </w:rPr>
        <w:t xml:space="preserve">Proceedings of the National Academy of Sciences</w:t>
      </w:r>
      <w:r>
        <w:t xml:space="preserve">, 1–6. (doi:</w:t>
      </w:r>
      <w:hyperlink r:id="rId68">
        <w:r>
          <w:rPr>
            <w:rStyle w:val="Hyperlink"/>
          </w:rPr>
          <w:t xml:space="preserve">10.1073/pnas.1918953117</w:t>
        </w:r>
      </w:hyperlink>
      <w:r>
        <w:t xml:space="preserve">)</w:t>
      </w:r>
    </w:p>
    <w:bookmarkEnd w:id="69"/>
    <w:bookmarkStart w:id="71" w:name="ref-boag2021"/>
    <w:p>
      <w:pPr>
        <w:pStyle w:val="Bibliography"/>
      </w:pPr>
      <w:r>
        <w:t xml:space="preserve">17.</w:t>
      </w:r>
      <w:r>
        <w:t xml:space="preserve"> </w:t>
      </w:r>
      <w:r>
        <w:t xml:space="preserve">	</w:t>
      </w:r>
      <w:r>
        <w:t xml:space="preserve">Boag TH, Gearty W, Stockey RG. 2021 Metabolic tradeoffs control biodiversity gradients through geological time.</w:t>
      </w:r>
      <w:r>
        <w:t xml:space="preserve"> </w:t>
      </w:r>
      <w:r>
        <w:rPr>
          <w:iCs/>
          <w:i/>
        </w:rPr>
        <w:t xml:space="preserve">Current Biology</w:t>
      </w:r>
      <w:r>
        <w:t xml:space="preserve"> </w:t>
      </w:r>
      <w:r>
        <w:rPr>
          <w:bCs/>
          <w:b/>
        </w:rPr>
        <w:t xml:space="preserve">31</w:t>
      </w:r>
      <w:r>
        <w:t xml:space="preserve">, 2906–2913.e3. (doi:</w:t>
      </w:r>
      <w:hyperlink r:id="rId70">
        <w:r>
          <w:rPr>
            <w:rStyle w:val="Hyperlink"/>
          </w:rPr>
          <w:t xml:space="preserve">10.1016/j.cub.2021.04.021</w:t>
        </w:r>
      </w:hyperlink>
      <w:r>
        <w:t xml:space="preserve">)</w:t>
      </w:r>
    </w:p>
    <w:bookmarkEnd w:id="71"/>
    <w:bookmarkStart w:id="73" w:name="ref-zhang2022"/>
    <w:p>
      <w:pPr>
        <w:pStyle w:val="Bibliography"/>
      </w:pPr>
      <w:r>
        <w:t xml:space="preserve">18.</w:t>
      </w:r>
      <w:r>
        <w:t xml:space="preserve"> </w:t>
      </w:r>
      <w:r>
        <w:t xml:space="preserve">	</w:t>
      </w:r>
      <w:r>
        <w:t xml:space="preserve">Zhang S-H, Shen S-Z, Erwin DH. 2022 Latitudinal diversity gradient dynamics during carboniferous to triassic icehouse and greenhouse climates.</w:t>
      </w:r>
      <w:r>
        <w:t xml:space="preserve"> </w:t>
      </w:r>
      <w:r>
        <w:rPr>
          <w:iCs/>
          <w:i/>
        </w:rPr>
        <w:t xml:space="preserve">Geology</w:t>
      </w:r>
      <w:r>
        <w:t xml:space="preserve"> </w:t>
      </w:r>
      <w:r>
        <w:rPr>
          <w:bCs/>
          <w:b/>
        </w:rPr>
        <w:t xml:space="preserve">50</w:t>
      </w:r>
      <w:r>
        <w:t xml:space="preserve">, 1166–1171. (doi:</w:t>
      </w:r>
      <w:hyperlink r:id="rId72">
        <w:r>
          <w:rPr>
            <w:rStyle w:val="Hyperlink"/>
          </w:rPr>
          <w:t xml:space="preserve">10.1130/G50110.1</w:t>
        </w:r>
      </w:hyperlink>
      <w:r>
        <w:t xml:space="preserve">)</w:t>
      </w:r>
    </w:p>
    <w:bookmarkEnd w:id="73"/>
    <w:bookmarkStart w:id="75" w:name="ref-fenton2023"/>
    <w:p>
      <w:pPr>
        <w:pStyle w:val="Bibliography"/>
      </w:pPr>
      <w:r>
        <w:t xml:space="preserve">19.</w:t>
      </w:r>
      <w:r>
        <w:t xml:space="preserve"> </w:t>
      </w:r>
      <w:r>
        <w:t xml:space="preserve">	</w:t>
      </w:r>
      <w:r>
        <w:t xml:space="preserve">Fenton IS, Aze T, Farnsworth A, Valdes P, Saupe EE. 2023 Origination of the modern-style diversity gradient 15 million years ago.</w:t>
      </w:r>
      <w:r>
        <w:t xml:space="preserve"> </w:t>
      </w:r>
      <w:r>
        <w:rPr>
          <w:iCs/>
          <w:i/>
        </w:rPr>
        <w:t xml:space="preserve">Nature</w:t>
      </w:r>
      <w:r>
        <w:t xml:space="preserve"> </w:t>
      </w:r>
      <w:r>
        <w:rPr>
          <w:bCs/>
          <w:b/>
        </w:rPr>
        <w:t xml:space="preserve">614</w:t>
      </w:r>
      <w:r>
        <w:t xml:space="preserve">, 708–712. (doi:</w:t>
      </w:r>
      <w:hyperlink r:id="rId74">
        <w:r>
          <w:rPr>
            <w:rStyle w:val="Hyperlink"/>
          </w:rPr>
          <w:t xml:space="preserve">10.1038/s41586-023-05712-6</w:t>
        </w:r>
      </w:hyperlink>
      <w:r>
        <w:t xml:space="preserve">)</w:t>
      </w:r>
    </w:p>
    <w:bookmarkEnd w:id="75"/>
    <w:bookmarkStart w:id="77" w:name="ref-naimark2011"/>
    <w:p>
      <w:pPr>
        <w:pStyle w:val="Bibliography"/>
      </w:pPr>
      <w:r>
        <w:t xml:space="preserve">20.</w:t>
      </w:r>
      <w:r>
        <w:t xml:space="preserve"> </w:t>
      </w:r>
      <w:r>
        <w:t xml:space="preserve">	</w:t>
      </w:r>
      <w:r>
        <w:t xml:space="preserve">Naimark EB, Markov AV. 2011 Northward shift in faunal diversity: a general pattern of evolution of Phanerozoic marine biota.</w:t>
      </w:r>
      <w:r>
        <w:t xml:space="preserve"> </w:t>
      </w:r>
      <w:r>
        <w:rPr>
          <w:iCs/>
          <w:i/>
        </w:rPr>
        <w:t xml:space="preserve">Biology Bulletin Reviews</w:t>
      </w:r>
      <w:r>
        <w:t xml:space="preserve"> </w:t>
      </w:r>
      <w:r>
        <w:rPr>
          <w:bCs/>
          <w:b/>
        </w:rPr>
        <w:t xml:space="preserve">1</w:t>
      </w:r>
      <w:r>
        <w:t xml:space="preserve">, 71–81. (doi:</w:t>
      </w:r>
      <w:hyperlink r:id="rId76">
        <w:r>
          <w:rPr>
            <w:rStyle w:val="Hyperlink"/>
          </w:rPr>
          <w:t xml:space="preserve">10.1134/S2079086411010075</w:t>
        </w:r>
      </w:hyperlink>
      <w:r>
        <w:t xml:space="preserve">)</w:t>
      </w:r>
    </w:p>
    <w:bookmarkEnd w:id="77"/>
    <w:bookmarkStart w:id="79" w:name="ref-fenton2016"/>
    <w:p>
      <w:pPr>
        <w:pStyle w:val="Bibliography"/>
      </w:pPr>
      <w:r>
        <w:t xml:space="preserve">21.</w:t>
      </w:r>
      <w:r>
        <w:t xml:space="preserve"> </w:t>
      </w:r>
      <w:r>
        <w:t xml:space="preserve">	</w:t>
      </w:r>
      <w:r>
        <w:t xml:space="preserve">Fenton IS, Pearson PN, Dunkley Jones T, Farnsworth A, Lunt DJ, Markwick P, Purvis A. 2016 The impact of Cenozoic cooling on assemblage diversity in planktonic foraminifera.</w:t>
      </w:r>
      <w:r>
        <w:t xml:space="preserve"> </w:t>
      </w:r>
      <w:r>
        <w:rPr>
          <w:iCs/>
          <w:i/>
        </w:rPr>
        <w:t xml:space="preserve">Philosophical Transactions of the Royal Society B: Biological Sciences</w:t>
      </w:r>
      <w:r>
        <w:t xml:space="preserve"> </w:t>
      </w:r>
      <w:r>
        <w:rPr>
          <w:bCs/>
          <w:b/>
        </w:rPr>
        <w:t xml:space="preserve">371</w:t>
      </w:r>
      <w:r>
        <w:t xml:space="preserve">, 1–12. (doi:</w:t>
      </w:r>
      <w:hyperlink r:id="rId78">
        <w:r>
          <w:rPr>
            <w:rStyle w:val="Hyperlink"/>
          </w:rPr>
          <w:t xml:space="preserve">10.1098/rstb.2015.0224</w:t>
        </w:r>
      </w:hyperlink>
      <w:r>
        <w:t xml:space="preserve">)</w:t>
      </w:r>
    </w:p>
    <w:bookmarkEnd w:id="79"/>
    <w:bookmarkStart w:id="80" w:name="ref-marcot2016"/>
    <w:p>
      <w:pPr>
        <w:pStyle w:val="Bibliography"/>
      </w:pPr>
      <w:r>
        <w:t xml:space="preserve">22.</w:t>
      </w:r>
      <w:r>
        <w:t xml:space="preserve"> </w:t>
      </w:r>
      <w:r>
        <w:t xml:space="preserve">	</w:t>
      </w:r>
      <w:r>
        <w:t xml:space="preserve">Marcot JD, Fox DL, Niebuhr SR. 2016 Late cenozoic onset of the latitudinal diversity gradient of north american mammals.</w:t>
      </w:r>
      <w:r>
        <w:t xml:space="preserve"> </w:t>
      </w:r>
      <w:r>
        <w:rPr>
          <w:iCs/>
          <w:i/>
        </w:rPr>
        <w:t xml:space="preserve">Proceedings of the National Academy of Sciences</w:t>
      </w:r>
      <w:r>
        <w:t xml:space="preserve"> </w:t>
      </w:r>
      <w:r>
        <w:rPr>
          <w:bCs/>
          <w:b/>
        </w:rPr>
        <w:t xml:space="preserve">113</w:t>
      </w:r>
      <w:r>
        <w:t xml:space="preserve">, 71897194.</w:t>
      </w:r>
    </w:p>
    <w:bookmarkEnd w:id="80"/>
    <w:bookmarkStart w:id="81" w:name="ref-kroger2018"/>
    <w:p>
      <w:pPr>
        <w:pStyle w:val="Bibliography"/>
      </w:pPr>
      <w:r>
        <w:t xml:space="preserve">23.</w:t>
      </w:r>
      <w:r>
        <w:t xml:space="preserve"> </w:t>
      </w:r>
      <w:r>
        <w:t xml:space="preserve">	</w:t>
      </w:r>
      <w:r>
        <w:t xml:space="preserve">Kröger B. 2018 Changes in the latitudinal diversity gradient during the great ordovician biodiversification event.</w:t>
      </w:r>
      <w:r>
        <w:t xml:space="preserve"> </w:t>
      </w:r>
      <w:r>
        <w:rPr>
          <w:iCs/>
          <w:i/>
        </w:rPr>
        <w:t xml:space="preserve">Geology</w:t>
      </w:r>
      <w:r>
        <w:t xml:space="preserve"> </w:t>
      </w:r>
      <w:r>
        <w:rPr>
          <w:bCs/>
          <w:b/>
        </w:rPr>
        <w:t xml:space="preserve">46</w:t>
      </w:r>
      <w:r>
        <w:t xml:space="preserve">, 127130.</w:t>
      </w:r>
    </w:p>
    <w:bookmarkEnd w:id="81"/>
    <w:bookmarkStart w:id="83" w:name="ref-kiessling2012"/>
    <w:p>
      <w:pPr>
        <w:pStyle w:val="Bibliography"/>
      </w:pPr>
      <w:r>
        <w:t xml:space="preserve">24.</w:t>
      </w:r>
      <w:r>
        <w:t xml:space="preserve"> </w:t>
      </w:r>
      <w:r>
        <w:t xml:space="preserve">	</w:t>
      </w:r>
      <w:r>
        <w:t xml:space="preserve">Kiessling W, Simpson C, Beck B, Mewis H, Pandolfi JM. 2012 Equatorial decline of reef corals during the last Pleistocene interglacial.</w:t>
      </w:r>
      <w:r>
        <w:t xml:space="preserve"> </w:t>
      </w:r>
      <w:r>
        <w:rPr>
          <w:iCs/>
          <w:i/>
        </w:rPr>
        <w:t xml:space="preserve">Proceedings of the National Academy of Sciences</w:t>
      </w:r>
      <w:r>
        <w:t xml:space="preserve"> </w:t>
      </w:r>
      <w:r>
        <w:rPr>
          <w:bCs/>
          <w:b/>
        </w:rPr>
        <w:t xml:space="preserve">109</w:t>
      </w:r>
      <w:r>
        <w:t xml:space="preserve">, 21378–21383. (doi:</w:t>
      </w:r>
      <w:hyperlink r:id="rId82">
        <w:r>
          <w:rPr>
            <w:rStyle w:val="Hyperlink"/>
          </w:rPr>
          <w:t xml:space="preserve">10.1073/pnas.1214037110</w:t>
        </w:r>
      </w:hyperlink>
      <w:r>
        <w:t xml:space="preserve">)</w:t>
      </w:r>
    </w:p>
    <w:bookmarkEnd w:id="83"/>
    <w:bookmarkStart w:id="85" w:name="ref-dunne2020"/>
    <w:p>
      <w:pPr>
        <w:pStyle w:val="Bibliography"/>
      </w:pPr>
      <w:r>
        <w:t xml:space="preserve">25.</w:t>
      </w:r>
      <w:r>
        <w:t xml:space="preserve"> </w:t>
      </w:r>
      <w:r>
        <w:t xml:space="preserve">	</w:t>
      </w:r>
      <w:r>
        <w:t xml:space="preserve">Dunne EM, Farnsworth A, Greene SE, Lunt DJ, Butler RJ. 2020 Climatic drivers of latitudinal variation in Late Triassic tetrapod diversity.</w:t>
      </w:r>
      <w:r>
        <w:t xml:space="preserve"> </w:t>
      </w:r>
      <w:r>
        <w:rPr>
          <w:iCs/>
          <w:i/>
        </w:rPr>
        <w:t xml:space="preserve">Palaeontology</w:t>
      </w:r>
      <w:r>
        <w:t xml:space="preserve"> </w:t>
      </w:r>
      <w:r>
        <w:rPr>
          <w:bCs/>
          <w:b/>
        </w:rPr>
        <w:t xml:space="preserve">64</w:t>
      </w:r>
      <w:r>
        <w:t xml:space="preserve">, 101–117. (doi:</w:t>
      </w:r>
      <w:hyperlink r:id="rId84">
        <w:r>
          <w:rPr>
            <w:rStyle w:val="Hyperlink"/>
          </w:rPr>
          <w:t xml:space="preserve">https://doi.org/10.1111/pala.12514</w:t>
        </w:r>
      </w:hyperlink>
      <w:r>
        <w:t xml:space="preserve">)</w:t>
      </w:r>
    </w:p>
    <w:bookmarkEnd w:id="85"/>
    <w:bookmarkStart w:id="87" w:name="ref-fraser2017"/>
    <w:p>
      <w:pPr>
        <w:pStyle w:val="Bibliography"/>
      </w:pPr>
      <w:r>
        <w:t xml:space="preserve">26.</w:t>
      </w:r>
      <w:r>
        <w:t xml:space="preserve"> </w:t>
      </w:r>
      <w:r>
        <w:t xml:space="preserve">	</w:t>
      </w:r>
      <w:r>
        <w:t xml:space="preserve">Fraser D. 2017 Can latitudinal richness gradients be measured in the terrestrial fossil record?</w:t>
      </w:r>
      <w:r>
        <w:t xml:space="preserve"> </w:t>
      </w:r>
      <w:r>
        <w:rPr>
          <w:iCs/>
          <w:i/>
        </w:rPr>
        <w:t xml:space="preserve">Paleobiology</w:t>
      </w:r>
      <w:r>
        <w:t xml:space="preserve"> </w:t>
      </w:r>
      <w:r>
        <w:rPr>
          <w:bCs/>
          <w:b/>
        </w:rPr>
        <w:t xml:space="preserve">43</w:t>
      </w:r>
      <w:r>
        <w:t xml:space="preserve">, 479–494. (doi:</w:t>
      </w:r>
      <w:hyperlink r:id="rId86">
        <w:r>
          <w:rPr>
            <w:rStyle w:val="Hyperlink"/>
          </w:rPr>
          <w:t xml:space="preserve">10.1017/pab.2017.2</w:t>
        </w:r>
      </w:hyperlink>
      <w:r>
        <w:t xml:space="preserve">)</w:t>
      </w:r>
    </w:p>
    <w:bookmarkEnd w:id="87"/>
    <w:bookmarkStart w:id="89" w:name="ref-jones2021"/>
    <w:p>
      <w:pPr>
        <w:pStyle w:val="Bibliography"/>
      </w:pPr>
      <w:r>
        <w:t xml:space="preserve">27.</w:t>
      </w:r>
      <w:r>
        <w:t xml:space="preserve"> </w:t>
      </w:r>
      <w:r>
        <w:t xml:space="preserve">	</w:t>
      </w:r>
      <w:r>
        <w:t xml:space="preserve">Jones LA, Dean CD, Mannion PD, Farnsworth A, Allison PA. 2021 Spatial sampling heterogeneity limits the detectability of deep time latitudinal biodiversity gradients.</w:t>
      </w:r>
      <w:r>
        <w:t xml:space="preserve"> </w:t>
      </w:r>
      <w:r>
        <w:rPr>
          <w:iCs/>
          <w:i/>
        </w:rPr>
        <w:t xml:space="preserve">Proceedings of the Royal Society B: Biological Sciences</w:t>
      </w:r>
      <w:r>
        <w:t xml:space="preserve"> </w:t>
      </w:r>
      <w:r>
        <w:rPr>
          <w:bCs/>
          <w:b/>
        </w:rPr>
        <w:t xml:space="preserve">288</w:t>
      </w:r>
      <w:r>
        <w:t xml:space="preserve">, 20202762. (doi:</w:t>
      </w:r>
      <w:hyperlink r:id="rId88">
        <w:r>
          <w:rPr>
            <w:rStyle w:val="Hyperlink"/>
          </w:rPr>
          <w:t xml:space="preserve">10.1098/rspb.2020.2762</w:t>
        </w:r>
      </w:hyperlink>
      <w:r>
        <w:t xml:space="preserve">)</w:t>
      </w:r>
    </w:p>
    <w:bookmarkEnd w:id="89"/>
    <w:bookmarkStart w:id="90" w:name="ref-brocklehurst2017"/>
    <w:p>
      <w:pPr>
        <w:pStyle w:val="Bibliography"/>
      </w:pPr>
      <w:r>
        <w:t xml:space="preserve">28.</w:t>
      </w:r>
      <w:r>
        <w:t xml:space="preserve"> </w:t>
      </w:r>
      <w:r>
        <w:t xml:space="preserve">	</w:t>
      </w:r>
      <w:r>
        <w:t xml:space="preserve">Brocklehurst N, Day MO, Rubidge BS, Fröbisch J. 2017 Olson’s extinction and the latitudinal biodiversity gradient of tetrapods in the permian.</w:t>
      </w:r>
      <w:r>
        <w:t xml:space="preserve"> </w:t>
      </w:r>
      <w:r>
        <w:rPr>
          <w:iCs/>
          <w:i/>
        </w:rPr>
        <w:t xml:space="preserve">Proceedings of the Royal Society B: Biological Sciences</w:t>
      </w:r>
      <w:r>
        <w:t xml:space="preserve"> </w:t>
      </w:r>
      <w:r>
        <w:rPr>
          <w:bCs/>
          <w:b/>
        </w:rPr>
        <w:t xml:space="preserve">284</w:t>
      </w:r>
      <w:r>
        <w:t xml:space="preserve">, 18.</w:t>
      </w:r>
    </w:p>
    <w:bookmarkEnd w:id="90"/>
    <w:bookmarkStart w:id="92" w:name="ref-antell2020"/>
    <w:p>
      <w:pPr>
        <w:pStyle w:val="Bibliography"/>
      </w:pPr>
      <w:r>
        <w:t xml:space="preserve">29.</w:t>
      </w:r>
      <w:r>
        <w:t xml:space="preserve"> </w:t>
      </w:r>
      <w:r>
        <w:t xml:space="preserve">	</w:t>
      </w:r>
      <w:r>
        <w:t xml:space="preserve">Antell GS, Kiessling W, Aberhan M, Saupe EE. 2020 Marine Biodiversity and Geographic Distributions Are Independent on Large Scales.</w:t>
      </w:r>
      <w:r>
        <w:t xml:space="preserve"> </w:t>
      </w:r>
      <w:r>
        <w:rPr>
          <w:iCs/>
          <w:i/>
        </w:rPr>
        <w:t xml:space="preserve">Current Biology</w:t>
      </w:r>
      <w:r>
        <w:t xml:space="preserve"> </w:t>
      </w:r>
      <w:r>
        <w:rPr>
          <w:bCs/>
          <w:b/>
        </w:rPr>
        <w:t xml:space="preserve">30</w:t>
      </w:r>
      <w:r>
        <w:t xml:space="preserve">, 115–121.e5. (doi:</w:t>
      </w:r>
      <w:hyperlink r:id="rId91">
        <w:r>
          <w:rPr>
            <w:rStyle w:val="Hyperlink"/>
          </w:rPr>
          <w:t xml:space="preserve">10.1016/j.cub.2019.10.065</w:t>
        </w:r>
      </w:hyperlink>
      <w:r>
        <w:t xml:space="preserve">)</w:t>
      </w:r>
    </w:p>
    <w:bookmarkEnd w:id="92"/>
    <w:bookmarkStart w:id="94" w:name="ref-seton2012"/>
    <w:p>
      <w:pPr>
        <w:pStyle w:val="Bibliography"/>
      </w:pPr>
      <w:r>
        <w:t xml:space="preserve">30.</w:t>
      </w:r>
      <w:r>
        <w:t xml:space="preserve"> </w:t>
      </w:r>
      <w:r>
        <w:t xml:space="preserve">	</w:t>
      </w:r>
      <w:r>
        <w:t xml:space="preserve">Seton M</w:t>
      </w:r>
      <w:r>
        <w:t xml:space="preserve"> </w:t>
      </w:r>
      <w:r>
        <w:rPr>
          <w:iCs/>
          <w:i/>
        </w:rPr>
        <w:t xml:space="preserve">et al.</w:t>
      </w:r>
      <w:r>
        <w:t xml:space="preserve"> 2012 Global continental and ocean basin reconstructions since 200 Ma.</w:t>
      </w:r>
      <w:r>
        <w:t xml:space="preserve"> </w:t>
      </w:r>
      <w:r>
        <w:rPr>
          <w:iCs/>
          <w:i/>
        </w:rPr>
        <w:t xml:space="preserve">Earth-Science Reviews</w:t>
      </w:r>
      <w:r>
        <w:t xml:space="preserve"> </w:t>
      </w:r>
      <w:r>
        <w:rPr>
          <w:bCs/>
          <w:b/>
        </w:rPr>
        <w:t xml:space="preserve">113</w:t>
      </w:r>
      <w:r>
        <w:t xml:space="preserve">, 212–270. (doi:</w:t>
      </w:r>
      <w:hyperlink r:id="rId93">
        <w:r>
          <w:rPr>
            <w:rStyle w:val="Hyperlink"/>
          </w:rPr>
          <w:t xml:space="preserve">10.1016/j.earscirev.2012.03.002</w:t>
        </w:r>
      </w:hyperlink>
      <w:r>
        <w:t xml:space="preserve">)</w:t>
      </w:r>
    </w:p>
    <w:bookmarkEnd w:id="94"/>
    <w:bookmarkStart w:id="96" w:name="ref-wright2013"/>
    <w:p>
      <w:pPr>
        <w:pStyle w:val="Bibliography"/>
      </w:pPr>
      <w:r>
        <w:t xml:space="preserve">31.</w:t>
      </w:r>
      <w:r>
        <w:t xml:space="preserve"> </w:t>
      </w:r>
      <w:r>
        <w:t xml:space="preserve">	</w:t>
      </w:r>
      <w:r>
        <w:t xml:space="preserve">Wright N, Zahirovic S, Müller RD, Seton M. 2013 Towards community-driven paleogeographic reconstructions: integrating open-access paleogeographic and paleobiology data with plate tectonics.</w:t>
      </w:r>
      <w:r>
        <w:t xml:space="preserve"> </w:t>
      </w:r>
      <w:r>
        <w:rPr>
          <w:iCs/>
          <w:i/>
        </w:rPr>
        <w:t xml:space="preserve">Biogeosciences</w:t>
      </w:r>
      <w:r>
        <w:t xml:space="preserve"> </w:t>
      </w:r>
      <w:r>
        <w:rPr>
          <w:bCs/>
          <w:b/>
        </w:rPr>
        <w:t xml:space="preserve">10</w:t>
      </w:r>
      <w:r>
        <w:t xml:space="preserve">, 1529–1541. (doi:</w:t>
      </w:r>
      <w:hyperlink r:id="rId95">
        <w:r>
          <w:rPr>
            <w:rStyle w:val="Hyperlink"/>
          </w:rPr>
          <w:t xml:space="preserve">10.5194/bg-10-1529-2013</w:t>
        </w:r>
      </w:hyperlink>
      <w:r>
        <w:t xml:space="preserve">)</w:t>
      </w:r>
    </w:p>
    <w:bookmarkEnd w:id="96"/>
    <w:bookmarkStart w:id="98" w:name="ref-scotese2018"/>
    <w:p>
      <w:pPr>
        <w:pStyle w:val="Bibliography"/>
      </w:pPr>
      <w:r>
        <w:t xml:space="preserve">32.</w:t>
      </w:r>
      <w:r>
        <w:t xml:space="preserve"> </w:t>
      </w:r>
      <w:r>
        <w:t xml:space="preserve">	</w:t>
      </w:r>
      <w:r>
        <w:t xml:space="preserve">Scotese C, Wright NM. 2018</w:t>
      </w:r>
      <w:r>
        <w:t xml:space="preserve"> </w:t>
      </w:r>
      <w:hyperlink r:id="rId97">
        <w:r>
          <w:rPr>
            <w:rStyle w:val="Hyperlink"/>
          </w:rPr>
          <w:t xml:space="preserve">PALEOMAP paleodigital elevation models (PaleoDEMs) for the phanerozoic PALEOMAP project</w:t>
        </w:r>
      </w:hyperlink>
      <w:r>
        <w:t xml:space="preserve">.</w:t>
      </w:r>
      <w:r>
        <w:t xml:space="preserve"> </w:t>
      </w:r>
    </w:p>
    <w:bookmarkEnd w:id="98"/>
    <w:bookmarkStart w:id="99" w:name="ref-merdith2021"/>
    <w:p>
      <w:pPr>
        <w:pStyle w:val="Bibliography"/>
      </w:pPr>
      <w:r>
        <w:t xml:space="preserve">33.</w:t>
      </w:r>
      <w:r>
        <w:t xml:space="preserve"> </w:t>
      </w:r>
      <w:r>
        <w:t xml:space="preserve">	</w:t>
      </w:r>
      <w:r>
        <w:t xml:space="preserve">Merdith AS</w:t>
      </w:r>
      <w:r>
        <w:t xml:space="preserve"> </w:t>
      </w:r>
      <w:r>
        <w:rPr>
          <w:iCs/>
          <w:i/>
        </w:rPr>
        <w:t xml:space="preserve">et al.</w:t>
      </w:r>
      <w:r>
        <w:t xml:space="preserve"> 2021 Extending full-plate tectonic models into deep time: Linking the neoproterozoic and the phanerozoic.</w:t>
      </w:r>
      <w:r>
        <w:t xml:space="preserve"> </w:t>
      </w:r>
      <w:r>
        <w:rPr>
          <w:iCs/>
          <w:i/>
        </w:rPr>
        <w:t xml:space="preserve">Earth-Science Reviews</w:t>
      </w:r>
      <w:r>
        <w:t xml:space="preserve"> </w:t>
      </w:r>
      <w:r>
        <w:rPr>
          <w:bCs/>
          <w:b/>
        </w:rPr>
        <w:t xml:space="preserve">214</w:t>
      </w:r>
      <w:r>
        <w:t xml:space="preserve">, 103477.</w:t>
      </w:r>
    </w:p>
    <w:bookmarkEnd w:id="99"/>
    <w:bookmarkStart w:id="101" w:name="ref-seton2023"/>
    <w:p>
      <w:pPr>
        <w:pStyle w:val="Bibliography"/>
      </w:pPr>
      <w:r>
        <w:t xml:space="preserve">34.</w:t>
      </w:r>
      <w:r>
        <w:t xml:space="preserve"> </w:t>
      </w:r>
      <w:r>
        <w:t xml:space="preserve">	</w:t>
      </w:r>
      <w:r>
        <w:t xml:space="preserve">Seton M, Williams SE, Domeier M, Collins AS, Sigloch K. 2023 Deconstructing plate tectonic reconstructions.</w:t>
      </w:r>
      <w:r>
        <w:t xml:space="preserve"> </w:t>
      </w:r>
      <w:r>
        <w:rPr>
          <w:iCs/>
          <w:i/>
        </w:rPr>
        <w:t xml:space="preserve">Nature Reviews Earth &amp; Environment</w:t>
      </w:r>
      <w:r>
        <w:t xml:space="preserve">, 1–20. (doi:</w:t>
      </w:r>
      <w:hyperlink r:id="rId100">
        <w:r>
          <w:rPr>
            <w:rStyle w:val="Hyperlink"/>
          </w:rPr>
          <w:t xml:space="preserve">10.1038/s43017-022-00384-8</w:t>
        </w:r>
      </w:hyperlink>
      <w:r>
        <w:t xml:space="preserve">)</w:t>
      </w:r>
    </w:p>
    <w:bookmarkEnd w:id="101"/>
    <w:bookmarkStart w:id="103" w:name="ref-boddy2022"/>
    <w:p>
      <w:pPr>
        <w:pStyle w:val="Bibliography"/>
      </w:pPr>
      <w:r>
        <w:t xml:space="preserve">35.</w:t>
      </w:r>
      <w:r>
        <w:t xml:space="preserve"> </w:t>
      </w:r>
      <w:r>
        <w:t xml:space="preserve">	</w:t>
      </w:r>
      <w:r>
        <w:t xml:space="preserve">Boddy CE, Mitchell EG, Merdith A, Liu AG. 2022 Palaeolatitudinal distribution of the Ediacaran macrobiota.</w:t>
      </w:r>
      <w:r>
        <w:t xml:space="preserve"> </w:t>
      </w:r>
      <w:r>
        <w:rPr>
          <w:iCs/>
          <w:i/>
        </w:rPr>
        <w:t xml:space="preserve">Journal of the Geological Society</w:t>
      </w:r>
      <w:r>
        <w:t xml:space="preserve"> </w:t>
      </w:r>
      <w:r>
        <w:rPr>
          <w:bCs/>
          <w:b/>
        </w:rPr>
        <w:t xml:space="preserve">179</w:t>
      </w:r>
      <w:r>
        <w:t xml:space="preserve">, jgs2021–030. (doi:</w:t>
      </w:r>
      <w:hyperlink r:id="rId102">
        <w:r>
          <w:rPr>
            <w:rStyle w:val="Hyperlink"/>
          </w:rPr>
          <w:t xml:space="preserve">10.1144/jgs2021-030</w:t>
        </w:r>
      </w:hyperlink>
      <w:r>
        <w:t xml:space="preserve">)</w:t>
      </w:r>
    </w:p>
    <w:bookmarkEnd w:id="103"/>
    <w:bookmarkStart w:id="105" w:name="ref-jones2022"/>
    <w:p>
      <w:pPr>
        <w:pStyle w:val="Bibliography"/>
      </w:pPr>
      <w:r>
        <w:t xml:space="preserve">36.</w:t>
      </w:r>
      <w:r>
        <w:t xml:space="preserve"> </w:t>
      </w:r>
      <w:r>
        <w:t xml:space="preserve">	</w:t>
      </w:r>
      <w:r>
        <w:t xml:space="preserve">Jones LA, Mannion PD, Farnsworth A, Bragg F, Lunt DJ. 2022 Climatic and tectonic drivers shaped the tropical distribution of coral reefs.</w:t>
      </w:r>
      <w:r>
        <w:t xml:space="preserve"> </w:t>
      </w:r>
      <w:r>
        <w:rPr>
          <w:iCs/>
          <w:i/>
        </w:rPr>
        <w:t xml:space="preserve">Nature Communications</w:t>
      </w:r>
      <w:r>
        <w:t xml:space="preserve"> </w:t>
      </w:r>
      <w:r>
        <w:rPr>
          <w:bCs/>
          <w:b/>
        </w:rPr>
        <w:t xml:space="preserve">13</w:t>
      </w:r>
      <w:r>
        <w:t xml:space="preserve">, 3120. (doi:</w:t>
      </w:r>
      <w:hyperlink r:id="rId104">
        <w:r>
          <w:rPr>
            <w:rStyle w:val="Hyperlink"/>
          </w:rPr>
          <w:t xml:space="preserve">10.1038/s41467-022-30793-8</w:t>
        </w:r>
      </w:hyperlink>
      <w:r>
        <w:t xml:space="preserve">)</w:t>
      </w:r>
    </w:p>
    <w:bookmarkEnd w:id="105"/>
    <w:bookmarkStart w:id="106" w:name="ref-gradstein2020"/>
    <w:p>
      <w:pPr>
        <w:pStyle w:val="Bibliography"/>
      </w:pPr>
      <w:r>
        <w:t xml:space="preserve">37.</w:t>
      </w:r>
      <w:r>
        <w:t xml:space="preserve"> </w:t>
      </w:r>
      <w:r>
        <w:t xml:space="preserve">	</w:t>
      </w:r>
      <w:r>
        <w:t xml:space="preserve">Gradstein FM, Ogg JG, Schmitz MD, Ogg GM. 2020</w:t>
      </w:r>
      <w:r>
        <w:t xml:space="preserve"> </w:t>
      </w:r>
      <w:r>
        <w:rPr>
          <w:iCs/>
          <w:i/>
        </w:rPr>
        <w:t xml:space="preserve">Geologic time scale 2020</w:t>
      </w:r>
      <w:r>
        <w:t xml:space="preserve">. Elsevier.</w:t>
      </w:r>
      <w:r>
        <w:t xml:space="preserve"> </w:t>
      </w:r>
    </w:p>
    <w:bookmarkEnd w:id="106"/>
    <w:bookmarkStart w:id="108" w:name="ref-jones2023"/>
    <w:p>
      <w:pPr>
        <w:pStyle w:val="Bibliography"/>
      </w:pPr>
      <w:r>
        <w:t xml:space="preserve">38.</w:t>
      </w:r>
      <w:r>
        <w:t xml:space="preserve"> </w:t>
      </w:r>
      <w:r>
        <w:t xml:space="preserve">	</w:t>
      </w:r>
      <w:r>
        <w:t xml:space="preserve">Jones LA</w:t>
      </w:r>
      <w:r>
        <w:t xml:space="preserve"> </w:t>
      </w:r>
      <w:r>
        <w:rPr>
          <w:iCs/>
          <w:i/>
        </w:rPr>
        <w:t xml:space="preserve">et al.</w:t>
      </w:r>
      <w:r>
        <w:t xml:space="preserve"> 2023 palaeoverse: a community-driven R package to support palaeobiological analysis. (doi:</w:t>
      </w:r>
      <w:hyperlink r:id="rId107">
        <w:r>
          <w:rPr>
            <w:rStyle w:val="Hyperlink"/>
          </w:rPr>
          <w:t xml:space="preserve">10.31223/X5Z94Q</w:t>
        </w:r>
      </w:hyperlink>
      <w:r>
        <w:t xml:space="preserve">)</w:t>
      </w:r>
    </w:p>
    <w:bookmarkEnd w:id="108"/>
    <w:bookmarkStart w:id="110" w:name="ref-wickham2019"/>
    <w:p>
      <w:pPr>
        <w:pStyle w:val="Bibliography"/>
      </w:pPr>
      <w:r>
        <w:t xml:space="preserve">39.</w:t>
      </w:r>
      <w:r>
        <w:t xml:space="preserve"> </w:t>
      </w:r>
      <w:r>
        <w:t xml:space="preserve">	</w:t>
      </w:r>
      <w:r>
        <w:t xml:space="preserve">Wickham H</w:t>
      </w:r>
      <w:r>
        <w:t xml:space="preserve"> </w:t>
      </w:r>
      <w:r>
        <w:rPr>
          <w:iCs/>
          <w:i/>
        </w:rPr>
        <w:t xml:space="preserve">et al.</w:t>
      </w:r>
      <w:r>
        <w:t xml:space="preserve"> 2019 Welcome to the Tidyverse.</w:t>
      </w:r>
      <w:r>
        <w:t xml:space="preserve"> </w:t>
      </w:r>
      <w:r>
        <w:rPr>
          <w:iCs/>
          <w:i/>
        </w:rPr>
        <w:t xml:space="preserve">The Journal of Open Source Software</w:t>
      </w:r>
      <w:r>
        <w:t xml:space="preserve"> </w:t>
      </w:r>
      <w:r>
        <w:rPr>
          <w:bCs/>
          <w:b/>
        </w:rPr>
        <w:t xml:space="preserve">4</w:t>
      </w:r>
      <w:r>
        <w:t xml:space="preserve">, 1686. (doi:</w:t>
      </w:r>
      <w:hyperlink r:id="rId109">
        <w:r>
          <w:rPr>
            <w:rStyle w:val="Hyperlink"/>
          </w:rPr>
          <w:t xml:space="preserve">10.21105/joss.01686</w:t>
        </w:r>
      </w:hyperlink>
      <w:r>
        <w:t xml:space="preserve">)</w:t>
      </w:r>
    </w:p>
    <w:bookmarkEnd w:id="110"/>
    <w:bookmarkStart w:id="112" w:name="ref-hsieh2016"/>
    <w:p>
      <w:pPr>
        <w:pStyle w:val="Bibliography"/>
      </w:pPr>
      <w:r>
        <w:t xml:space="preserve">40.</w:t>
      </w:r>
      <w:r>
        <w:t xml:space="preserve"> </w:t>
      </w:r>
      <w:r>
        <w:t xml:space="preserve">	</w:t>
      </w:r>
      <w:r>
        <w:t xml:space="preserve">Hsieh TC, Ma KH, Chao A. 2016 iNEXT: an R package for rarefaction and extrapolation of species diversity (Hill numbers).</w:t>
      </w:r>
      <w:r>
        <w:t xml:space="preserve"> </w:t>
      </w:r>
      <w:r>
        <w:rPr>
          <w:iCs/>
          <w:i/>
        </w:rPr>
        <w:t xml:space="preserve">Methods in Ecology and Evolution</w:t>
      </w:r>
      <w:r>
        <w:t xml:space="preserve"> </w:t>
      </w:r>
      <w:r>
        <w:rPr>
          <w:bCs/>
          <w:b/>
        </w:rPr>
        <w:t xml:space="preserve">7</w:t>
      </w:r>
      <w:r>
        <w:t xml:space="preserve">, 1451–1456. (doi:</w:t>
      </w:r>
      <w:hyperlink r:id="rId111">
        <w:r>
          <w:rPr>
            <w:rStyle w:val="Hyperlink"/>
          </w:rPr>
          <w:t xml:space="preserve">10.1111/2041-210X.12613</w:t>
        </w:r>
      </w:hyperlink>
      <w:r>
        <w:t xml:space="preserve">)</w:t>
      </w:r>
    </w:p>
    <w:bookmarkEnd w:id="112"/>
    <w:bookmarkStart w:id="114" w:name="ref-alroy2010"/>
    <w:p>
      <w:pPr>
        <w:pStyle w:val="Bibliography"/>
      </w:pPr>
      <w:r>
        <w:t xml:space="preserve">41.</w:t>
      </w:r>
      <w:r>
        <w:t xml:space="preserve"> </w:t>
      </w:r>
      <w:r>
        <w:t xml:space="preserve">	</w:t>
      </w:r>
      <w:r>
        <w:t xml:space="preserve">Alroy J. 2010 Geographical, environmental and intrinsic biotic controls on Phanerozoic marine diversification.</w:t>
      </w:r>
      <w:r>
        <w:t xml:space="preserve"> </w:t>
      </w:r>
      <w:r>
        <w:rPr>
          <w:iCs/>
          <w:i/>
        </w:rPr>
        <w:t xml:space="preserve">Palaeontology</w:t>
      </w:r>
      <w:r>
        <w:t xml:space="preserve"> </w:t>
      </w:r>
      <w:r>
        <w:rPr>
          <w:bCs/>
          <w:b/>
        </w:rPr>
        <w:t xml:space="preserve">53</w:t>
      </w:r>
      <w:r>
        <w:t xml:space="preserve">, 1211–1235. (doi:</w:t>
      </w:r>
      <w:hyperlink r:id="rId113">
        <w:r>
          <w:rPr>
            <w:rStyle w:val="Hyperlink"/>
          </w:rPr>
          <w:t xml:space="preserve">10.1111/j.1475-4983.2010.01011.x</w:t>
        </w:r>
      </w:hyperlink>
      <w:r>
        <w:t xml:space="preserve">)</w:t>
      </w:r>
    </w:p>
    <w:bookmarkEnd w:id="114"/>
    <w:bookmarkStart w:id="116" w:name="ref-close2018"/>
    <w:p>
      <w:pPr>
        <w:pStyle w:val="Bibliography"/>
      </w:pPr>
      <w:r>
        <w:t xml:space="preserve">42.</w:t>
      </w:r>
      <w:r>
        <w:t xml:space="preserve"> </w:t>
      </w:r>
      <w:r>
        <w:t xml:space="preserve">	</w:t>
      </w:r>
      <w:r>
        <w:t xml:space="preserve">Close RA, Evers SW, Alroy J, Butler RJ. 2018 How should we estimate diversity in the fossil record? Testing richness estimators using sampling-standardised discovery curves.</w:t>
      </w:r>
      <w:r>
        <w:t xml:space="preserve"> </w:t>
      </w:r>
      <w:r>
        <w:rPr>
          <w:iCs/>
          <w:i/>
        </w:rPr>
        <w:t xml:space="preserve">Methods in Ecology and Evolution</w:t>
      </w:r>
      <w:r>
        <w:t xml:space="preserve"> </w:t>
      </w:r>
      <w:r>
        <w:rPr>
          <w:bCs/>
          <w:b/>
        </w:rPr>
        <w:t xml:space="preserve">9</w:t>
      </w:r>
      <w:r>
        <w:t xml:space="preserve">, 1386–1400. (doi:</w:t>
      </w:r>
      <w:hyperlink r:id="rId115">
        <w:r>
          <w:rPr>
            <w:rStyle w:val="Hyperlink"/>
          </w:rPr>
          <w:t xml:space="preserve">10.1111/2041-210X.12987</w:t>
        </w:r>
      </w:hyperlink>
      <w:r>
        <w:t xml:space="preserve">)</w:t>
      </w:r>
    </w:p>
    <w:bookmarkEnd w:id="116"/>
    <w:bookmarkEnd w:id="117"/>
    <w:bookmarkEnd w:id="118"/>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4A0052A6"/>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38662F56"/>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7896B8D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70CFEFE"/>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DC183DCC"/>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43"/>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hyperlink" Id="rId39" Target="XXX" TargetMode="External" /><Relationship Type="http://schemas.openxmlformats.org/officeDocument/2006/relationships/hyperlink" Id="rId91" Target="https://doi.org/10.1016/j.cub.2019.10.065" TargetMode="External" /><Relationship Type="http://schemas.openxmlformats.org/officeDocument/2006/relationships/hyperlink" Id="rId70" Target="https://doi.org/10.1016/j.cub.2021.04.021" TargetMode="External" /><Relationship Type="http://schemas.openxmlformats.org/officeDocument/2006/relationships/hyperlink" Id="rId93" Target="https://doi.org/10.1016/j.earscirev.2012.03.002" TargetMode="External" /><Relationship Type="http://schemas.openxmlformats.org/officeDocument/2006/relationships/hyperlink" Id="rId47" Target="https://doi.org/10.1016/j.tree.2013.09.012" TargetMode="External" /><Relationship Type="http://schemas.openxmlformats.org/officeDocument/2006/relationships/hyperlink" Id="rId55" Target="https://doi.org/10.1016/j.tree.2016.06.001" TargetMode="External" /><Relationship Type="http://schemas.openxmlformats.org/officeDocument/2006/relationships/hyperlink" Id="rId86" Target="https://doi.org/10.1017/pab.2017.2" TargetMode="External" /><Relationship Type="http://schemas.openxmlformats.org/officeDocument/2006/relationships/hyperlink" Id="rId53" Target="https://doi.org/10.1038/nature09329" TargetMode="External" /><Relationship Type="http://schemas.openxmlformats.org/officeDocument/2006/relationships/hyperlink" Id="rId104" Target="https://doi.org/10.1038/s41467-022-30793-8" TargetMode="External" /><Relationship Type="http://schemas.openxmlformats.org/officeDocument/2006/relationships/hyperlink" Id="rId74" Target="https://doi.org/10.1038/s41586-023-05712-6" TargetMode="External" /><Relationship Type="http://schemas.openxmlformats.org/officeDocument/2006/relationships/hyperlink" Id="rId100" Target="https://doi.org/10.1038/s43017-022-00384-8" TargetMode="External" /><Relationship Type="http://schemas.openxmlformats.org/officeDocument/2006/relationships/hyperlink" Id="rId82" Target="https://doi.org/10.1073/pnas.1214037110" TargetMode="External" /><Relationship Type="http://schemas.openxmlformats.org/officeDocument/2006/relationships/hyperlink" Id="rId68" Target="https://doi.org/10.1073/pnas.1918953117" TargetMode="External" /><Relationship Type="http://schemas.openxmlformats.org/officeDocument/2006/relationships/hyperlink" Id="rId57" Target="https://doi.org/10.1073/pnas.2015094118" TargetMode="External" /><Relationship Type="http://schemas.openxmlformats.org/officeDocument/2006/relationships/hyperlink" Id="rId66" Target="https://doi.org/10.1098/rspb.2020.1125" TargetMode="External" /><Relationship Type="http://schemas.openxmlformats.org/officeDocument/2006/relationships/hyperlink" Id="rId88" Target="https://doi.org/10.1098/rspb.2020.2762" TargetMode="External" /><Relationship Type="http://schemas.openxmlformats.org/officeDocument/2006/relationships/hyperlink" Id="rId78" Target="https://doi.org/10.1098/rstb.2015.0224" TargetMode="External" /><Relationship Type="http://schemas.openxmlformats.org/officeDocument/2006/relationships/hyperlink" Id="rId111" Target="https://doi.org/10.1111/2041-210X.12613" TargetMode="External" /><Relationship Type="http://schemas.openxmlformats.org/officeDocument/2006/relationships/hyperlink" Id="rId115" Target="https://doi.org/10.1111/2041-210X.12987" TargetMode="External" /><Relationship Type="http://schemas.openxmlformats.org/officeDocument/2006/relationships/hyperlink" Id="rId62" Target="https://doi.org/10.1111/j.1461-0248.2012.01828.x" TargetMode="External" /><Relationship Type="http://schemas.openxmlformats.org/officeDocument/2006/relationships/hyperlink" Id="rId113" Target="https://doi.org/10.1111/j.1475-4983.2010.01011.x" TargetMode="External" /><Relationship Type="http://schemas.openxmlformats.org/officeDocument/2006/relationships/hyperlink" Id="rId51" Target="https://doi.org/10.1111/jbi.12515" TargetMode="External" /><Relationship Type="http://schemas.openxmlformats.org/officeDocument/2006/relationships/hyperlink" Id="rId84" Target="https://doi.org/10.1111/pala.12514" TargetMode="External" /><Relationship Type="http://schemas.openxmlformats.org/officeDocument/2006/relationships/hyperlink" Id="rId59" Target="https://doi.org/10.1130/G31099.1" TargetMode="External" /><Relationship Type="http://schemas.openxmlformats.org/officeDocument/2006/relationships/hyperlink" Id="rId72" Target="https://doi.org/10.1130/G50110.1" TargetMode="External" /><Relationship Type="http://schemas.openxmlformats.org/officeDocument/2006/relationships/hyperlink" Id="rId76" Target="https://doi.org/10.1134/S2079086411010075" TargetMode="External" /><Relationship Type="http://schemas.openxmlformats.org/officeDocument/2006/relationships/hyperlink" Id="rId102" Target="https://doi.org/10.1144/jgs2021-030" TargetMode="External" /><Relationship Type="http://schemas.openxmlformats.org/officeDocument/2006/relationships/hyperlink" Id="rId109" Target="https://doi.org/10.21105/joss.01686" TargetMode="External" /><Relationship Type="http://schemas.openxmlformats.org/officeDocument/2006/relationships/hyperlink" Id="rId107" Target="https://doi.org/10.31223/X5Z94Q" TargetMode="External" /><Relationship Type="http://schemas.openxmlformats.org/officeDocument/2006/relationships/hyperlink" Id="rId95" Target="https://doi.org/10.5194/bg-10-1529-2013" TargetMode="External" /><Relationship Type="http://schemas.openxmlformats.org/officeDocument/2006/relationships/hyperlink" Id="rId24" Target="https://gwsdoc.gplates.org" TargetMode="External" /><Relationship Type="http://schemas.openxmlformats.org/officeDocument/2006/relationships/hyperlink" Id="rId22" Target="https://paleobiodb.org/" TargetMode="External" /><Relationship Type="http://schemas.openxmlformats.org/officeDocument/2006/relationships/hyperlink" Id="rId97" Target="https://www.earthbyte.org/paleodem-resource-scotese-and-wright-2018/" TargetMode="External" /><Relationship Type="http://schemas.openxmlformats.org/officeDocument/2006/relationships/hyperlink" Id="rId49" Target="https://www.ncbi.nlm.nih.gov/pmc/articles/PMC1690525/" TargetMode="External" /></Relationships>
</file>

<file path=word/_rels/footnotes.xml.rels><?xml version="1.0" encoding="UTF-8"?><Relationships xmlns="http://schemas.openxmlformats.org/package/2006/relationships"><Relationship Type="http://schemas.openxmlformats.org/officeDocument/2006/relationships/hyperlink" Id="rId39" Target="XXX" TargetMode="External" /><Relationship Type="http://schemas.openxmlformats.org/officeDocument/2006/relationships/hyperlink" Id="rId91" Target="https://doi.org/10.1016/j.cub.2019.10.065" TargetMode="External" /><Relationship Type="http://schemas.openxmlformats.org/officeDocument/2006/relationships/hyperlink" Id="rId70" Target="https://doi.org/10.1016/j.cub.2021.04.021" TargetMode="External" /><Relationship Type="http://schemas.openxmlformats.org/officeDocument/2006/relationships/hyperlink" Id="rId93" Target="https://doi.org/10.1016/j.earscirev.2012.03.002" TargetMode="External" /><Relationship Type="http://schemas.openxmlformats.org/officeDocument/2006/relationships/hyperlink" Id="rId47" Target="https://doi.org/10.1016/j.tree.2013.09.012" TargetMode="External" /><Relationship Type="http://schemas.openxmlformats.org/officeDocument/2006/relationships/hyperlink" Id="rId55" Target="https://doi.org/10.1016/j.tree.2016.06.001" TargetMode="External" /><Relationship Type="http://schemas.openxmlformats.org/officeDocument/2006/relationships/hyperlink" Id="rId86" Target="https://doi.org/10.1017/pab.2017.2" TargetMode="External" /><Relationship Type="http://schemas.openxmlformats.org/officeDocument/2006/relationships/hyperlink" Id="rId53" Target="https://doi.org/10.1038/nature09329" TargetMode="External" /><Relationship Type="http://schemas.openxmlformats.org/officeDocument/2006/relationships/hyperlink" Id="rId104" Target="https://doi.org/10.1038/s41467-022-30793-8" TargetMode="External" /><Relationship Type="http://schemas.openxmlformats.org/officeDocument/2006/relationships/hyperlink" Id="rId74" Target="https://doi.org/10.1038/s41586-023-05712-6" TargetMode="External" /><Relationship Type="http://schemas.openxmlformats.org/officeDocument/2006/relationships/hyperlink" Id="rId100" Target="https://doi.org/10.1038/s43017-022-00384-8" TargetMode="External" /><Relationship Type="http://schemas.openxmlformats.org/officeDocument/2006/relationships/hyperlink" Id="rId82" Target="https://doi.org/10.1073/pnas.1214037110" TargetMode="External" /><Relationship Type="http://schemas.openxmlformats.org/officeDocument/2006/relationships/hyperlink" Id="rId68" Target="https://doi.org/10.1073/pnas.1918953117" TargetMode="External" /><Relationship Type="http://schemas.openxmlformats.org/officeDocument/2006/relationships/hyperlink" Id="rId57" Target="https://doi.org/10.1073/pnas.2015094118" TargetMode="External" /><Relationship Type="http://schemas.openxmlformats.org/officeDocument/2006/relationships/hyperlink" Id="rId66" Target="https://doi.org/10.1098/rspb.2020.1125" TargetMode="External" /><Relationship Type="http://schemas.openxmlformats.org/officeDocument/2006/relationships/hyperlink" Id="rId88" Target="https://doi.org/10.1098/rspb.2020.2762" TargetMode="External" /><Relationship Type="http://schemas.openxmlformats.org/officeDocument/2006/relationships/hyperlink" Id="rId78" Target="https://doi.org/10.1098/rstb.2015.0224" TargetMode="External" /><Relationship Type="http://schemas.openxmlformats.org/officeDocument/2006/relationships/hyperlink" Id="rId111" Target="https://doi.org/10.1111/2041-210X.12613" TargetMode="External" /><Relationship Type="http://schemas.openxmlformats.org/officeDocument/2006/relationships/hyperlink" Id="rId115" Target="https://doi.org/10.1111/2041-210X.12987" TargetMode="External" /><Relationship Type="http://schemas.openxmlformats.org/officeDocument/2006/relationships/hyperlink" Id="rId62" Target="https://doi.org/10.1111/j.1461-0248.2012.01828.x" TargetMode="External" /><Relationship Type="http://schemas.openxmlformats.org/officeDocument/2006/relationships/hyperlink" Id="rId113" Target="https://doi.org/10.1111/j.1475-4983.2010.01011.x" TargetMode="External" /><Relationship Type="http://schemas.openxmlformats.org/officeDocument/2006/relationships/hyperlink" Id="rId51" Target="https://doi.org/10.1111/jbi.12515" TargetMode="External" /><Relationship Type="http://schemas.openxmlformats.org/officeDocument/2006/relationships/hyperlink" Id="rId84" Target="https://doi.org/10.1111/pala.12514" TargetMode="External" /><Relationship Type="http://schemas.openxmlformats.org/officeDocument/2006/relationships/hyperlink" Id="rId59" Target="https://doi.org/10.1130/G31099.1" TargetMode="External" /><Relationship Type="http://schemas.openxmlformats.org/officeDocument/2006/relationships/hyperlink" Id="rId72" Target="https://doi.org/10.1130/G50110.1" TargetMode="External" /><Relationship Type="http://schemas.openxmlformats.org/officeDocument/2006/relationships/hyperlink" Id="rId76" Target="https://doi.org/10.1134/S2079086411010075" TargetMode="External" /><Relationship Type="http://schemas.openxmlformats.org/officeDocument/2006/relationships/hyperlink" Id="rId102" Target="https://doi.org/10.1144/jgs2021-030" TargetMode="External" /><Relationship Type="http://schemas.openxmlformats.org/officeDocument/2006/relationships/hyperlink" Id="rId109" Target="https://doi.org/10.21105/joss.01686" TargetMode="External" /><Relationship Type="http://schemas.openxmlformats.org/officeDocument/2006/relationships/hyperlink" Id="rId107" Target="https://doi.org/10.31223/X5Z94Q" TargetMode="External" /><Relationship Type="http://schemas.openxmlformats.org/officeDocument/2006/relationships/hyperlink" Id="rId95" Target="https://doi.org/10.5194/bg-10-1529-2013" TargetMode="External" /><Relationship Type="http://schemas.openxmlformats.org/officeDocument/2006/relationships/hyperlink" Id="rId24" Target="https://gwsdoc.gplates.org" TargetMode="External" /><Relationship Type="http://schemas.openxmlformats.org/officeDocument/2006/relationships/hyperlink" Id="rId22" Target="https://paleobiodb.org/" TargetMode="External" /><Relationship Type="http://schemas.openxmlformats.org/officeDocument/2006/relationships/hyperlink" Id="rId97" Target="https://www.earthbyte.org/paleodem-resource-scotese-and-wright-2018/" TargetMode="External" /><Relationship Type="http://schemas.openxmlformats.org/officeDocument/2006/relationships/hyperlink" Id="rId49" Target="https://www.ncbi.nlm.nih.gov/pmc/articles/PMC169052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2</Pages>
  <Words>164</Words>
  <Characters>993</Characters>
  <Application>Microsoft Office Word</Application>
  <DocSecurity>0</DocSecurity>
  <Lines>16</Lines>
  <Paragraphs>9</Paragraphs>
  <ScaleCrop>false</ScaleCrop>
  <Company/>
  <LinksUpToDate>false</LinksUpToDate>
  <CharactersWithSpaces>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plate model choice impacts reconstructions of the latitudinal biodiversity gradient</dc:title>
  <dc:creator>—; Lewis A. Jones1, Bethany J. Allen2,3, William Gearty4, and Lucas Buffan5; —; 1Grupo de Ecoloxía Animal, Departamento de Ecoloxía e Bioloxía Animal, Universidade de Vigo, 36310 Vigo, Spain.; 2Department of Biosystems Science and Engineering, ETH Zürich, 4058 Basel, Switzerland.; 3Computational Evolution Group, Swiss Institute of Bioinformatics, 1015 Lausanne, Switzerland.; 4Division of Paleontology, American Museum of Natural History, New York, NY, 10024 USA.; 5Département de Biologie, École Normale Supérieure de Lyon, Université Claude Bernard Lyon 1, 69342 Lyon Cedex 07, France.; —; All authors contributed equally to this work; Corresponding author: LewisAlan.Jones@uvigo.es</dc:creator>
  <cp:keywords/>
  <dcterms:created xsi:type="dcterms:W3CDTF">2023-07-24T06:38:13Z</dcterms:created>
  <dcterms:modified xsi:type="dcterms:W3CDTF">2023-07-24T06:38:13Z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biology-letters.csl</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