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54F0" w14:textId="77777777" w:rsidR="00513F25" w:rsidRDefault="00000000">
      <w:pPr>
        <w:pStyle w:val="Titre"/>
      </w:pPr>
      <w:r>
        <w:t>Global plate model choice impacts reconstructions of the latitudinal biodiversity gradient</w:t>
      </w:r>
    </w:p>
    <w:p w14:paraId="16ED4179" w14:textId="77777777" w:rsidR="00513F25" w:rsidRDefault="00000000">
      <w:pPr>
        <w:pStyle w:val="Author"/>
      </w:pPr>
      <w:r>
        <w:t>—</w:t>
      </w:r>
    </w:p>
    <w:p w14:paraId="26F580F9" w14:textId="77777777" w:rsidR="00513F25" w:rsidRDefault="00000000">
      <w:pPr>
        <w:pStyle w:val="Author"/>
      </w:pPr>
      <w:r>
        <w:t>Lewis A. Jones</w:t>
      </w:r>
      <w:r>
        <w:rPr>
          <w:vertAlign w:val="superscript"/>
        </w:rPr>
        <w:t>1</w:t>
      </w:r>
      <w:r>
        <w:t>, Bethany J. Allen</w:t>
      </w:r>
      <w:r>
        <w:rPr>
          <w:vertAlign w:val="superscript"/>
        </w:rPr>
        <w:t>2,3</w:t>
      </w:r>
      <w:r>
        <w:t>, William Gearty</w:t>
      </w:r>
      <w:r>
        <w:rPr>
          <w:vertAlign w:val="superscript"/>
        </w:rPr>
        <w:t>4</w:t>
      </w:r>
      <w:r>
        <w:t>, and Lucas Buffan</w:t>
      </w:r>
      <w:r>
        <w:rPr>
          <w:vertAlign w:val="superscript"/>
        </w:rPr>
        <w:t>4</w:t>
      </w:r>
    </w:p>
    <w:p w14:paraId="336184E8" w14:textId="77777777" w:rsidR="00513F25" w:rsidRPr="00A80B78" w:rsidRDefault="00000000">
      <w:pPr>
        <w:pStyle w:val="Author"/>
        <w:rPr>
          <w:lang w:val="es-419"/>
        </w:rPr>
      </w:pPr>
      <w:r w:rsidRPr="00A80B78">
        <w:rPr>
          <w:lang w:val="es-419"/>
        </w:rPr>
        <w:t>—</w:t>
      </w:r>
    </w:p>
    <w:p w14:paraId="3F3497D1" w14:textId="77777777" w:rsidR="00513F25" w:rsidRPr="00A80B78" w:rsidRDefault="00000000">
      <w:pPr>
        <w:pStyle w:val="Author"/>
        <w:rPr>
          <w:lang w:val="es-419"/>
        </w:rPr>
      </w:pPr>
      <w:r w:rsidRPr="00A80B78">
        <w:rPr>
          <w:vertAlign w:val="superscript"/>
          <w:lang w:val="es-419"/>
        </w:rPr>
        <w:t>1</w:t>
      </w:r>
      <w:r w:rsidRPr="00A80B78">
        <w:rPr>
          <w:lang w:val="es-419"/>
        </w:rPr>
        <w:t xml:space="preserve">Grupo de </w:t>
      </w:r>
      <w:proofErr w:type="spellStart"/>
      <w:r w:rsidRPr="00A80B78">
        <w:rPr>
          <w:lang w:val="es-419"/>
        </w:rPr>
        <w:t>Ecoloxía</w:t>
      </w:r>
      <w:proofErr w:type="spellEnd"/>
      <w:r w:rsidRPr="00A80B78">
        <w:rPr>
          <w:lang w:val="es-419"/>
        </w:rPr>
        <w:t xml:space="preserve"> Animal, Departamento de </w:t>
      </w:r>
      <w:proofErr w:type="spellStart"/>
      <w:r w:rsidRPr="00A80B78">
        <w:rPr>
          <w:lang w:val="es-419"/>
        </w:rPr>
        <w:t>Ecoloxía</w:t>
      </w:r>
      <w:proofErr w:type="spellEnd"/>
      <w:r w:rsidRPr="00A80B78">
        <w:rPr>
          <w:lang w:val="es-419"/>
        </w:rPr>
        <w:t xml:space="preserve"> e </w:t>
      </w:r>
      <w:proofErr w:type="spellStart"/>
      <w:r w:rsidRPr="00A80B78">
        <w:rPr>
          <w:lang w:val="es-419"/>
        </w:rPr>
        <w:t>Bioloxía</w:t>
      </w:r>
      <w:proofErr w:type="spellEnd"/>
      <w:r w:rsidRPr="00A80B78">
        <w:rPr>
          <w:lang w:val="es-419"/>
        </w:rPr>
        <w:t xml:space="preserve"> Animal, </w:t>
      </w:r>
      <w:proofErr w:type="spellStart"/>
      <w:r w:rsidRPr="00A80B78">
        <w:rPr>
          <w:lang w:val="es-419"/>
        </w:rPr>
        <w:t>Universidade</w:t>
      </w:r>
      <w:proofErr w:type="spellEnd"/>
      <w:r w:rsidRPr="00A80B78">
        <w:rPr>
          <w:lang w:val="es-419"/>
        </w:rPr>
        <w:t xml:space="preserve"> de Vigo, 36310 Vigo, </w:t>
      </w:r>
      <w:proofErr w:type="spellStart"/>
      <w:r w:rsidRPr="00A80B78">
        <w:rPr>
          <w:lang w:val="es-419"/>
        </w:rPr>
        <w:t>Spain</w:t>
      </w:r>
      <w:proofErr w:type="spellEnd"/>
      <w:r w:rsidRPr="00A80B78">
        <w:rPr>
          <w:lang w:val="es-419"/>
        </w:rPr>
        <w:t>.</w:t>
      </w:r>
    </w:p>
    <w:p w14:paraId="5FB0F71A" w14:textId="77777777" w:rsidR="00513F25" w:rsidRDefault="00000000">
      <w:pPr>
        <w:pStyle w:val="Author"/>
      </w:pPr>
      <w:r>
        <w:rPr>
          <w:vertAlign w:val="superscript"/>
        </w:rPr>
        <w:t>2</w:t>
      </w:r>
      <w:r>
        <w:t>Department of Biosystems Science and Engineering, ETH Zürich, 4058 Basel, Switzerland.</w:t>
      </w:r>
    </w:p>
    <w:p w14:paraId="230499E8" w14:textId="77777777" w:rsidR="00513F25" w:rsidRDefault="00000000">
      <w:pPr>
        <w:pStyle w:val="Author"/>
      </w:pPr>
      <w:r>
        <w:rPr>
          <w:vertAlign w:val="superscript"/>
        </w:rPr>
        <w:t>3</w:t>
      </w:r>
      <w:r>
        <w:t>Computational Evolution Group, Swiss Institute of Bioinformatics, 1015 Lausanne, Switzerland.</w:t>
      </w:r>
    </w:p>
    <w:p w14:paraId="02911D9F" w14:textId="77777777" w:rsidR="00513F25" w:rsidRDefault="00000000">
      <w:pPr>
        <w:pStyle w:val="Author"/>
      </w:pPr>
      <w:r>
        <w:rPr>
          <w:vertAlign w:val="superscript"/>
        </w:rPr>
        <w:t>4</w:t>
      </w:r>
      <w:r>
        <w:t>Division of Paleontology, American Museum of Natural History, New York, NY, 10024 USA.</w:t>
      </w:r>
    </w:p>
    <w:p w14:paraId="142A030E" w14:textId="77777777" w:rsidR="00513F25" w:rsidRPr="00A80B78" w:rsidRDefault="00000000">
      <w:pPr>
        <w:pStyle w:val="Author"/>
        <w:rPr>
          <w:lang w:val="fr-FR"/>
        </w:rPr>
      </w:pPr>
      <w:r w:rsidRPr="00A80B78">
        <w:rPr>
          <w:vertAlign w:val="superscript"/>
          <w:lang w:val="fr-FR"/>
        </w:rPr>
        <w:t>5</w:t>
      </w:r>
      <w:r w:rsidRPr="00A80B78">
        <w:rPr>
          <w:lang w:val="fr-FR"/>
        </w:rPr>
        <w:t>Département de Biologie, École Normale Supérieure de Lyon, Université Claude Bernard Lyon 1, 69342 Lyon Cedex 07, France.</w:t>
      </w:r>
    </w:p>
    <w:p w14:paraId="2AC3DC99" w14:textId="77777777" w:rsidR="00513F25" w:rsidRDefault="00000000">
      <w:pPr>
        <w:pStyle w:val="Author"/>
      </w:pPr>
      <w:r>
        <w:t>—</w:t>
      </w:r>
    </w:p>
    <w:p w14:paraId="36F2A004" w14:textId="77777777" w:rsidR="00513F25" w:rsidRDefault="00000000">
      <w:pPr>
        <w:pStyle w:val="Author"/>
      </w:pPr>
      <w:r>
        <w:rPr>
          <w:b/>
          <w:bCs/>
        </w:rPr>
        <w:t>All authors contributed equally to this work</w:t>
      </w:r>
    </w:p>
    <w:p w14:paraId="14F18968" w14:textId="77777777" w:rsidR="00513F25" w:rsidRDefault="00000000">
      <w:pPr>
        <w:pStyle w:val="Author"/>
      </w:pPr>
      <w:r>
        <w:rPr>
          <w:b/>
          <w:bCs/>
        </w:rPr>
        <w:t>Corresponding author:</w:t>
      </w:r>
      <w:r>
        <w:t xml:space="preserve"> LewisAlan.Jones@uvigo.es</w:t>
      </w:r>
    </w:p>
    <w:p w14:paraId="113106FE" w14:textId="77777777" w:rsidR="00513F25" w:rsidRDefault="00000000">
      <w:pPr>
        <w:pStyle w:val="Abstract"/>
      </w:pPr>
      <w:r>
        <w:t xml:space="preserve"> ¶ Abstract</w:t>
      </w:r>
    </w:p>
    <w:p w14:paraId="20E5F832" w14:textId="77777777" w:rsidR="00513F25" w:rsidRDefault="00000000">
      <w:pPr>
        <w:pStyle w:val="FirstParagraph"/>
      </w:pPr>
      <w:r>
        <w:t>Here goes the abstract…</w:t>
      </w:r>
    </w:p>
    <w:p w14:paraId="316F594D" w14:textId="77777777" w:rsidR="00513F25" w:rsidRDefault="00000000">
      <w:pPr>
        <w:pStyle w:val="Titre1"/>
      </w:pPr>
      <w:bookmarkStart w:id="0" w:name="keywords"/>
      <w:r>
        <w:t>Keywords</w:t>
      </w:r>
    </w:p>
    <w:p w14:paraId="17C1AF39" w14:textId="77777777" w:rsidR="00513F25" w:rsidRDefault="00000000">
      <w:pPr>
        <w:pStyle w:val="FirstParagraph"/>
      </w:pPr>
      <w:r>
        <w:t>Latitudinal biodiversity gradient, marine invertebrates, macroecology, global plate model, palaeogeographic uncertainty</w:t>
      </w:r>
    </w:p>
    <w:p w14:paraId="7C6BE5C9" w14:textId="77777777" w:rsidR="00513F25" w:rsidRDefault="00000000">
      <w:r>
        <w:br w:type="page"/>
      </w:r>
    </w:p>
    <w:p w14:paraId="525B462E" w14:textId="77777777" w:rsidR="00513F25" w:rsidRDefault="00000000">
      <w:pPr>
        <w:pStyle w:val="Titre1"/>
      </w:pPr>
      <w:bookmarkStart w:id="1" w:name="introduction-600-words"/>
      <w:bookmarkEnd w:id="0"/>
      <w:r>
        <w:lastRenderedPageBreak/>
        <w:t>Introduction (600 words)</w:t>
      </w:r>
    </w:p>
    <w:p w14:paraId="12A03DC9" w14:textId="77777777" w:rsidR="00513F25" w:rsidRDefault="00000000">
      <w:pPr>
        <w:pStyle w:val="FirstParagraph"/>
      </w:pPr>
      <w:r>
        <w:t xml:space="preserve">Today, species richness decreases from the tropics to the poles. This phenomenon is known as the latitudinal biodiversity gradient (LBG), and is one of Earth’s longest </w:t>
      </w:r>
      <w:proofErr w:type="spellStart"/>
      <w:r>
        <w:t>recognised</w:t>
      </w:r>
      <w:proofErr w:type="spellEnd"/>
      <w:r>
        <w:t xml:space="preserve"> macroecological patterns [1–</w:t>
      </w:r>
      <w:commentRangeStart w:id="2"/>
      <w:r>
        <w:t>4</w:t>
      </w:r>
      <w:commentRangeEnd w:id="2"/>
      <w:r w:rsidR="00A80B78">
        <w:rPr>
          <w:rStyle w:val="Marquedecommentaire"/>
        </w:rPr>
        <w:commentReference w:id="2"/>
      </w:r>
      <w:r>
        <w:t>]. While observed across numerous taxonomic groups in the terrestrial [2,3] and marine realm today [5,6], the fossil record suggests this broadly unimodal gradient was not always present, with flattened and bimodal gradients observed across a range of taxonomic groups at various points in Earth’s geological history [e.g. 7,8–15]. Several studies have demonstrated that tropical peaks and poleward declines in taxonomic richness are restricted to the last 30 million years (Myr), and intervals of the Palaeozoic, when cool icehouse climatic regimes persisted [e.g. 4,15–18]. Conversely, during intervals of warmer climatic conditions (i.e. greenhouse and interglacial periods), various taxonomic groups have exhibited flattened LBGs, or even temperate peaks in biodiversity [e.g. 8,9,11–13,19,20]. However, recent work suggests that the recognition of different types of LBG in deep time is limited by incomplete and heterogeneous spatial sampling [21].</w:t>
      </w:r>
    </w:p>
    <w:p w14:paraId="286F1127" w14:textId="7D614830" w:rsidR="00513F25" w:rsidRDefault="00000000">
      <w:pPr>
        <w:pStyle w:val="Corpsdetexte"/>
      </w:pPr>
      <w:r>
        <w:t xml:space="preserve">When examining the LBG in the present day, neontologists use the direct geographic distribution of organisms. However, palaeobiologists must contend with the shift of the continents over geological timescales; the geographic location of a fossil occurrence on the Earth’s surface today does not necessarily represent its location </w:t>
      </w:r>
      <w:r>
        <w:rPr>
          <w:i/>
          <w:iCs/>
        </w:rPr>
        <w:t>in vivo</w:t>
      </w:r>
      <w:r>
        <w:t xml:space="preserve">. Consequently, reconstructing the past geographic distribution of fossil occurrences is fundamental to reconstructing the LBG in deep time. To do so, palaeobiologists routinely use what is known as </w:t>
      </w:r>
      <w:commentRangeStart w:id="3"/>
      <w:r>
        <w:t>Global Plate Models</w:t>
      </w:r>
      <w:commentRangeEnd w:id="3"/>
      <w:r w:rsidR="001D7E97">
        <w:rPr>
          <w:rStyle w:val="Marquedecommentaire"/>
        </w:rPr>
        <w:commentReference w:id="3"/>
      </w:r>
      <w:r w:rsidR="00C82C9B">
        <w:t>–sometimes also called ‘</w:t>
      </w:r>
      <w:proofErr w:type="spellStart"/>
      <w:r w:rsidR="00C82C9B">
        <w:t>palaeorotation</w:t>
      </w:r>
      <w:proofErr w:type="spellEnd"/>
      <w:r w:rsidR="00C82C9B">
        <w:t xml:space="preserve"> models’ or ‘plate rotation models’</w:t>
      </w:r>
      <w:r>
        <w:t xml:space="preserve"> [14,18,20,22–24]. These models aim to reconstruct the tectonic evolution of the Earth by modelling the motion of the </w:t>
      </w:r>
      <w:r w:rsidR="001D7E97">
        <w:t>continental–and sometimes marine–plates</w:t>
      </w:r>
      <w:r>
        <w:t xml:space="preserve"> across its surface through geological time. Many of these Global Plate Models exist [e.g. 25,26–28], varying in the way they define the geological boundaries of continents and how they rotate them through time, having consequence for how fossil occurrences might be palaeogeographically reconstructed [29]. However–to date–few palaeobiological studies (though see ref. [30,31]) have considered how different Global Plate Models might influence reconstructions of the latitudinal distribution of fossil occurrence.</w:t>
      </w:r>
    </w:p>
    <w:p w14:paraId="47F1C36F" w14:textId="3C8DDFA5" w:rsidR="00513F25" w:rsidRDefault="00000000">
      <w:pPr>
        <w:pStyle w:val="Corpsdetexte"/>
      </w:pPr>
      <w:r>
        <w:t xml:space="preserve">Here, we test whether Global Plate Model choice influences the recognition of ‘unimodal-type’ latitudinal biodiversity gradients throughout the Phanerozoic (the last 540 million years). To do so, we reconstruct the palaeogeographic distribution of fossil occurrences for five major marine invertebrate groups using data from </w:t>
      </w:r>
      <w:r w:rsidR="00BB416A">
        <w:t>T</w:t>
      </w:r>
      <w:r>
        <w:t>he Paleobiology Database and three Global Plate Models. Subsequently, we reconstruct the latitudinal biodiversity gradient using coverage-based rarefaction–a common sampling-standardisation approach–and quantify the strength of the gradient through time and the variability between Global Plate Models. We hypothes</w:t>
      </w:r>
      <w:r w:rsidR="00B544F4">
        <w:t>ize</w:t>
      </w:r>
      <w:r>
        <w:t xml:space="preserve"> that reconstructions of the latitudinal biodiversity gradient are more sensitive to </w:t>
      </w:r>
      <w:r w:rsidR="00C82C9B">
        <w:t>Global Plate Model</w:t>
      </w:r>
      <w:r>
        <w:t xml:space="preserve"> choice with age of rotation.</w:t>
      </w:r>
    </w:p>
    <w:p w14:paraId="20E350FE" w14:textId="77777777" w:rsidR="00513F25" w:rsidRDefault="00000000">
      <w:pPr>
        <w:pStyle w:val="Titre1"/>
      </w:pPr>
      <w:bookmarkStart w:id="4" w:name="materials-and-methods-600-words"/>
      <w:bookmarkEnd w:id="1"/>
      <w:r>
        <w:lastRenderedPageBreak/>
        <w:t>Materials and Methods (600 words)</w:t>
      </w:r>
    </w:p>
    <w:p w14:paraId="4BA6E7AE" w14:textId="77777777" w:rsidR="00513F25" w:rsidRDefault="00000000">
      <w:pPr>
        <w:pStyle w:val="Titre2"/>
      </w:pPr>
      <w:bookmarkStart w:id="5" w:name="occurrence-data"/>
      <w:r>
        <w:t>Occurrence data</w:t>
      </w:r>
    </w:p>
    <w:p w14:paraId="5D12DC05" w14:textId="79793A3A" w:rsidR="00513F25" w:rsidRDefault="00000000">
      <w:pPr>
        <w:pStyle w:val="FirstParagraph"/>
      </w:pPr>
      <w:r>
        <w:t xml:space="preserve">We downloaded Fortunian–Piacenzian (541–0 Ma) fossil occurrence data from </w:t>
      </w:r>
      <w:r w:rsidR="00BE0622">
        <w:t>T</w:t>
      </w:r>
      <w:r>
        <w:t xml:space="preserve">he Paleobiology Database (PBDB; </w:t>
      </w:r>
      <w:hyperlink r:id="rId11">
        <w:r>
          <w:rPr>
            <w:rStyle w:val="Lienhypertexte"/>
          </w:rPr>
          <w:t>https://paleobiodb.org/</w:t>
        </w:r>
      </w:hyperlink>
      <w:r>
        <w:t xml:space="preserve">) for five major marine invertebrate groups (Bivalvia, Brachiopoda, Cephalopoda, Gastropoda, Trilobita) on March 02 2023. Fossil occurrence data were downloaded using the PBDB API service and were restricted to marine environments, valid taxa and regular preservation (i.e. excluding form taxa and ichnotaxa). Occurrence data were subsequently binned into stratigraphic time bins following the Geological Timescale 2020 [32]. To do so, we used the bin_time() function from the palaeoverse R package ver. 1.1.1.900 using the ‘majority’ approach [33]. Subsequently, we removed all occurrences with less than </w:t>
      </w:r>
      <w:commentRangeStart w:id="6"/>
      <w:r>
        <w:t>95</w:t>
      </w:r>
      <w:commentRangeEnd w:id="6"/>
      <w:r w:rsidR="00BE0622">
        <w:rPr>
          <w:rStyle w:val="Marquedecommentaire"/>
        </w:rPr>
        <w:commentReference w:id="6"/>
      </w:r>
      <w:r>
        <w:t>% of their age range covered by their assigned temporal bin. After data preparation, the occurrence dataset contained 347,193 occurrences from 56,283 collections.</w:t>
      </w:r>
    </w:p>
    <w:p w14:paraId="378F958B" w14:textId="77777777" w:rsidR="00513F25" w:rsidRDefault="00000000">
      <w:pPr>
        <w:pStyle w:val="Titre2"/>
      </w:pPr>
      <w:bookmarkStart w:id="7" w:name="X3b031ebdf784a58eae7b3cc341da0dedccb5575"/>
      <w:bookmarkEnd w:id="5"/>
      <w:r>
        <w:t>Palaeogeographic reconstruction and binning</w:t>
      </w:r>
    </w:p>
    <w:p w14:paraId="1A68B44A" w14:textId="171BFFAB" w:rsidR="00513F25" w:rsidRDefault="00000000">
      <w:pPr>
        <w:pStyle w:val="FirstParagraph"/>
      </w:pPr>
      <w:r>
        <w:t>To reconstruct the palaeogeographic distribution of fossil occurrences, we used occurrences’ present-day coordinates and midpoint age from assigned temporal bins with three Global Plate Models: PALEOMAP [27], GOLONKA [26], and MERDITH2021 [28]. Palaeogeographic reconstructions were generated using the GPlates Web Service (</w:t>
      </w:r>
      <w:hyperlink r:id="rId12">
        <w:r>
          <w:rPr>
            <w:rStyle w:val="Lienhypertexte"/>
          </w:rPr>
          <w:t>https://gwsdoc.gplates.org</w:t>
        </w:r>
      </w:hyperlink>
      <w:r>
        <w:t xml:space="preserve">) via the </w:t>
      </w:r>
      <w:proofErr w:type="gramStart"/>
      <w:r>
        <w:t>palaeorotate(</w:t>
      </w:r>
      <w:proofErr w:type="gramEnd"/>
      <w:r>
        <w:t>) function in palaeoverse ver. 1.1.1.900 [33]. Subsequently, for each Global Plate Model, fossil occurrences were binned into one of twelve equal-area latitudinal bins (assuming a regular spheroid Earth model with a radius of ~6,371 km), using the estimated palaeolatitudes (</w:t>
      </w:r>
      <w:hyperlink w:anchor="tbl-bins">
        <w:r>
          <w:rPr>
            <w:rStyle w:val="Lienhypertexte"/>
          </w:rPr>
          <w:t>Table 1</w:t>
        </w:r>
      </w:hyperlink>
      <w:r>
        <w:t>).</w:t>
      </w:r>
    </w:p>
    <w:p w14:paraId="3DD9369A" w14:textId="77777777" w:rsidR="00513F25" w:rsidRDefault="00000000">
      <w:pPr>
        <w:pStyle w:val="TableCaption"/>
      </w:pPr>
      <w:bookmarkStart w:id="8" w:name="tbl-bins"/>
      <w:r>
        <w:t>Table 1: Equal-area latitudinal bins used in this study. Bins are generated assumming a regular spheroid Earth model with a mean radius of ~6,371 km.</w:t>
      </w:r>
    </w:p>
    <w:tbl>
      <w:tblPr>
        <w:tblStyle w:val="Table"/>
        <w:tblW w:w="5100" w:type="pct"/>
        <w:tblLook w:val="0020" w:firstRow="1" w:lastRow="0" w:firstColumn="0" w:lastColumn="0" w:noHBand="0" w:noVBand="0"/>
        <w:tblCaption w:val="Table 1: Equal-area latitudinal bins used in this study. Bins are generated assumming a regular spheroid Earth model with a mean radius of ~6,371 km."/>
      </w:tblPr>
      <w:tblGrid>
        <w:gridCol w:w="754"/>
        <w:gridCol w:w="1599"/>
        <w:gridCol w:w="1461"/>
        <w:gridCol w:w="1548"/>
        <w:gridCol w:w="1534"/>
        <w:gridCol w:w="2651"/>
      </w:tblGrid>
      <w:tr w:rsidR="00513F25" w14:paraId="3C059AA6" w14:textId="77777777" w:rsidTr="00513F25">
        <w:trPr>
          <w:cnfStyle w:val="100000000000" w:firstRow="1" w:lastRow="0" w:firstColumn="0" w:lastColumn="0" w:oddVBand="0" w:evenVBand="0" w:oddHBand="0" w:evenHBand="0" w:firstRowFirstColumn="0" w:firstRowLastColumn="0" w:lastRowFirstColumn="0" w:lastRowLastColumn="0"/>
          <w:tblHeader/>
        </w:trPr>
        <w:tc>
          <w:tcPr>
            <w:tcW w:w="0" w:type="auto"/>
          </w:tcPr>
          <w:p w14:paraId="511082DE" w14:textId="77777777" w:rsidR="00513F25" w:rsidRDefault="00000000">
            <w:pPr>
              <w:pStyle w:val="Compact"/>
              <w:jc w:val="right"/>
            </w:pPr>
            <w:r>
              <w:t>Bin</w:t>
            </w:r>
          </w:p>
        </w:tc>
        <w:tc>
          <w:tcPr>
            <w:tcW w:w="0" w:type="auto"/>
          </w:tcPr>
          <w:p w14:paraId="01795F16" w14:textId="77777777" w:rsidR="00513F25" w:rsidRDefault="00000000">
            <w:pPr>
              <w:pStyle w:val="Compact"/>
              <w:jc w:val="right"/>
            </w:pPr>
            <w:r>
              <w:t>Maximum</w:t>
            </w:r>
          </w:p>
        </w:tc>
        <w:tc>
          <w:tcPr>
            <w:tcW w:w="0" w:type="auto"/>
          </w:tcPr>
          <w:p w14:paraId="284179B4" w14:textId="77777777" w:rsidR="00513F25" w:rsidRDefault="00000000">
            <w:pPr>
              <w:pStyle w:val="Compact"/>
              <w:jc w:val="right"/>
            </w:pPr>
            <w:r>
              <w:t>Midpoint</w:t>
            </w:r>
          </w:p>
        </w:tc>
        <w:tc>
          <w:tcPr>
            <w:tcW w:w="0" w:type="auto"/>
          </w:tcPr>
          <w:p w14:paraId="72E6B665" w14:textId="77777777" w:rsidR="00513F25" w:rsidRDefault="00000000">
            <w:pPr>
              <w:pStyle w:val="Compact"/>
              <w:jc w:val="right"/>
            </w:pPr>
            <w:r>
              <w:t>Minimum</w:t>
            </w:r>
          </w:p>
        </w:tc>
        <w:tc>
          <w:tcPr>
            <w:tcW w:w="0" w:type="auto"/>
          </w:tcPr>
          <w:p w14:paraId="17F03B64" w14:textId="77777777" w:rsidR="00513F25" w:rsidRDefault="00000000">
            <w:pPr>
              <w:pStyle w:val="Compact"/>
              <w:jc w:val="right"/>
            </w:pPr>
            <w:r>
              <w:t>Area (m</w:t>
            </w:r>
            <w:r>
              <w:rPr>
                <w:vertAlign w:val="superscript"/>
              </w:rPr>
              <w:t>2</w:t>
            </w:r>
            <w:r>
              <w:t>)</w:t>
            </w:r>
          </w:p>
        </w:tc>
        <w:tc>
          <w:tcPr>
            <w:tcW w:w="0" w:type="auto"/>
          </w:tcPr>
          <w:p w14:paraId="76231C67" w14:textId="77777777" w:rsidR="00513F25" w:rsidRDefault="00000000">
            <w:pPr>
              <w:pStyle w:val="Compact"/>
              <w:jc w:val="right"/>
            </w:pPr>
            <w:r>
              <w:t>Proportion of Area</w:t>
            </w:r>
          </w:p>
        </w:tc>
      </w:tr>
      <w:tr w:rsidR="00513F25" w14:paraId="6E49BAC1" w14:textId="77777777">
        <w:tc>
          <w:tcPr>
            <w:tcW w:w="0" w:type="auto"/>
          </w:tcPr>
          <w:p w14:paraId="3E0A9644" w14:textId="77777777" w:rsidR="00513F25" w:rsidRDefault="00000000">
            <w:pPr>
              <w:pStyle w:val="Compact"/>
              <w:jc w:val="right"/>
            </w:pPr>
            <w:r>
              <w:t>1</w:t>
            </w:r>
          </w:p>
        </w:tc>
        <w:tc>
          <w:tcPr>
            <w:tcW w:w="0" w:type="auto"/>
          </w:tcPr>
          <w:p w14:paraId="37337EE1" w14:textId="77777777" w:rsidR="00513F25" w:rsidRDefault="00000000">
            <w:pPr>
              <w:pStyle w:val="Compact"/>
              <w:jc w:val="right"/>
            </w:pPr>
            <w:r>
              <w:t>90.00</w:t>
            </w:r>
          </w:p>
        </w:tc>
        <w:tc>
          <w:tcPr>
            <w:tcW w:w="0" w:type="auto"/>
          </w:tcPr>
          <w:p w14:paraId="4D973EDA" w14:textId="77777777" w:rsidR="00513F25" w:rsidRDefault="00000000">
            <w:pPr>
              <w:pStyle w:val="Compact"/>
              <w:jc w:val="right"/>
            </w:pPr>
            <w:r>
              <w:t>73.235</w:t>
            </w:r>
          </w:p>
        </w:tc>
        <w:tc>
          <w:tcPr>
            <w:tcW w:w="0" w:type="auto"/>
          </w:tcPr>
          <w:p w14:paraId="3E53051E" w14:textId="77777777" w:rsidR="00513F25" w:rsidRDefault="00000000">
            <w:pPr>
              <w:pStyle w:val="Compact"/>
              <w:jc w:val="right"/>
            </w:pPr>
            <w:r>
              <w:t>56.47</w:t>
            </w:r>
          </w:p>
        </w:tc>
        <w:tc>
          <w:tcPr>
            <w:tcW w:w="0" w:type="auto"/>
          </w:tcPr>
          <w:p w14:paraId="11F81429" w14:textId="77777777" w:rsidR="00513F25" w:rsidRDefault="00000000">
            <w:pPr>
              <w:pStyle w:val="Compact"/>
              <w:jc w:val="right"/>
            </w:pPr>
            <w:r>
              <w:t>4.24e+13</w:t>
            </w:r>
          </w:p>
        </w:tc>
        <w:tc>
          <w:tcPr>
            <w:tcW w:w="0" w:type="auto"/>
          </w:tcPr>
          <w:p w14:paraId="752A2E93" w14:textId="77777777" w:rsidR="00513F25" w:rsidRDefault="00000000">
            <w:pPr>
              <w:pStyle w:val="Compact"/>
              <w:jc w:val="right"/>
            </w:pPr>
            <w:r>
              <w:t>0.083</w:t>
            </w:r>
          </w:p>
        </w:tc>
      </w:tr>
      <w:tr w:rsidR="00513F25" w14:paraId="6726E81A" w14:textId="77777777">
        <w:tc>
          <w:tcPr>
            <w:tcW w:w="0" w:type="auto"/>
          </w:tcPr>
          <w:p w14:paraId="1D8E79F9" w14:textId="77777777" w:rsidR="00513F25" w:rsidRDefault="00000000">
            <w:pPr>
              <w:pStyle w:val="Compact"/>
              <w:jc w:val="right"/>
            </w:pPr>
            <w:r>
              <w:t>2</w:t>
            </w:r>
          </w:p>
        </w:tc>
        <w:tc>
          <w:tcPr>
            <w:tcW w:w="0" w:type="auto"/>
          </w:tcPr>
          <w:p w14:paraId="7DEA02AC" w14:textId="77777777" w:rsidR="00513F25" w:rsidRDefault="00000000">
            <w:pPr>
              <w:pStyle w:val="Compact"/>
              <w:jc w:val="right"/>
            </w:pPr>
            <w:r>
              <w:t>56.47</w:t>
            </w:r>
          </w:p>
        </w:tc>
        <w:tc>
          <w:tcPr>
            <w:tcW w:w="0" w:type="auto"/>
          </w:tcPr>
          <w:p w14:paraId="157569B0" w14:textId="77777777" w:rsidR="00513F25" w:rsidRDefault="00000000">
            <w:pPr>
              <w:pStyle w:val="Compact"/>
              <w:jc w:val="right"/>
            </w:pPr>
            <w:r>
              <w:t>49.150</w:t>
            </w:r>
          </w:p>
        </w:tc>
        <w:tc>
          <w:tcPr>
            <w:tcW w:w="0" w:type="auto"/>
          </w:tcPr>
          <w:p w14:paraId="54643950" w14:textId="77777777" w:rsidR="00513F25" w:rsidRDefault="00000000">
            <w:pPr>
              <w:pStyle w:val="Compact"/>
              <w:jc w:val="right"/>
            </w:pPr>
            <w:r>
              <w:t>41.83</w:t>
            </w:r>
          </w:p>
        </w:tc>
        <w:tc>
          <w:tcPr>
            <w:tcW w:w="0" w:type="auto"/>
          </w:tcPr>
          <w:p w14:paraId="23F78AA1" w14:textId="77777777" w:rsidR="00513F25" w:rsidRDefault="00000000">
            <w:pPr>
              <w:pStyle w:val="Compact"/>
              <w:jc w:val="right"/>
            </w:pPr>
            <w:r>
              <w:t>4.25e+13</w:t>
            </w:r>
          </w:p>
        </w:tc>
        <w:tc>
          <w:tcPr>
            <w:tcW w:w="0" w:type="auto"/>
          </w:tcPr>
          <w:p w14:paraId="6A8E10C9" w14:textId="77777777" w:rsidR="00513F25" w:rsidRDefault="00000000">
            <w:pPr>
              <w:pStyle w:val="Compact"/>
              <w:jc w:val="right"/>
            </w:pPr>
            <w:r>
              <w:t>0.083</w:t>
            </w:r>
          </w:p>
        </w:tc>
      </w:tr>
      <w:tr w:rsidR="00513F25" w14:paraId="36A33863" w14:textId="77777777">
        <w:tc>
          <w:tcPr>
            <w:tcW w:w="0" w:type="auto"/>
          </w:tcPr>
          <w:p w14:paraId="5AA31BAA" w14:textId="77777777" w:rsidR="00513F25" w:rsidRDefault="00000000">
            <w:pPr>
              <w:pStyle w:val="Compact"/>
              <w:jc w:val="right"/>
            </w:pPr>
            <w:r>
              <w:t>3</w:t>
            </w:r>
          </w:p>
        </w:tc>
        <w:tc>
          <w:tcPr>
            <w:tcW w:w="0" w:type="auto"/>
          </w:tcPr>
          <w:p w14:paraId="3E692A04" w14:textId="77777777" w:rsidR="00513F25" w:rsidRDefault="00000000">
            <w:pPr>
              <w:pStyle w:val="Compact"/>
              <w:jc w:val="right"/>
            </w:pPr>
            <w:r>
              <w:t>41.83</w:t>
            </w:r>
          </w:p>
        </w:tc>
        <w:tc>
          <w:tcPr>
            <w:tcW w:w="0" w:type="auto"/>
          </w:tcPr>
          <w:p w14:paraId="637DAC73" w14:textId="77777777" w:rsidR="00513F25" w:rsidRDefault="00000000">
            <w:pPr>
              <w:pStyle w:val="Compact"/>
              <w:jc w:val="right"/>
            </w:pPr>
            <w:r>
              <w:t>35.920</w:t>
            </w:r>
          </w:p>
        </w:tc>
        <w:tc>
          <w:tcPr>
            <w:tcW w:w="0" w:type="auto"/>
          </w:tcPr>
          <w:p w14:paraId="674D9F2D" w14:textId="77777777" w:rsidR="00513F25" w:rsidRDefault="00000000">
            <w:pPr>
              <w:pStyle w:val="Compact"/>
              <w:jc w:val="right"/>
            </w:pPr>
            <w:r>
              <w:t>30.01</w:t>
            </w:r>
          </w:p>
        </w:tc>
        <w:tc>
          <w:tcPr>
            <w:tcW w:w="0" w:type="auto"/>
          </w:tcPr>
          <w:p w14:paraId="27E074AA" w14:textId="77777777" w:rsidR="00513F25" w:rsidRDefault="00000000">
            <w:pPr>
              <w:pStyle w:val="Compact"/>
              <w:jc w:val="right"/>
            </w:pPr>
            <w:r>
              <w:t>4.25e+13</w:t>
            </w:r>
          </w:p>
        </w:tc>
        <w:tc>
          <w:tcPr>
            <w:tcW w:w="0" w:type="auto"/>
          </w:tcPr>
          <w:p w14:paraId="68E86623" w14:textId="77777777" w:rsidR="00513F25" w:rsidRDefault="00000000">
            <w:pPr>
              <w:pStyle w:val="Compact"/>
              <w:jc w:val="right"/>
            </w:pPr>
            <w:r>
              <w:t>0.083</w:t>
            </w:r>
          </w:p>
        </w:tc>
      </w:tr>
      <w:tr w:rsidR="00513F25" w14:paraId="7BCAECC0" w14:textId="77777777">
        <w:tc>
          <w:tcPr>
            <w:tcW w:w="0" w:type="auto"/>
          </w:tcPr>
          <w:p w14:paraId="2EB7087B" w14:textId="77777777" w:rsidR="00513F25" w:rsidRDefault="00000000">
            <w:pPr>
              <w:pStyle w:val="Compact"/>
              <w:jc w:val="right"/>
            </w:pPr>
            <w:r>
              <w:t>4</w:t>
            </w:r>
          </w:p>
        </w:tc>
        <w:tc>
          <w:tcPr>
            <w:tcW w:w="0" w:type="auto"/>
          </w:tcPr>
          <w:p w14:paraId="3ECD1A58" w14:textId="77777777" w:rsidR="00513F25" w:rsidRDefault="00000000">
            <w:pPr>
              <w:pStyle w:val="Compact"/>
              <w:jc w:val="right"/>
            </w:pPr>
            <w:r>
              <w:t>30.01</w:t>
            </w:r>
          </w:p>
        </w:tc>
        <w:tc>
          <w:tcPr>
            <w:tcW w:w="0" w:type="auto"/>
          </w:tcPr>
          <w:p w14:paraId="5D787CA1" w14:textId="77777777" w:rsidR="00513F25" w:rsidRDefault="00000000">
            <w:pPr>
              <w:pStyle w:val="Compact"/>
              <w:jc w:val="right"/>
            </w:pPr>
            <w:r>
              <w:t>24.745</w:t>
            </w:r>
          </w:p>
        </w:tc>
        <w:tc>
          <w:tcPr>
            <w:tcW w:w="0" w:type="auto"/>
          </w:tcPr>
          <w:p w14:paraId="72522472" w14:textId="77777777" w:rsidR="00513F25" w:rsidRDefault="00000000">
            <w:pPr>
              <w:pStyle w:val="Compact"/>
              <w:jc w:val="right"/>
            </w:pPr>
            <w:r>
              <w:t>19.48</w:t>
            </w:r>
          </w:p>
        </w:tc>
        <w:tc>
          <w:tcPr>
            <w:tcW w:w="0" w:type="auto"/>
          </w:tcPr>
          <w:p w14:paraId="544D2233" w14:textId="77777777" w:rsidR="00513F25" w:rsidRDefault="00000000">
            <w:pPr>
              <w:pStyle w:val="Compact"/>
              <w:jc w:val="right"/>
            </w:pPr>
            <w:r>
              <w:t>4.25e+13</w:t>
            </w:r>
          </w:p>
        </w:tc>
        <w:tc>
          <w:tcPr>
            <w:tcW w:w="0" w:type="auto"/>
          </w:tcPr>
          <w:p w14:paraId="2E25D0E0" w14:textId="77777777" w:rsidR="00513F25" w:rsidRDefault="00000000">
            <w:pPr>
              <w:pStyle w:val="Compact"/>
              <w:jc w:val="right"/>
            </w:pPr>
            <w:r>
              <w:t>0.083</w:t>
            </w:r>
          </w:p>
        </w:tc>
      </w:tr>
      <w:tr w:rsidR="00513F25" w14:paraId="2F7AF06D" w14:textId="77777777">
        <w:tc>
          <w:tcPr>
            <w:tcW w:w="0" w:type="auto"/>
          </w:tcPr>
          <w:p w14:paraId="32E9779D" w14:textId="77777777" w:rsidR="00513F25" w:rsidRDefault="00000000">
            <w:pPr>
              <w:pStyle w:val="Compact"/>
              <w:jc w:val="right"/>
            </w:pPr>
            <w:r>
              <w:t>5</w:t>
            </w:r>
          </w:p>
        </w:tc>
        <w:tc>
          <w:tcPr>
            <w:tcW w:w="0" w:type="auto"/>
          </w:tcPr>
          <w:p w14:paraId="419E913C" w14:textId="77777777" w:rsidR="00513F25" w:rsidRDefault="00000000">
            <w:pPr>
              <w:pStyle w:val="Compact"/>
              <w:jc w:val="right"/>
            </w:pPr>
            <w:r>
              <w:t>19.48</w:t>
            </w:r>
          </w:p>
        </w:tc>
        <w:tc>
          <w:tcPr>
            <w:tcW w:w="0" w:type="auto"/>
          </w:tcPr>
          <w:p w14:paraId="7B368468" w14:textId="77777777" w:rsidR="00513F25" w:rsidRDefault="00000000">
            <w:pPr>
              <w:pStyle w:val="Compact"/>
              <w:jc w:val="right"/>
            </w:pPr>
            <w:r>
              <w:t>14.540</w:t>
            </w:r>
          </w:p>
        </w:tc>
        <w:tc>
          <w:tcPr>
            <w:tcW w:w="0" w:type="auto"/>
          </w:tcPr>
          <w:p w14:paraId="75829346" w14:textId="77777777" w:rsidR="00513F25" w:rsidRDefault="00000000">
            <w:pPr>
              <w:pStyle w:val="Compact"/>
              <w:jc w:val="right"/>
            </w:pPr>
            <w:r>
              <w:t>9.60</w:t>
            </w:r>
          </w:p>
        </w:tc>
        <w:tc>
          <w:tcPr>
            <w:tcW w:w="0" w:type="auto"/>
          </w:tcPr>
          <w:p w14:paraId="2D58CA42" w14:textId="77777777" w:rsidR="00513F25" w:rsidRDefault="00000000">
            <w:pPr>
              <w:pStyle w:val="Compact"/>
              <w:jc w:val="right"/>
            </w:pPr>
            <w:r>
              <w:t>4.25e+13</w:t>
            </w:r>
          </w:p>
        </w:tc>
        <w:tc>
          <w:tcPr>
            <w:tcW w:w="0" w:type="auto"/>
          </w:tcPr>
          <w:p w14:paraId="42541A1F" w14:textId="77777777" w:rsidR="00513F25" w:rsidRDefault="00000000">
            <w:pPr>
              <w:pStyle w:val="Compact"/>
              <w:jc w:val="right"/>
            </w:pPr>
            <w:r>
              <w:t>0.083</w:t>
            </w:r>
          </w:p>
        </w:tc>
      </w:tr>
      <w:tr w:rsidR="00513F25" w14:paraId="42DFE63B" w14:textId="77777777">
        <w:tc>
          <w:tcPr>
            <w:tcW w:w="0" w:type="auto"/>
          </w:tcPr>
          <w:p w14:paraId="1A666549" w14:textId="77777777" w:rsidR="00513F25" w:rsidRDefault="00000000">
            <w:pPr>
              <w:pStyle w:val="Compact"/>
              <w:jc w:val="right"/>
            </w:pPr>
            <w:r>
              <w:t>6</w:t>
            </w:r>
          </w:p>
        </w:tc>
        <w:tc>
          <w:tcPr>
            <w:tcW w:w="0" w:type="auto"/>
          </w:tcPr>
          <w:p w14:paraId="65485345" w14:textId="77777777" w:rsidR="00513F25" w:rsidRDefault="00000000">
            <w:pPr>
              <w:pStyle w:val="Compact"/>
              <w:jc w:val="right"/>
            </w:pPr>
            <w:r>
              <w:t>9.60</w:t>
            </w:r>
          </w:p>
        </w:tc>
        <w:tc>
          <w:tcPr>
            <w:tcW w:w="0" w:type="auto"/>
          </w:tcPr>
          <w:p w14:paraId="22AF6F49" w14:textId="77777777" w:rsidR="00513F25" w:rsidRDefault="00000000">
            <w:pPr>
              <w:pStyle w:val="Compact"/>
              <w:jc w:val="right"/>
            </w:pPr>
            <w:r>
              <w:t>4.800</w:t>
            </w:r>
          </w:p>
        </w:tc>
        <w:tc>
          <w:tcPr>
            <w:tcW w:w="0" w:type="auto"/>
          </w:tcPr>
          <w:p w14:paraId="3F4D089B" w14:textId="77777777" w:rsidR="00513F25" w:rsidRDefault="00000000">
            <w:pPr>
              <w:pStyle w:val="Compact"/>
              <w:jc w:val="right"/>
            </w:pPr>
            <w:r>
              <w:t>0.00</w:t>
            </w:r>
          </w:p>
        </w:tc>
        <w:tc>
          <w:tcPr>
            <w:tcW w:w="0" w:type="auto"/>
          </w:tcPr>
          <w:p w14:paraId="094FE7EC" w14:textId="77777777" w:rsidR="00513F25" w:rsidRDefault="00000000">
            <w:pPr>
              <w:pStyle w:val="Compact"/>
              <w:jc w:val="right"/>
            </w:pPr>
            <w:r>
              <w:t>4.25e+13</w:t>
            </w:r>
          </w:p>
        </w:tc>
        <w:tc>
          <w:tcPr>
            <w:tcW w:w="0" w:type="auto"/>
          </w:tcPr>
          <w:p w14:paraId="5980F265" w14:textId="77777777" w:rsidR="00513F25" w:rsidRDefault="00000000">
            <w:pPr>
              <w:pStyle w:val="Compact"/>
              <w:jc w:val="right"/>
            </w:pPr>
            <w:r>
              <w:t>0.083</w:t>
            </w:r>
          </w:p>
        </w:tc>
      </w:tr>
      <w:tr w:rsidR="00513F25" w14:paraId="4E335ADE" w14:textId="77777777">
        <w:tc>
          <w:tcPr>
            <w:tcW w:w="0" w:type="auto"/>
          </w:tcPr>
          <w:p w14:paraId="22904199" w14:textId="77777777" w:rsidR="00513F25" w:rsidRDefault="00000000">
            <w:pPr>
              <w:pStyle w:val="Compact"/>
              <w:jc w:val="right"/>
            </w:pPr>
            <w:r>
              <w:t>7</w:t>
            </w:r>
          </w:p>
        </w:tc>
        <w:tc>
          <w:tcPr>
            <w:tcW w:w="0" w:type="auto"/>
          </w:tcPr>
          <w:p w14:paraId="13314E18" w14:textId="77777777" w:rsidR="00513F25" w:rsidRDefault="00000000">
            <w:pPr>
              <w:pStyle w:val="Compact"/>
              <w:jc w:val="right"/>
            </w:pPr>
            <w:r>
              <w:t>0.00</w:t>
            </w:r>
          </w:p>
        </w:tc>
        <w:tc>
          <w:tcPr>
            <w:tcW w:w="0" w:type="auto"/>
          </w:tcPr>
          <w:p w14:paraId="658DBB71" w14:textId="77777777" w:rsidR="00513F25" w:rsidRDefault="00000000">
            <w:pPr>
              <w:pStyle w:val="Compact"/>
              <w:jc w:val="right"/>
            </w:pPr>
            <w:r>
              <w:t>-4.800</w:t>
            </w:r>
          </w:p>
        </w:tc>
        <w:tc>
          <w:tcPr>
            <w:tcW w:w="0" w:type="auto"/>
          </w:tcPr>
          <w:p w14:paraId="095CDE42" w14:textId="77777777" w:rsidR="00513F25" w:rsidRDefault="00000000">
            <w:pPr>
              <w:pStyle w:val="Compact"/>
              <w:jc w:val="right"/>
            </w:pPr>
            <w:r>
              <w:t>-9.60</w:t>
            </w:r>
          </w:p>
        </w:tc>
        <w:tc>
          <w:tcPr>
            <w:tcW w:w="0" w:type="auto"/>
          </w:tcPr>
          <w:p w14:paraId="4AC73549" w14:textId="77777777" w:rsidR="00513F25" w:rsidRDefault="00000000">
            <w:pPr>
              <w:pStyle w:val="Compact"/>
              <w:jc w:val="right"/>
            </w:pPr>
            <w:r>
              <w:t>4.25e+13</w:t>
            </w:r>
          </w:p>
        </w:tc>
        <w:tc>
          <w:tcPr>
            <w:tcW w:w="0" w:type="auto"/>
          </w:tcPr>
          <w:p w14:paraId="57540AE8" w14:textId="77777777" w:rsidR="00513F25" w:rsidRDefault="00000000">
            <w:pPr>
              <w:pStyle w:val="Compact"/>
              <w:jc w:val="right"/>
            </w:pPr>
            <w:r>
              <w:t>0.083</w:t>
            </w:r>
          </w:p>
        </w:tc>
      </w:tr>
      <w:tr w:rsidR="00513F25" w14:paraId="484A267F" w14:textId="77777777">
        <w:tc>
          <w:tcPr>
            <w:tcW w:w="0" w:type="auto"/>
          </w:tcPr>
          <w:p w14:paraId="2331E8C4" w14:textId="77777777" w:rsidR="00513F25" w:rsidRDefault="00000000">
            <w:pPr>
              <w:pStyle w:val="Compact"/>
              <w:jc w:val="right"/>
            </w:pPr>
            <w:r>
              <w:t>8</w:t>
            </w:r>
          </w:p>
        </w:tc>
        <w:tc>
          <w:tcPr>
            <w:tcW w:w="0" w:type="auto"/>
          </w:tcPr>
          <w:p w14:paraId="4CBB732E" w14:textId="77777777" w:rsidR="00513F25" w:rsidRDefault="00000000">
            <w:pPr>
              <w:pStyle w:val="Compact"/>
              <w:jc w:val="right"/>
            </w:pPr>
            <w:r>
              <w:t>-9.60</w:t>
            </w:r>
          </w:p>
        </w:tc>
        <w:tc>
          <w:tcPr>
            <w:tcW w:w="0" w:type="auto"/>
          </w:tcPr>
          <w:p w14:paraId="4E3E8C98" w14:textId="77777777" w:rsidR="00513F25" w:rsidRDefault="00000000">
            <w:pPr>
              <w:pStyle w:val="Compact"/>
              <w:jc w:val="right"/>
            </w:pPr>
            <w:r>
              <w:t>-14.540</w:t>
            </w:r>
          </w:p>
        </w:tc>
        <w:tc>
          <w:tcPr>
            <w:tcW w:w="0" w:type="auto"/>
          </w:tcPr>
          <w:p w14:paraId="50A477BD" w14:textId="77777777" w:rsidR="00513F25" w:rsidRDefault="00000000">
            <w:pPr>
              <w:pStyle w:val="Compact"/>
              <w:jc w:val="right"/>
            </w:pPr>
            <w:r>
              <w:t>-19.48</w:t>
            </w:r>
          </w:p>
        </w:tc>
        <w:tc>
          <w:tcPr>
            <w:tcW w:w="0" w:type="auto"/>
          </w:tcPr>
          <w:p w14:paraId="5092634D" w14:textId="77777777" w:rsidR="00513F25" w:rsidRDefault="00000000">
            <w:pPr>
              <w:pStyle w:val="Compact"/>
              <w:jc w:val="right"/>
            </w:pPr>
            <w:r>
              <w:t>4.25e+13</w:t>
            </w:r>
          </w:p>
        </w:tc>
        <w:tc>
          <w:tcPr>
            <w:tcW w:w="0" w:type="auto"/>
          </w:tcPr>
          <w:p w14:paraId="1AF8726B" w14:textId="77777777" w:rsidR="00513F25" w:rsidRDefault="00000000">
            <w:pPr>
              <w:pStyle w:val="Compact"/>
              <w:jc w:val="right"/>
            </w:pPr>
            <w:r>
              <w:t>0.083</w:t>
            </w:r>
          </w:p>
        </w:tc>
      </w:tr>
      <w:tr w:rsidR="00513F25" w14:paraId="1BC08D72" w14:textId="77777777">
        <w:tc>
          <w:tcPr>
            <w:tcW w:w="0" w:type="auto"/>
          </w:tcPr>
          <w:p w14:paraId="5FB3B5BE" w14:textId="77777777" w:rsidR="00513F25" w:rsidRDefault="00000000">
            <w:pPr>
              <w:pStyle w:val="Compact"/>
              <w:jc w:val="right"/>
            </w:pPr>
            <w:r>
              <w:lastRenderedPageBreak/>
              <w:t>9</w:t>
            </w:r>
          </w:p>
        </w:tc>
        <w:tc>
          <w:tcPr>
            <w:tcW w:w="0" w:type="auto"/>
          </w:tcPr>
          <w:p w14:paraId="0C50318A" w14:textId="77777777" w:rsidR="00513F25" w:rsidRDefault="00000000">
            <w:pPr>
              <w:pStyle w:val="Compact"/>
              <w:jc w:val="right"/>
            </w:pPr>
            <w:r>
              <w:t>-19.48</w:t>
            </w:r>
          </w:p>
        </w:tc>
        <w:tc>
          <w:tcPr>
            <w:tcW w:w="0" w:type="auto"/>
          </w:tcPr>
          <w:p w14:paraId="7B8923BE" w14:textId="77777777" w:rsidR="00513F25" w:rsidRDefault="00000000">
            <w:pPr>
              <w:pStyle w:val="Compact"/>
              <w:jc w:val="right"/>
            </w:pPr>
            <w:r>
              <w:t>-24.745</w:t>
            </w:r>
          </w:p>
        </w:tc>
        <w:tc>
          <w:tcPr>
            <w:tcW w:w="0" w:type="auto"/>
          </w:tcPr>
          <w:p w14:paraId="572D1B18" w14:textId="77777777" w:rsidR="00513F25" w:rsidRDefault="00000000">
            <w:pPr>
              <w:pStyle w:val="Compact"/>
              <w:jc w:val="right"/>
            </w:pPr>
            <w:r>
              <w:t>-30.01</w:t>
            </w:r>
          </w:p>
        </w:tc>
        <w:tc>
          <w:tcPr>
            <w:tcW w:w="0" w:type="auto"/>
          </w:tcPr>
          <w:p w14:paraId="78755749" w14:textId="77777777" w:rsidR="00513F25" w:rsidRDefault="00000000">
            <w:pPr>
              <w:pStyle w:val="Compact"/>
              <w:jc w:val="right"/>
            </w:pPr>
            <w:r>
              <w:t>4.25e+13</w:t>
            </w:r>
          </w:p>
        </w:tc>
        <w:tc>
          <w:tcPr>
            <w:tcW w:w="0" w:type="auto"/>
          </w:tcPr>
          <w:p w14:paraId="48A2771E" w14:textId="77777777" w:rsidR="00513F25" w:rsidRDefault="00000000">
            <w:pPr>
              <w:pStyle w:val="Compact"/>
              <w:jc w:val="right"/>
            </w:pPr>
            <w:r>
              <w:t>0.083</w:t>
            </w:r>
          </w:p>
        </w:tc>
      </w:tr>
      <w:tr w:rsidR="00513F25" w14:paraId="10AEE15F" w14:textId="77777777">
        <w:tc>
          <w:tcPr>
            <w:tcW w:w="0" w:type="auto"/>
          </w:tcPr>
          <w:p w14:paraId="44FF1632" w14:textId="77777777" w:rsidR="00513F25" w:rsidRDefault="00000000">
            <w:pPr>
              <w:pStyle w:val="Compact"/>
              <w:jc w:val="right"/>
            </w:pPr>
            <w:r>
              <w:t>10</w:t>
            </w:r>
          </w:p>
        </w:tc>
        <w:tc>
          <w:tcPr>
            <w:tcW w:w="0" w:type="auto"/>
          </w:tcPr>
          <w:p w14:paraId="09035675" w14:textId="77777777" w:rsidR="00513F25" w:rsidRDefault="00000000">
            <w:pPr>
              <w:pStyle w:val="Compact"/>
              <w:jc w:val="right"/>
            </w:pPr>
            <w:r>
              <w:t>-30.01</w:t>
            </w:r>
          </w:p>
        </w:tc>
        <w:tc>
          <w:tcPr>
            <w:tcW w:w="0" w:type="auto"/>
          </w:tcPr>
          <w:p w14:paraId="60187542" w14:textId="77777777" w:rsidR="00513F25" w:rsidRDefault="00000000">
            <w:pPr>
              <w:pStyle w:val="Compact"/>
              <w:jc w:val="right"/>
            </w:pPr>
            <w:r>
              <w:t>-35.920</w:t>
            </w:r>
          </w:p>
        </w:tc>
        <w:tc>
          <w:tcPr>
            <w:tcW w:w="0" w:type="auto"/>
          </w:tcPr>
          <w:p w14:paraId="25574C01" w14:textId="77777777" w:rsidR="00513F25" w:rsidRDefault="00000000">
            <w:pPr>
              <w:pStyle w:val="Compact"/>
              <w:jc w:val="right"/>
            </w:pPr>
            <w:r>
              <w:t>-41.83</w:t>
            </w:r>
          </w:p>
        </w:tc>
        <w:tc>
          <w:tcPr>
            <w:tcW w:w="0" w:type="auto"/>
          </w:tcPr>
          <w:p w14:paraId="210B92D7" w14:textId="77777777" w:rsidR="00513F25" w:rsidRDefault="00000000">
            <w:pPr>
              <w:pStyle w:val="Compact"/>
              <w:jc w:val="right"/>
            </w:pPr>
            <w:r>
              <w:t>4.25e+13</w:t>
            </w:r>
          </w:p>
        </w:tc>
        <w:tc>
          <w:tcPr>
            <w:tcW w:w="0" w:type="auto"/>
          </w:tcPr>
          <w:p w14:paraId="540CF8BA" w14:textId="77777777" w:rsidR="00513F25" w:rsidRDefault="00000000">
            <w:pPr>
              <w:pStyle w:val="Compact"/>
              <w:jc w:val="right"/>
            </w:pPr>
            <w:r>
              <w:t>0.083</w:t>
            </w:r>
          </w:p>
        </w:tc>
      </w:tr>
      <w:tr w:rsidR="00513F25" w14:paraId="26296EEE" w14:textId="77777777">
        <w:tc>
          <w:tcPr>
            <w:tcW w:w="0" w:type="auto"/>
          </w:tcPr>
          <w:p w14:paraId="2008BF46" w14:textId="77777777" w:rsidR="00513F25" w:rsidRDefault="00000000">
            <w:pPr>
              <w:pStyle w:val="Compact"/>
              <w:jc w:val="right"/>
            </w:pPr>
            <w:r>
              <w:t>11</w:t>
            </w:r>
          </w:p>
        </w:tc>
        <w:tc>
          <w:tcPr>
            <w:tcW w:w="0" w:type="auto"/>
          </w:tcPr>
          <w:p w14:paraId="0A9E9808" w14:textId="77777777" w:rsidR="00513F25" w:rsidRDefault="00000000">
            <w:pPr>
              <w:pStyle w:val="Compact"/>
              <w:jc w:val="right"/>
            </w:pPr>
            <w:r>
              <w:t>-41.83</w:t>
            </w:r>
          </w:p>
        </w:tc>
        <w:tc>
          <w:tcPr>
            <w:tcW w:w="0" w:type="auto"/>
          </w:tcPr>
          <w:p w14:paraId="013B15D8" w14:textId="77777777" w:rsidR="00513F25" w:rsidRDefault="00000000">
            <w:pPr>
              <w:pStyle w:val="Compact"/>
              <w:jc w:val="right"/>
            </w:pPr>
            <w:r>
              <w:t>-49.150</w:t>
            </w:r>
          </w:p>
        </w:tc>
        <w:tc>
          <w:tcPr>
            <w:tcW w:w="0" w:type="auto"/>
          </w:tcPr>
          <w:p w14:paraId="52C1B604" w14:textId="77777777" w:rsidR="00513F25" w:rsidRDefault="00000000">
            <w:pPr>
              <w:pStyle w:val="Compact"/>
              <w:jc w:val="right"/>
            </w:pPr>
            <w:r>
              <w:t>-56.47</w:t>
            </w:r>
          </w:p>
        </w:tc>
        <w:tc>
          <w:tcPr>
            <w:tcW w:w="0" w:type="auto"/>
          </w:tcPr>
          <w:p w14:paraId="6C709A48" w14:textId="77777777" w:rsidR="00513F25" w:rsidRDefault="00000000">
            <w:pPr>
              <w:pStyle w:val="Compact"/>
              <w:jc w:val="right"/>
            </w:pPr>
            <w:r>
              <w:t>4.25e+13</w:t>
            </w:r>
          </w:p>
        </w:tc>
        <w:tc>
          <w:tcPr>
            <w:tcW w:w="0" w:type="auto"/>
          </w:tcPr>
          <w:p w14:paraId="36DBB7DD" w14:textId="77777777" w:rsidR="00513F25" w:rsidRDefault="00000000">
            <w:pPr>
              <w:pStyle w:val="Compact"/>
              <w:jc w:val="right"/>
            </w:pPr>
            <w:r>
              <w:t>0.083</w:t>
            </w:r>
          </w:p>
        </w:tc>
      </w:tr>
      <w:tr w:rsidR="00513F25" w14:paraId="0A756B15" w14:textId="77777777">
        <w:tc>
          <w:tcPr>
            <w:tcW w:w="0" w:type="auto"/>
          </w:tcPr>
          <w:p w14:paraId="1E916B8B" w14:textId="77777777" w:rsidR="00513F25" w:rsidRDefault="00000000">
            <w:pPr>
              <w:pStyle w:val="Compact"/>
              <w:jc w:val="right"/>
            </w:pPr>
            <w:r>
              <w:t>12</w:t>
            </w:r>
          </w:p>
        </w:tc>
        <w:tc>
          <w:tcPr>
            <w:tcW w:w="0" w:type="auto"/>
          </w:tcPr>
          <w:p w14:paraId="4BD7671F" w14:textId="77777777" w:rsidR="00513F25" w:rsidRDefault="00000000">
            <w:pPr>
              <w:pStyle w:val="Compact"/>
              <w:jc w:val="right"/>
            </w:pPr>
            <w:r>
              <w:t>-56.47</w:t>
            </w:r>
          </w:p>
        </w:tc>
        <w:tc>
          <w:tcPr>
            <w:tcW w:w="0" w:type="auto"/>
          </w:tcPr>
          <w:p w14:paraId="219BEFDF" w14:textId="77777777" w:rsidR="00513F25" w:rsidRDefault="00000000">
            <w:pPr>
              <w:pStyle w:val="Compact"/>
              <w:jc w:val="right"/>
            </w:pPr>
            <w:r>
              <w:t>-73.235</w:t>
            </w:r>
          </w:p>
        </w:tc>
        <w:tc>
          <w:tcPr>
            <w:tcW w:w="0" w:type="auto"/>
          </w:tcPr>
          <w:p w14:paraId="764E0F28" w14:textId="77777777" w:rsidR="00513F25" w:rsidRDefault="00000000">
            <w:pPr>
              <w:pStyle w:val="Compact"/>
              <w:jc w:val="right"/>
            </w:pPr>
            <w:r>
              <w:t>-90.00</w:t>
            </w:r>
          </w:p>
        </w:tc>
        <w:tc>
          <w:tcPr>
            <w:tcW w:w="0" w:type="auto"/>
          </w:tcPr>
          <w:p w14:paraId="2BA866DF" w14:textId="77777777" w:rsidR="00513F25" w:rsidRDefault="00000000">
            <w:pPr>
              <w:pStyle w:val="Compact"/>
              <w:jc w:val="right"/>
            </w:pPr>
            <w:r>
              <w:t>4.24e+13</w:t>
            </w:r>
          </w:p>
        </w:tc>
        <w:tc>
          <w:tcPr>
            <w:tcW w:w="0" w:type="auto"/>
          </w:tcPr>
          <w:p w14:paraId="767F3DDE" w14:textId="77777777" w:rsidR="00513F25" w:rsidRDefault="00000000">
            <w:pPr>
              <w:pStyle w:val="Compact"/>
              <w:jc w:val="right"/>
            </w:pPr>
            <w:r>
              <w:t>0.083</w:t>
            </w:r>
          </w:p>
        </w:tc>
      </w:tr>
    </w:tbl>
    <w:p w14:paraId="5599BACD" w14:textId="77777777" w:rsidR="00513F25" w:rsidRDefault="00000000">
      <w:pPr>
        <w:pStyle w:val="Titre2"/>
      </w:pPr>
      <w:bookmarkStart w:id="9" w:name="Xbec1fd9d70890d433f0a87fbd96db165b051299"/>
      <w:bookmarkEnd w:id="7"/>
      <w:bookmarkEnd w:id="8"/>
      <w:r>
        <w:t>Quantifying the latitudinal biodiveristy gradient</w:t>
      </w:r>
    </w:p>
    <w:p w14:paraId="05A030D4" w14:textId="77777777" w:rsidR="00513F25" w:rsidRDefault="00000000">
      <w:pPr>
        <w:pStyle w:val="Compact"/>
        <w:numPr>
          <w:ilvl w:val="0"/>
          <w:numId w:val="14"/>
        </w:numPr>
      </w:pPr>
      <w:r>
        <w:t>Metrics used to quantify the gradient</w:t>
      </w:r>
    </w:p>
    <w:p w14:paraId="6D7DED22" w14:textId="77777777" w:rsidR="00513F25" w:rsidRDefault="00000000">
      <w:pPr>
        <w:pStyle w:val="Titre1"/>
      </w:pPr>
      <w:bookmarkStart w:id="10" w:name="results-600-words"/>
      <w:bookmarkEnd w:id="4"/>
      <w:bookmarkEnd w:id="9"/>
      <w:r>
        <w:t>Results (600 words)</w:t>
      </w:r>
    </w:p>
    <w:p w14:paraId="12FF336E" w14:textId="77777777" w:rsidR="00513F25" w:rsidRDefault="00000000">
      <w:pPr>
        <w:pStyle w:val="Compact"/>
        <w:numPr>
          <w:ilvl w:val="0"/>
          <w:numId w:val="15"/>
        </w:numPr>
      </w:pPr>
      <w:r>
        <w:t>Summary of reconstructions (could all points be reconstructed for each model?)</w:t>
      </w:r>
    </w:p>
    <w:p w14:paraId="6364C306" w14:textId="77777777" w:rsidR="00513F25" w:rsidRDefault="00000000">
      <w:pPr>
        <w:pStyle w:val="Compact"/>
        <w:numPr>
          <w:ilvl w:val="0"/>
          <w:numId w:val="15"/>
        </w:numPr>
      </w:pPr>
      <w:r>
        <w:t>Summary of results from metrics, do different gradients emerge?</w:t>
      </w:r>
    </w:p>
    <w:p w14:paraId="2B9AA2A2" w14:textId="77777777" w:rsidR="00513F25" w:rsidRDefault="00000000">
      <w:pPr>
        <w:pStyle w:val="Titre1"/>
      </w:pPr>
      <w:bookmarkStart w:id="11" w:name="discussion-700-words"/>
      <w:bookmarkEnd w:id="10"/>
      <w:r>
        <w:t>Discussion (700 words)</w:t>
      </w:r>
    </w:p>
    <w:p w14:paraId="665DF871" w14:textId="77777777" w:rsidR="00513F25" w:rsidRDefault="00000000">
      <w:pPr>
        <w:pStyle w:val="Compact"/>
        <w:numPr>
          <w:ilvl w:val="0"/>
          <w:numId w:val="16"/>
        </w:numPr>
      </w:pPr>
      <w:r>
        <w:t>Recap on importance of GPMs for deep time macroecology?</w:t>
      </w:r>
    </w:p>
    <w:p w14:paraId="3E10EDDA" w14:textId="77777777" w:rsidR="00513F25" w:rsidRDefault="00000000">
      <w:pPr>
        <w:pStyle w:val="Compact"/>
        <w:numPr>
          <w:ilvl w:val="0"/>
          <w:numId w:val="16"/>
        </w:numPr>
      </w:pPr>
      <w:r>
        <w:t>What have we shown?</w:t>
      </w:r>
    </w:p>
    <w:p w14:paraId="2A81A621" w14:textId="77777777" w:rsidR="00513F25" w:rsidRDefault="00000000">
      <w:pPr>
        <w:pStyle w:val="Compact"/>
        <w:numPr>
          <w:ilvl w:val="0"/>
          <w:numId w:val="16"/>
        </w:numPr>
      </w:pPr>
      <w:r>
        <w:t>Are some times or areas more problematic than others?</w:t>
      </w:r>
    </w:p>
    <w:p w14:paraId="4ACF02F9" w14:textId="77777777" w:rsidR="00513F25" w:rsidRDefault="00000000">
      <w:pPr>
        <w:pStyle w:val="Compact"/>
        <w:numPr>
          <w:ilvl w:val="0"/>
          <w:numId w:val="16"/>
        </w:numPr>
      </w:pPr>
      <w:r>
        <w:t>Importance for other fields beyond palaeobiology?</w:t>
      </w:r>
    </w:p>
    <w:p w14:paraId="02B1F323" w14:textId="77777777" w:rsidR="00513F25" w:rsidRDefault="00000000">
      <w:pPr>
        <w:pStyle w:val="Compact"/>
        <w:numPr>
          <w:ilvl w:val="0"/>
          <w:numId w:val="16"/>
        </w:numPr>
      </w:pPr>
      <w:r>
        <w:t>Consider importance of GPM choice in future work… or not?</w:t>
      </w:r>
    </w:p>
    <w:p w14:paraId="7FC92FAC" w14:textId="77777777" w:rsidR="00513F25" w:rsidRDefault="00000000">
      <w:pPr>
        <w:pStyle w:val="Titre1"/>
      </w:pPr>
      <w:bookmarkStart w:id="12" w:name="data-accessibility"/>
      <w:bookmarkEnd w:id="11"/>
      <w:r>
        <w:t>Data accessibility</w:t>
      </w:r>
    </w:p>
    <w:p w14:paraId="6436CEE6" w14:textId="77777777" w:rsidR="00513F25" w:rsidRDefault="00000000">
      <w:pPr>
        <w:pStyle w:val="Titre1"/>
      </w:pPr>
      <w:bookmarkStart w:id="13" w:name="authors-contributions"/>
      <w:bookmarkEnd w:id="12"/>
      <w:r>
        <w:t>Authors’ contributions</w:t>
      </w:r>
    </w:p>
    <w:p w14:paraId="25AC303D" w14:textId="77777777" w:rsidR="00513F25" w:rsidRDefault="00000000">
      <w:pPr>
        <w:pStyle w:val="Titre1"/>
      </w:pPr>
      <w:bookmarkStart w:id="14" w:name="funding"/>
      <w:bookmarkEnd w:id="13"/>
      <w:r>
        <w:t>Funding</w:t>
      </w:r>
    </w:p>
    <w:p w14:paraId="59C3501A" w14:textId="77777777" w:rsidR="00513F25" w:rsidRDefault="00000000">
      <w:pPr>
        <w:pStyle w:val="Titre1"/>
      </w:pPr>
      <w:bookmarkStart w:id="15" w:name="acknowledgements"/>
      <w:bookmarkEnd w:id="14"/>
      <w:r>
        <w:t>Acknowledgements</w:t>
      </w:r>
    </w:p>
    <w:p w14:paraId="34E4DB46" w14:textId="77777777" w:rsidR="00513F25" w:rsidRPr="00A80B78" w:rsidRDefault="00000000">
      <w:pPr>
        <w:pStyle w:val="Titre1"/>
        <w:rPr>
          <w:lang w:val="fr-FR"/>
        </w:rPr>
      </w:pPr>
      <w:bookmarkStart w:id="16" w:name="references"/>
      <w:bookmarkEnd w:id="15"/>
      <w:proofErr w:type="spellStart"/>
      <w:r w:rsidRPr="00A80B78">
        <w:rPr>
          <w:lang w:val="fr-FR"/>
        </w:rPr>
        <w:t>References</w:t>
      </w:r>
      <w:proofErr w:type="spellEnd"/>
    </w:p>
    <w:p w14:paraId="4ABCE080" w14:textId="77777777" w:rsidR="00513F25" w:rsidRDefault="00000000">
      <w:pPr>
        <w:pStyle w:val="Bibliographie"/>
      </w:pPr>
      <w:bookmarkStart w:id="17" w:name="ref-humboldt1807"/>
      <w:bookmarkStart w:id="18" w:name="refs"/>
      <w:r w:rsidRPr="00A80B78">
        <w:rPr>
          <w:lang w:val="fr-FR"/>
        </w:rPr>
        <w:t xml:space="preserve">1. </w:t>
      </w:r>
      <w:r w:rsidRPr="00A80B78">
        <w:rPr>
          <w:lang w:val="fr-FR"/>
        </w:rPr>
        <w:tab/>
        <w:t xml:space="preserve">Humboldt A von, Bonpland A. 1807 </w:t>
      </w:r>
      <w:r w:rsidRPr="00A80B78">
        <w:rPr>
          <w:i/>
          <w:iCs/>
          <w:lang w:val="fr-FR"/>
        </w:rPr>
        <w:t>Essai sur la géographie des plantes; accompagne d’un tableau physique des régions équinoxiales</w:t>
      </w:r>
      <w:r w:rsidRPr="00A80B78">
        <w:rPr>
          <w:lang w:val="fr-FR"/>
        </w:rPr>
        <w:t xml:space="preserve">. </w:t>
      </w:r>
      <w:r>
        <w:t xml:space="preserve">Paris: Fr. Schoell. </w:t>
      </w:r>
    </w:p>
    <w:p w14:paraId="4AFD60B2" w14:textId="77777777" w:rsidR="00513F25" w:rsidRDefault="00000000">
      <w:pPr>
        <w:pStyle w:val="Bibliographie"/>
      </w:pPr>
      <w:bookmarkStart w:id="19" w:name="ref-willig2003"/>
      <w:bookmarkEnd w:id="17"/>
      <w:r>
        <w:lastRenderedPageBreak/>
        <w:t xml:space="preserve">2. </w:t>
      </w:r>
      <w:r>
        <w:tab/>
        <w:t xml:space="preserve">Willig MR, Kaufman DM, Stevens RD. 2003 Latitudinal gradients of biodiversity: Pattern, process, scale, and synthesis. </w:t>
      </w:r>
      <w:r>
        <w:rPr>
          <w:i/>
          <w:iCs/>
        </w:rPr>
        <w:t>Annual review of ecology, evolution, and systematics</w:t>
      </w:r>
      <w:r>
        <w:t xml:space="preserve"> </w:t>
      </w:r>
      <w:r>
        <w:rPr>
          <w:b/>
          <w:bCs/>
        </w:rPr>
        <w:t>34</w:t>
      </w:r>
      <w:r>
        <w:t>, 273309.</w:t>
      </w:r>
    </w:p>
    <w:p w14:paraId="75737077" w14:textId="77777777" w:rsidR="00513F25" w:rsidRDefault="00000000">
      <w:pPr>
        <w:pStyle w:val="Bibliographie"/>
      </w:pPr>
      <w:bookmarkStart w:id="20" w:name="ref-hillebrand2004"/>
      <w:bookmarkEnd w:id="19"/>
      <w:r>
        <w:t xml:space="preserve">3. </w:t>
      </w:r>
      <w:r>
        <w:tab/>
        <w:t xml:space="preserve">Hillebrand H. 2004 On the generality of the latitudinal diversity gradient. </w:t>
      </w:r>
      <w:r>
        <w:rPr>
          <w:i/>
          <w:iCs/>
        </w:rPr>
        <w:t>The American Naturalist</w:t>
      </w:r>
      <w:r>
        <w:t xml:space="preserve"> </w:t>
      </w:r>
      <w:r>
        <w:rPr>
          <w:b/>
          <w:bCs/>
        </w:rPr>
        <w:t>163</w:t>
      </w:r>
      <w:r>
        <w:t>, 192211.</w:t>
      </w:r>
    </w:p>
    <w:p w14:paraId="68AE8355" w14:textId="77777777" w:rsidR="00513F25" w:rsidRDefault="00000000">
      <w:pPr>
        <w:pStyle w:val="Bibliographie"/>
      </w:pPr>
      <w:bookmarkStart w:id="21" w:name="ref-mannion2014"/>
      <w:bookmarkEnd w:id="20"/>
      <w:r>
        <w:t xml:space="preserve">4. </w:t>
      </w:r>
      <w:r>
        <w:tab/>
        <w:t xml:space="preserve">Mannion PD, Upchurch P, Benson RBJ, Goswami A. 2014 The latitudinal biodiversity gradient through deep time. </w:t>
      </w:r>
      <w:r>
        <w:rPr>
          <w:i/>
          <w:iCs/>
        </w:rPr>
        <w:t>Trends in Ecology &amp; Evolution</w:t>
      </w:r>
      <w:r>
        <w:t xml:space="preserve"> </w:t>
      </w:r>
      <w:r>
        <w:rPr>
          <w:b/>
          <w:bCs/>
        </w:rPr>
        <w:t>29</w:t>
      </w:r>
      <w:r>
        <w:t>, 42–50. (doi:</w:t>
      </w:r>
      <w:hyperlink r:id="rId13">
        <w:r>
          <w:rPr>
            <w:rStyle w:val="Lienhypertexte"/>
          </w:rPr>
          <w:t>10.1016/j.tree.2013.09.012</w:t>
        </w:r>
      </w:hyperlink>
      <w:r>
        <w:t>)</w:t>
      </w:r>
    </w:p>
    <w:p w14:paraId="09F148B2" w14:textId="77777777" w:rsidR="00513F25" w:rsidRDefault="00000000">
      <w:pPr>
        <w:pStyle w:val="Bibliographie"/>
      </w:pPr>
      <w:bookmarkStart w:id="22" w:name="ref-roy2000"/>
      <w:bookmarkEnd w:id="21"/>
      <w:r>
        <w:t xml:space="preserve">5. </w:t>
      </w:r>
      <w:r>
        <w:tab/>
        <w:t xml:space="preserve">Roy K, Jablonski D, Valentine JW. 2000 </w:t>
      </w:r>
      <w:hyperlink r:id="rId14">
        <w:r>
          <w:rPr>
            <w:rStyle w:val="Lienhypertexte"/>
          </w:rPr>
          <w:t>Dissecting latitudinal diversity gradients: Functional groups and clades of marine bivalves.</w:t>
        </w:r>
      </w:hyperlink>
      <w:r>
        <w:t xml:space="preserve"> </w:t>
      </w:r>
      <w:r>
        <w:rPr>
          <w:i/>
          <w:iCs/>
        </w:rPr>
        <w:t>Proceedings of the Royal Society B: Biological Sciences</w:t>
      </w:r>
      <w:r>
        <w:t xml:space="preserve"> </w:t>
      </w:r>
      <w:r>
        <w:rPr>
          <w:b/>
          <w:bCs/>
        </w:rPr>
        <w:t>267</w:t>
      </w:r>
      <w:r>
        <w:t>, 293–299.</w:t>
      </w:r>
    </w:p>
    <w:p w14:paraId="087E8EF6" w14:textId="77777777" w:rsidR="00513F25" w:rsidRDefault="00000000">
      <w:pPr>
        <w:pStyle w:val="Bibliographie"/>
      </w:pPr>
      <w:bookmarkStart w:id="23" w:name="ref-valentine2015"/>
      <w:bookmarkEnd w:id="22"/>
      <w:r>
        <w:t xml:space="preserve">6. </w:t>
      </w:r>
      <w:r>
        <w:tab/>
        <w:t xml:space="preserve">Valentine JW, Jablonski D. 2015 A twofold role for global energy gradients in marine biodiversity trends. </w:t>
      </w:r>
      <w:r>
        <w:rPr>
          <w:i/>
          <w:iCs/>
        </w:rPr>
        <w:t>Journal of Biogeography</w:t>
      </w:r>
      <w:r>
        <w:t xml:space="preserve"> </w:t>
      </w:r>
      <w:r>
        <w:rPr>
          <w:b/>
          <w:bCs/>
        </w:rPr>
        <w:t>42</w:t>
      </w:r>
      <w:r>
        <w:t>, 997–1005. (doi:</w:t>
      </w:r>
      <w:hyperlink r:id="rId15">
        <w:r>
          <w:rPr>
            <w:rStyle w:val="Lienhypertexte"/>
          </w:rPr>
          <w:t>10.1111/jbi.12515</w:t>
        </w:r>
      </w:hyperlink>
      <w:r>
        <w:t>)</w:t>
      </w:r>
    </w:p>
    <w:p w14:paraId="7A3F32FA" w14:textId="77777777" w:rsidR="00513F25" w:rsidRDefault="00000000">
      <w:pPr>
        <w:pStyle w:val="Bibliographie"/>
      </w:pPr>
      <w:bookmarkStart w:id="24" w:name="ref-rose2011"/>
      <w:bookmarkEnd w:id="23"/>
      <w:r>
        <w:t xml:space="preserve">7. </w:t>
      </w:r>
      <w:r>
        <w:tab/>
        <w:t xml:space="preserve">Rose PJ, Fox DL, Marcot J, Badgley C. 2011 Flat latitudinal gradient in Paleocene mammal richness suggests decoupling of climate and biodiversity. </w:t>
      </w:r>
      <w:r>
        <w:rPr>
          <w:i/>
          <w:iCs/>
        </w:rPr>
        <w:t>Geology</w:t>
      </w:r>
      <w:r>
        <w:t xml:space="preserve"> </w:t>
      </w:r>
      <w:r>
        <w:rPr>
          <w:b/>
          <w:bCs/>
        </w:rPr>
        <w:t>39</w:t>
      </w:r>
      <w:r>
        <w:t>, 163–166. (doi:</w:t>
      </w:r>
      <w:hyperlink r:id="rId16">
        <w:r>
          <w:rPr>
            <w:rStyle w:val="Lienhypertexte"/>
          </w:rPr>
          <w:t>10.1130/G31099.1</w:t>
        </w:r>
      </w:hyperlink>
      <w:r>
        <w:t>)</w:t>
      </w:r>
    </w:p>
    <w:p w14:paraId="6593A930" w14:textId="77777777" w:rsidR="00513F25" w:rsidRDefault="00000000">
      <w:pPr>
        <w:pStyle w:val="Bibliographie"/>
      </w:pPr>
      <w:bookmarkStart w:id="25" w:name="ref-mannion2012"/>
      <w:bookmarkEnd w:id="24"/>
      <w:r>
        <w:t xml:space="preserve">8. </w:t>
      </w:r>
      <w:r>
        <w:tab/>
        <w:t xml:space="preserve">Mannion PD, Benson RB, Upchurch P, Butler RJ, Carrano MT, Barrett PM. 2012 A temperate palaeodiversity peak in mesozoic dinosaurs and evidence for late cretaceous geographical partitioning. </w:t>
      </w:r>
      <w:r>
        <w:rPr>
          <w:i/>
          <w:iCs/>
        </w:rPr>
        <w:t>Global Ecology and Biogeography</w:t>
      </w:r>
      <w:r>
        <w:t xml:space="preserve"> </w:t>
      </w:r>
      <w:r>
        <w:rPr>
          <w:b/>
          <w:bCs/>
        </w:rPr>
        <w:t>21</w:t>
      </w:r>
      <w:r>
        <w:t>, 898908.</w:t>
      </w:r>
    </w:p>
    <w:p w14:paraId="6CCE86C1" w14:textId="77777777" w:rsidR="00513F25" w:rsidRDefault="00000000">
      <w:pPr>
        <w:pStyle w:val="Bibliographie"/>
      </w:pPr>
      <w:bookmarkStart w:id="26" w:name="ref-yasuhara2012"/>
      <w:bookmarkEnd w:id="25"/>
      <w:r>
        <w:t xml:space="preserve">9. </w:t>
      </w:r>
      <w:r>
        <w:tab/>
        <w:t xml:space="preserve">Yasuhara M, Hunt G, Dowsett HJ, Robinson MM, Stoll DK. 2012 Latitudinal species diversity gradient of marine zooplankton for the last three million years. </w:t>
      </w:r>
      <w:r>
        <w:rPr>
          <w:i/>
          <w:iCs/>
        </w:rPr>
        <w:t>Ecology Letters</w:t>
      </w:r>
      <w:r>
        <w:t xml:space="preserve"> </w:t>
      </w:r>
      <w:r>
        <w:rPr>
          <w:b/>
          <w:bCs/>
        </w:rPr>
        <w:t>15</w:t>
      </w:r>
      <w:r>
        <w:t>, 1174–1179. (doi:</w:t>
      </w:r>
      <w:hyperlink r:id="rId17">
        <w:r>
          <w:rPr>
            <w:rStyle w:val="Lienhypertexte"/>
          </w:rPr>
          <w:t>10.1111/j.1461-0248.2012.01828.x</w:t>
        </w:r>
      </w:hyperlink>
      <w:r>
        <w:t>)</w:t>
      </w:r>
    </w:p>
    <w:p w14:paraId="4A147EAB" w14:textId="77777777" w:rsidR="00513F25" w:rsidRDefault="00000000">
      <w:pPr>
        <w:pStyle w:val="Bibliographie"/>
      </w:pPr>
      <w:bookmarkStart w:id="27" w:name="ref-powell2015"/>
      <w:bookmarkEnd w:id="26"/>
      <w:r>
        <w:t xml:space="preserve">10. </w:t>
      </w:r>
      <w:r>
        <w:tab/>
        <w:t xml:space="preserve">Powell MG, Moore BR, Smith TJ. 2015 Origination, extinction, invasion, and extirpation components of the brachiopod latitudinal biodiversity gradient through the phanerozoic eon. </w:t>
      </w:r>
      <w:r>
        <w:rPr>
          <w:i/>
          <w:iCs/>
        </w:rPr>
        <w:t>Paleobiology</w:t>
      </w:r>
      <w:r>
        <w:t xml:space="preserve"> </w:t>
      </w:r>
      <w:r>
        <w:rPr>
          <w:b/>
          <w:bCs/>
        </w:rPr>
        <w:t>41</w:t>
      </w:r>
      <w:r>
        <w:t>, 330341.</w:t>
      </w:r>
    </w:p>
    <w:p w14:paraId="0F4C36F9" w14:textId="77777777" w:rsidR="00513F25" w:rsidRDefault="00000000">
      <w:pPr>
        <w:pStyle w:val="Bibliographie"/>
      </w:pPr>
      <w:bookmarkStart w:id="28" w:name="ref-nicholson2016"/>
      <w:bookmarkEnd w:id="27"/>
      <w:r>
        <w:t xml:space="preserve">11. </w:t>
      </w:r>
      <w:r>
        <w:tab/>
        <w:t xml:space="preserve">Nicholson DB, Holroyd PA, Valdes P, Barrett PM. 2016 Latitudinal diversity gradients in mesozoic non-marine turtles. </w:t>
      </w:r>
      <w:r>
        <w:rPr>
          <w:i/>
          <w:iCs/>
        </w:rPr>
        <w:t>Royal Society open science</w:t>
      </w:r>
      <w:r>
        <w:t xml:space="preserve"> </w:t>
      </w:r>
      <w:r>
        <w:rPr>
          <w:b/>
          <w:bCs/>
        </w:rPr>
        <w:t>3</w:t>
      </w:r>
      <w:r>
        <w:t>, 1–8.</w:t>
      </w:r>
    </w:p>
    <w:p w14:paraId="79E5A18E" w14:textId="77777777" w:rsidR="00513F25" w:rsidRDefault="00000000">
      <w:pPr>
        <w:pStyle w:val="Bibliographie"/>
      </w:pPr>
      <w:bookmarkStart w:id="29" w:name="ref-allen2020"/>
      <w:bookmarkEnd w:id="28"/>
      <w:r>
        <w:t xml:space="preserve">12. </w:t>
      </w:r>
      <w:r>
        <w:tab/>
        <w:t xml:space="preserve">Allen BJ, Wignall PB, Hill DJ, Saupe EE, Dunhill AM. 2020 The latitudinal diversity gradient of tetrapods across the permo-triassic mass extinction and recovery interval. </w:t>
      </w:r>
      <w:r>
        <w:rPr>
          <w:i/>
          <w:iCs/>
        </w:rPr>
        <w:t>Proceedings of the Royal Society B: Biological Sciences</w:t>
      </w:r>
      <w:r>
        <w:t xml:space="preserve"> </w:t>
      </w:r>
      <w:r>
        <w:rPr>
          <w:b/>
          <w:bCs/>
        </w:rPr>
        <w:t>287</w:t>
      </w:r>
      <w:r>
        <w:t>. (doi:</w:t>
      </w:r>
      <w:hyperlink r:id="rId18">
        <w:r>
          <w:rPr>
            <w:rStyle w:val="Lienhypertexte"/>
          </w:rPr>
          <w:t>10.1098/rspb.2020.1125</w:t>
        </w:r>
      </w:hyperlink>
      <w:r>
        <w:t>)</w:t>
      </w:r>
    </w:p>
    <w:p w14:paraId="7973C024" w14:textId="77777777" w:rsidR="00513F25" w:rsidRDefault="00000000">
      <w:pPr>
        <w:pStyle w:val="Bibliographie"/>
      </w:pPr>
      <w:bookmarkStart w:id="30" w:name="ref-song2020"/>
      <w:bookmarkEnd w:id="29"/>
      <w:r>
        <w:t xml:space="preserve">13. </w:t>
      </w:r>
      <w:r>
        <w:tab/>
        <w:t xml:space="preserve">Song H, Huang S, Jia E, Dai X, Wignall PB, Dunhill AM. 2020 Flat latitudinal diversity gradient caused by the PermianTriassic mass extinction. </w:t>
      </w:r>
      <w:r>
        <w:rPr>
          <w:i/>
          <w:iCs/>
        </w:rPr>
        <w:t>Proceedings of the National Academy of Sciences</w:t>
      </w:r>
      <w:r>
        <w:t>, 1–6. (doi:</w:t>
      </w:r>
      <w:hyperlink r:id="rId19">
        <w:r>
          <w:rPr>
            <w:rStyle w:val="Lienhypertexte"/>
          </w:rPr>
          <w:t>10.1073/pnas.1918953117</w:t>
        </w:r>
      </w:hyperlink>
      <w:r>
        <w:t>)</w:t>
      </w:r>
    </w:p>
    <w:p w14:paraId="689F1325" w14:textId="77777777" w:rsidR="00513F25" w:rsidRDefault="00000000">
      <w:pPr>
        <w:pStyle w:val="Bibliographie"/>
      </w:pPr>
      <w:bookmarkStart w:id="31" w:name="ref-zhang2022"/>
      <w:bookmarkEnd w:id="30"/>
      <w:r>
        <w:t xml:space="preserve">14. </w:t>
      </w:r>
      <w:r>
        <w:tab/>
        <w:t xml:space="preserve">Zhang S-H, Shen S-Z, Erwin DH. 2022 Latitudinal diversity gradient dynamics during carboniferous to triassic icehouse and greenhouse climates. </w:t>
      </w:r>
      <w:r>
        <w:rPr>
          <w:i/>
          <w:iCs/>
        </w:rPr>
        <w:t>Geology</w:t>
      </w:r>
      <w:r>
        <w:t xml:space="preserve"> </w:t>
      </w:r>
      <w:r>
        <w:rPr>
          <w:b/>
          <w:bCs/>
        </w:rPr>
        <w:t>50</w:t>
      </w:r>
      <w:r>
        <w:t>, 1166–1171. (doi:</w:t>
      </w:r>
      <w:hyperlink r:id="rId20">
        <w:r>
          <w:rPr>
            <w:rStyle w:val="Lienhypertexte"/>
          </w:rPr>
          <w:t>10.1130/G50110.1</w:t>
        </w:r>
      </w:hyperlink>
      <w:r>
        <w:t>)</w:t>
      </w:r>
    </w:p>
    <w:p w14:paraId="39AE6C33" w14:textId="77777777" w:rsidR="00513F25" w:rsidRDefault="00000000">
      <w:pPr>
        <w:pStyle w:val="Bibliographie"/>
      </w:pPr>
      <w:bookmarkStart w:id="32" w:name="ref-fenton2023"/>
      <w:bookmarkEnd w:id="31"/>
      <w:r>
        <w:t xml:space="preserve">15. </w:t>
      </w:r>
      <w:r>
        <w:tab/>
        <w:t xml:space="preserve">Fenton IS, Aze T, Farnsworth A, Valdes P, Saupe EE. 2023 Origination of the modern-style diversity gradient 15 million years ago. </w:t>
      </w:r>
      <w:r>
        <w:rPr>
          <w:i/>
          <w:iCs/>
        </w:rPr>
        <w:t>Nature</w:t>
      </w:r>
      <w:r>
        <w:t xml:space="preserve"> </w:t>
      </w:r>
      <w:r>
        <w:rPr>
          <w:b/>
          <w:bCs/>
        </w:rPr>
        <w:t>614</w:t>
      </w:r>
      <w:r>
        <w:t>, 708–712. (doi:</w:t>
      </w:r>
      <w:hyperlink r:id="rId21">
        <w:r>
          <w:rPr>
            <w:rStyle w:val="Lienhypertexte"/>
          </w:rPr>
          <w:t>10.1038/s41586-023-05712-6</w:t>
        </w:r>
      </w:hyperlink>
      <w:r>
        <w:t>)</w:t>
      </w:r>
    </w:p>
    <w:p w14:paraId="7379C0BC" w14:textId="77777777" w:rsidR="00513F25" w:rsidRDefault="00000000">
      <w:pPr>
        <w:pStyle w:val="Bibliographie"/>
      </w:pPr>
      <w:bookmarkStart w:id="33" w:name="ref-fenton2016"/>
      <w:bookmarkEnd w:id="32"/>
      <w:r>
        <w:t xml:space="preserve">16. </w:t>
      </w:r>
      <w:r>
        <w:tab/>
        <w:t xml:space="preserve">Fenton IS, Pearson PN, Dunkley Jones T, Farnsworth A, Lunt DJ, Markwick P, Purvis A. 2016 The impact of Cenozoic cooling on assemblage diversity in planktonic foraminifera. </w:t>
      </w:r>
      <w:r>
        <w:rPr>
          <w:i/>
          <w:iCs/>
        </w:rPr>
        <w:t>Philosophical Transactions of the Royal Society B: Biological Sciences</w:t>
      </w:r>
      <w:r>
        <w:t xml:space="preserve"> </w:t>
      </w:r>
      <w:r>
        <w:rPr>
          <w:b/>
          <w:bCs/>
        </w:rPr>
        <w:t>371</w:t>
      </w:r>
      <w:r>
        <w:t>, 1–12. (doi:</w:t>
      </w:r>
      <w:hyperlink r:id="rId22">
        <w:r>
          <w:rPr>
            <w:rStyle w:val="Lienhypertexte"/>
          </w:rPr>
          <w:t>10.1098/rstb.2015.0224</w:t>
        </w:r>
      </w:hyperlink>
      <w:r>
        <w:t>)</w:t>
      </w:r>
    </w:p>
    <w:p w14:paraId="20E3CED4" w14:textId="77777777" w:rsidR="00513F25" w:rsidRDefault="00000000">
      <w:pPr>
        <w:pStyle w:val="Bibliographie"/>
      </w:pPr>
      <w:bookmarkStart w:id="34" w:name="ref-marcot2016"/>
      <w:bookmarkEnd w:id="33"/>
      <w:r>
        <w:lastRenderedPageBreak/>
        <w:t xml:space="preserve">17. </w:t>
      </w:r>
      <w:r>
        <w:tab/>
        <w:t xml:space="preserve">Marcot JD, Fox DL, Niebuhr SR. 2016 Late cenozoic onset of the latitudinal diversity gradient of north american mammals. </w:t>
      </w:r>
      <w:r>
        <w:rPr>
          <w:i/>
          <w:iCs/>
        </w:rPr>
        <w:t>Proceedings of the National Academy of Sciences</w:t>
      </w:r>
      <w:r>
        <w:t xml:space="preserve"> </w:t>
      </w:r>
      <w:r>
        <w:rPr>
          <w:b/>
          <w:bCs/>
        </w:rPr>
        <w:t>113</w:t>
      </w:r>
      <w:r>
        <w:t>, 71897194.</w:t>
      </w:r>
    </w:p>
    <w:p w14:paraId="5E826F75" w14:textId="77777777" w:rsidR="00513F25" w:rsidRDefault="00000000">
      <w:pPr>
        <w:pStyle w:val="Bibliographie"/>
      </w:pPr>
      <w:bookmarkStart w:id="35" w:name="ref-kroger2018"/>
      <w:bookmarkEnd w:id="34"/>
      <w:r>
        <w:t xml:space="preserve">18. </w:t>
      </w:r>
      <w:r>
        <w:tab/>
        <w:t xml:space="preserve">Kröger B. 2018 Changes in the latitudinal diversity gradient during the great ordovician biodiversification event. </w:t>
      </w:r>
      <w:r>
        <w:rPr>
          <w:i/>
          <w:iCs/>
        </w:rPr>
        <w:t>Geology</w:t>
      </w:r>
      <w:r>
        <w:t xml:space="preserve"> </w:t>
      </w:r>
      <w:r>
        <w:rPr>
          <w:b/>
          <w:bCs/>
        </w:rPr>
        <w:t>46</w:t>
      </w:r>
      <w:r>
        <w:t>, 127130.</w:t>
      </w:r>
    </w:p>
    <w:p w14:paraId="4CFAD08B" w14:textId="77777777" w:rsidR="00513F25" w:rsidRDefault="00000000">
      <w:pPr>
        <w:pStyle w:val="Bibliographie"/>
      </w:pPr>
      <w:bookmarkStart w:id="36" w:name="ref-kiessling2012"/>
      <w:bookmarkEnd w:id="35"/>
      <w:r>
        <w:t xml:space="preserve">19. </w:t>
      </w:r>
      <w:r>
        <w:tab/>
        <w:t xml:space="preserve">Kiessling W, Simpson C, Beck B, Mewis H, Pandolfi JM. 2012 Equatorial decline of reef corals during the last Pleistocene interglacial. </w:t>
      </w:r>
      <w:r>
        <w:rPr>
          <w:i/>
          <w:iCs/>
        </w:rPr>
        <w:t>Proceedings of the National Academy of Sciences</w:t>
      </w:r>
      <w:r>
        <w:t xml:space="preserve"> </w:t>
      </w:r>
      <w:r>
        <w:rPr>
          <w:b/>
          <w:bCs/>
        </w:rPr>
        <w:t>109</w:t>
      </w:r>
      <w:r>
        <w:t>, 21378–21383. (doi:</w:t>
      </w:r>
      <w:hyperlink r:id="rId23">
        <w:r>
          <w:rPr>
            <w:rStyle w:val="Lienhypertexte"/>
          </w:rPr>
          <w:t>10.1073/pnas.1214037110</w:t>
        </w:r>
      </w:hyperlink>
      <w:r>
        <w:t>)</w:t>
      </w:r>
    </w:p>
    <w:p w14:paraId="4D1F33B2" w14:textId="77777777" w:rsidR="00513F25" w:rsidRDefault="00000000">
      <w:pPr>
        <w:pStyle w:val="Bibliographie"/>
      </w:pPr>
      <w:bookmarkStart w:id="37" w:name="ref-dunne2020"/>
      <w:bookmarkEnd w:id="36"/>
      <w:r>
        <w:t xml:space="preserve">20. </w:t>
      </w:r>
      <w:r>
        <w:tab/>
        <w:t xml:space="preserve">Dunne EM, Farnsworth A, Greene SE, Lunt DJ, Butler RJ. 2020 Climatic drivers of latitudinal variation in Late Triassic tetrapod diversity. </w:t>
      </w:r>
      <w:r>
        <w:rPr>
          <w:i/>
          <w:iCs/>
        </w:rPr>
        <w:t>Palaeontology</w:t>
      </w:r>
      <w:r>
        <w:t xml:space="preserve"> </w:t>
      </w:r>
      <w:r>
        <w:rPr>
          <w:b/>
          <w:bCs/>
        </w:rPr>
        <w:t>64</w:t>
      </w:r>
      <w:r>
        <w:t>, 101–117. (doi:</w:t>
      </w:r>
      <w:hyperlink r:id="rId24">
        <w:r>
          <w:rPr>
            <w:rStyle w:val="Lienhypertexte"/>
          </w:rPr>
          <w:t>https://doi.org/10.1111/pala.12514</w:t>
        </w:r>
      </w:hyperlink>
      <w:r>
        <w:t>)</w:t>
      </w:r>
    </w:p>
    <w:p w14:paraId="410F0D47" w14:textId="77777777" w:rsidR="00513F25" w:rsidRDefault="00000000">
      <w:pPr>
        <w:pStyle w:val="Bibliographie"/>
      </w:pPr>
      <w:bookmarkStart w:id="38" w:name="ref-jones2021"/>
      <w:bookmarkEnd w:id="37"/>
      <w:r>
        <w:t xml:space="preserve">21. </w:t>
      </w:r>
      <w:r>
        <w:tab/>
        <w:t xml:space="preserve">Jones LA, Dean CD, Mannion PD, Farnsworth A, Allison PA. 2021 Spatial sampling heterogeneity limits the detectability of deep time latitudinal biodiversity gradients. </w:t>
      </w:r>
      <w:r>
        <w:rPr>
          <w:i/>
          <w:iCs/>
        </w:rPr>
        <w:t>Proceedings of the Royal Society B: Biological Sciences</w:t>
      </w:r>
      <w:r>
        <w:t xml:space="preserve"> </w:t>
      </w:r>
      <w:r>
        <w:rPr>
          <w:b/>
          <w:bCs/>
        </w:rPr>
        <w:t>288</w:t>
      </w:r>
      <w:r>
        <w:t>, 20202762. (doi:</w:t>
      </w:r>
      <w:hyperlink r:id="rId25">
        <w:r>
          <w:rPr>
            <w:rStyle w:val="Lienhypertexte"/>
          </w:rPr>
          <w:t>10.1098/rspb.2020.2762</w:t>
        </w:r>
      </w:hyperlink>
      <w:r>
        <w:t>)</w:t>
      </w:r>
    </w:p>
    <w:p w14:paraId="797D3FEB" w14:textId="77777777" w:rsidR="00513F25" w:rsidRDefault="00000000">
      <w:pPr>
        <w:pStyle w:val="Bibliographie"/>
      </w:pPr>
      <w:bookmarkStart w:id="39" w:name="ref-brocklehurst2017"/>
      <w:bookmarkEnd w:id="38"/>
      <w:r>
        <w:t xml:space="preserve">22. </w:t>
      </w:r>
      <w:r>
        <w:tab/>
        <w:t xml:space="preserve">Brocklehurst N, Day MO, Rubidge BS, Fröbisch J. 2017 Olson’s extinction and the latitudinal biodiversity gradient of tetrapods in the permian. </w:t>
      </w:r>
      <w:r>
        <w:rPr>
          <w:i/>
          <w:iCs/>
        </w:rPr>
        <w:t>Proceedings of the Royal Society B: Biological Sciences</w:t>
      </w:r>
      <w:r>
        <w:t xml:space="preserve"> </w:t>
      </w:r>
      <w:r>
        <w:rPr>
          <w:b/>
          <w:bCs/>
        </w:rPr>
        <w:t>284</w:t>
      </w:r>
      <w:r>
        <w:t>, 18.</w:t>
      </w:r>
    </w:p>
    <w:p w14:paraId="550A267C" w14:textId="77777777" w:rsidR="00513F25" w:rsidRDefault="00000000">
      <w:pPr>
        <w:pStyle w:val="Bibliographie"/>
      </w:pPr>
      <w:bookmarkStart w:id="40" w:name="ref-antell2020"/>
      <w:bookmarkEnd w:id="39"/>
      <w:r>
        <w:t xml:space="preserve">23. </w:t>
      </w:r>
      <w:r>
        <w:tab/>
        <w:t xml:space="preserve">Antell GS, Kiessling W, Aberhan M, Saupe EE. 2020 Marine Biodiversity and Geographic Distributions Are Independent on Large Scales. </w:t>
      </w:r>
      <w:r>
        <w:rPr>
          <w:i/>
          <w:iCs/>
        </w:rPr>
        <w:t>Current Biology</w:t>
      </w:r>
      <w:r>
        <w:t xml:space="preserve"> </w:t>
      </w:r>
      <w:r>
        <w:rPr>
          <w:b/>
          <w:bCs/>
        </w:rPr>
        <w:t>30</w:t>
      </w:r>
      <w:r>
        <w:t>, 115–121.e5. (doi:</w:t>
      </w:r>
      <w:hyperlink r:id="rId26">
        <w:r>
          <w:rPr>
            <w:rStyle w:val="Lienhypertexte"/>
          </w:rPr>
          <w:t>10.1016/j.cub.2019.10.065</w:t>
        </w:r>
      </w:hyperlink>
      <w:r>
        <w:t>)</w:t>
      </w:r>
    </w:p>
    <w:p w14:paraId="017356AA" w14:textId="77777777" w:rsidR="00513F25" w:rsidRDefault="00000000">
      <w:pPr>
        <w:pStyle w:val="Bibliographie"/>
      </w:pPr>
      <w:bookmarkStart w:id="41" w:name="ref-boag2021"/>
      <w:bookmarkEnd w:id="40"/>
      <w:r>
        <w:t xml:space="preserve">24. </w:t>
      </w:r>
      <w:r>
        <w:tab/>
        <w:t xml:space="preserve">Boag TH, Gearty W, Stockey RG. 2021 Metabolic tradeoffs control biodiversity gradients through geological time. </w:t>
      </w:r>
      <w:r>
        <w:rPr>
          <w:i/>
          <w:iCs/>
        </w:rPr>
        <w:t>Current Biology</w:t>
      </w:r>
      <w:r>
        <w:t xml:space="preserve"> </w:t>
      </w:r>
      <w:r>
        <w:rPr>
          <w:b/>
          <w:bCs/>
        </w:rPr>
        <w:t>31</w:t>
      </w:r>
      <w:r>
        <w:t>, 2906–2913.e3. (doi:</w:t>
      </w:r>
      <w:hyperlink r:id="rId27">
        <w:r>
          <w:rPr>
            <w:rStyle w:val="Lienhypertexte"/>
          </w:rPr>
          <w:t>10.1016/j.cub.2021.04.021</w:t>
        </w:r>
      </w:hyperlink>
      <w:r>
        <w:t>)</w:t>
      </w:r>
    </w:p>
    <w:p w14:paraId="40D075A6" w14:textId="77777777" w:rsidR="00513F25" w:rsidRDefault="00000000">
      <w:pPr>
        <w:pStyle w:val="Bibliographie"/>
      </w:pPr>
      <w:bookmarkStart w:id="42" w:name="ref-seton2012"/>
      <w:bookmarkEnd w:id="41"/>
      <w:r>
        <w:t xml:space="preserve">25. </w:t>
      </w:r>
      <w:r>
        <w:tab/>
        <w:t xml:space="preserve">Seton M </w:t>
      </w:r>
      <w:r>
        <w:rPr>
          <w:i/>
          <w:iCs/>
        </w:rPr>
        <w:t>et al.</w:t>
      </w:r>
      <w:r>
        <w:t xml:space="preserve"> 2012 Global continental and ocean basin reconstructions since 200 Ma. </w:t>
      </w:r>
      <w:r>
        <w:rPr>
          <w:i/>
          <w:iCs/>
        </w:rPr>
        <w:t>Earth-Science Reviews</w:t>
      </w:r>
      <w:r>
        <w:t xml:space="preserve"> </w:t>
      </w:r>
      <w:r>
        <w:rPr>
          <w:b/>
          <w:bCs/>
        </w:rPr>
        <w:t>113</w:t>
      </w:r>
      <w:r>
        <w:t>, 212–270. (doi:</w:t>
      </w:r>
      <w:hyperlink r:id="rId28">
        <w:r>
          <w:rPr>
            <w:rStyle w:val="Lienhypertexte"/>
          </w:rPr>
          <w:t>10.1016/j.earscirev.2012.03.002</w:t>
        </w:r>
      </w:hyperlink>
      <w:r>
        <w:t>)</w:t>
      </w:r>
    </w:p>
    <w:p w14:paraId="183E3C7F" w14:textId="77777777" w:rsidR="00513F25" w:rsidRDefault="00000000">
      <w:pPr>
        <w:pStyle w:val="Bibliographie"/>
      </w:pPr>
      <w:bookmarkStart w:id="43" w:name="ref-wright2013"/>
      <w:bookmarkEnd w:id="42"/>
      <w:r>
        <w:t xml:space="preserve">26. </w:t>
      </w:r>
      <w:r>
        <w:tab/>
        <w:t xml:space="preserve">Wright N, Zahirovic S, Müller RD, Seton M. 2013 Towards community-driven paleogeographic reconstructions: integrating open-access paleogeographic and paleobiology data with plate tectonics. </w:t>
      </w:r>
      <w:r>
        <w:rPr>
          <w:i/>
          <w:iCs/>
        </w:rPr>
        <w:t>Biogeosciences</w:t>
      </w:r>
      <w:r>
        <w:t xml:space="preserve"> </w:t>
      </w:r>
      <w:r>
        <w:rPr>
          <w:b/>
          <w:bCs/>
        </w:rPr>
        <w:t>10</w:t>
      </w:r>
      <w:r>
        <w:t>, 1529–1541. (doi:</w:t>
      </w:r>
      <w:hyperlink r:id="rId29">
        <w:r>
          <w:rPr>
            <w:rStyle w:val="Lienhypertexte"/>
          </w:rPr>
          <w:t>10.5194/bg-10-1529-2013</w:t>
        </w:r>
      </w:hyperlink>
      <w:r>
        <w:t>)</w:t>
      </w:r>
    </w:p>
    <w:p w14:paraId="26A39540" w14:textId="77777777" w:rsidR="00513F25" w:rsidRDefault="00000000">
      <w:pPr>
        <w:pStyle w:val="Bibliographie"/>
      </w:pPr>
      <w:bookmarkStart w:id="44" w:name="ref-scotese2018"/>
      <w:bookmarkEnd w:id="43"/>
      <w:r>
        <w:t xml:space="preserve">27. </w:t>
      </w:r>
      <w:r>
        <w:tab/>
        <w:t xml:space="preserve">Scotese C, Wright NM. 2018 </w:t>
      </w:r>
      <w:hyperlink r:id="rId30">
        <w:r>
          <w:rPr>
            <w:rStyle w:val="Lienhypertexte"/>
          </w:rPr>
          <w:t>PALEOMAP paleodigital elevation models (PaleoDEMs) for the phanerozoic PALEOMAP project</w:t>
        </w:r>
      </w:hyperlink>
      <w:r>
        <w:t xml:space="preserve">. </w:t>
      </w:r>
    </w:p>
    <w:p w14:paraId="6CA18C2B" w14:textId="77777777" w:rsidR="00513F25" w:rsidRDefault="00000000">
      <w:pPr>
        <w:pStyle w:val="Bibliographie"/>
      </w:pPr>
      <w:bookmarkStart w:id="45" w:name="ref-merdith2021"/>
      <w:bookmarkEnd w:id="44"/>
      <w:r>
        <w:t xml:space="preserve">28. </w:t>
      </w:r>
      <w:r>
        <w:tab/>
        <w:t xml:space="preserve">Merdith AS </w:t>
      </w:r>
      <w:r>
        <w:rPr>
          <w:i/>
          <w:iCs/>
        </w:rPr>
        <w:t>et al.</w:t>
      </w:r>
      <w:r>
        <w:t xml:space="preserve"> 2021 Extending full-plate tectonic models into deep time: Linking the neoproterozoic and the phanerozoic. </w:t>
      </w:r>
      <w:r>
        <w:rPr>
          <w:i/>
          <w:iCs/>
        </w:rPr>
        <w:t>Earth-Science Reviews</w:t>
      </w:r>
      <w:r>
        <w:t xml:space="preserve"> </w:t>
      </w:r>
      <w:r>
        <w:rPr>
          <w:b/>
          <w:bCs/>
        </w:rPr>
        <w:t>214</w:t>
      </w:r>
      <w:r>
        <w:t>, 103477.</w:t>
      </w:r>
    </w:p>
    <w:p w14:paraId="0C8B383F" w14:textId="77777777" w:rsidR="00513F25" w:rsidRDefault="00000000">
      <w:pPr>
        <w:pStyle w:val="Bibliographie"/>
      </w:pPr>
      <w:bookmarkStart w:id="46" w:name="ref-seton2023"/>
      <w:bookmarkEnd w:id="45"/>
      <w:r>
        <w:t xml:space="preserve">29. </w:t>
      </w:r>
      <w:r>
        <w:tab/>
        <w:t xml:space="preserve">Seton M, Williams SE, Domeier M, Collins AS, Sigloch K. 2023 Deconstructing plate tectonic reconstructions. </w:t>
      </w:r>
      <w:r>
        <w:rPr>
          <w:i/>
          <w:iCs/>
        </w:rPr>
        <w:t>Nature Reviews Earth &amp; Environment</w:t>
      </w:r>
      <w:r>
        <w:t>, 1–20. (doi:</w:t>
      </w:r>
      <w:hyperlink r:id="rId31">
        <w:r>
          <w:rPr>
            <w:rStyle w:val="Lienhypertexte"/>
          </w:rPr>
          <w:t>10.1038/s43017-022-00384-8</w:t>
        </w:r>
      </w:hyperlink>
      <w:r>
        <w:t>)</w:t>
      </w:r>
    </w:p>
    <w:p w14:paraId="53F98EA5" w14:textId="77777777" w:rsidR="00513F25" w:rsidRDefault="00000000">
      <w:pPr>
        <w:pStyle w:val="Bibliographie"/>
      </w:pPr>
      <w:bookmarkStart w:id="47" w:name="ref-boddy2022"/>
      <w:bookmarkEnd w:id="46"/>
      <w:r>
        <w:t xml:space="preserve">30. </w:t>
      </w:r>
      <w:r>
        <w:tab/>
        <w:t xml:space="preserve">Boddy CE, Mitchell EG, Merdith A, Liu AG. 2022 Palaeolatitudinal distribution of the Ediacaran macrobiota. </w:t>
      </w:r>
      <w:r>
        <w:rPr>
          <w:i/>
          <w:iCs/>
        </w:rPr>
        <w:t>Journal of the Geological Society</w:t>
      </w:r>
      <w:r>
        <w:t xml:space="preserve"> </w:t>
      </w:r>
      <w:r>
        <w:rPr>
          <w:b/>
          <w:bCs/>
        </w:rPr>
        <w:t>179</w:t>
      </w:r>
      <w:r>
        <w:t>, jgs2021–030. (doi:</w:t>
      </w:r>
      <w:hyperlink r:id="rId32">
        <w:r>
          <w:rPr>
            <w:rStyle w:val="Lienhypertexte"/>
          </w:rPr>
          <w:t>10.1144/jgs2021-030</w:t>
        </w:r>
      </w:hyperlink>
      <w:r>
        <w:t>)</w:t>
      </w:r>
    </w:p>
    <w:p w14:paraId="27E22DE7" w14:textId="77777777" w:rsidR="00513F25" w:rsidRDefault="00000000">
      <w:pPr>
        <w:pStyle w:val="Bibliographie"/>
      </w:pPr>
      <w:bookmarkStart w:id="48" w:name="ref-jones2022"/>
      <w:bookmarkEnd w:id="47"/>
      <w:r>
        <w:t xml:space="preserve">31. </w:t>
      </w:r>
      <w:r>
        <w:tab/>
        <w:t xml:space="preserve">Jones LA, Mannion PD, Farnsworth A, Bragg F, Lunt DJ. 2022 Climatic and tectonic drivers shaped the tropical distribution of coral reefs. </w:t>
      </w:r>
      <w:r>
        <w:rPr>
          <w:i/>
          <w:iCs/>
        </w:rPr>
        <w:t>Nature Communications</w:t>
      </w:r>
      <w:r>
        <w:t xml:space="preserve"> </w:t>
      </w:r>
      <w:r>
        <w:rPr>
          <w:b/>
          <w:bCs/>
        </w:rPr>
        <w:t>13</w:t>
      </w:r>
      <w:r>
        <w:t>, 3120. (doi:</w:t>
      </w:r>
      <w:hyperlink r:id="rId33">
        <w:r>
          <w:rPr>
            <w:rStyle w:val="Lienhypertexte"/>
          </w:rPr>
          <w:t>10.1038/s41467-022-30793-8</w:t>
        </w:r>
      </w:hyperlink>
      <w:r>
        <w:t>)</w:t>
      </w:r>
    </w:p>
    <w:p w14:paraId="2B07C837" w14:textId="77777777" w:rsidR="00513F25" w:rsidRDefault="00000000">
      <w:pPr>
        <w:pStyle w:val="Bibliographie"/>
      </w:pPr>
      <w:bookmarkStart w:id="49" w:name="ref-gradstein2020"/>
      <w:bookmarkEnd w:id="48"/>
      <w:r>
        <w:t xml:space="preserve">32. </w:t>
      </w:r>
      <w:r>
        <w:tab/>
        <w:t xml:space="preserve">Gradstein FM, Ogg JG, Schmitz MD, Ogg GM. 2020 </w:t>
      </w:r>
      <w:r>
        <w:rPr>
          <w:i/>
          <w:iCs/>
        </w:rPr>
        <w:t>Geologic time scale 2020</w:t>
      </w:r>
      <w:r>
        <w:t xml:space="preserve">. Elsevier. </w:t>
      </w:r>
    </w:p>
    <w:p w14:paraId="6498C2E4" w14:textId="77777777" w:rsidR="00513F25" w:rsidRDefault="00000000">
      <w:pPr>
        <w:pStyle w:val="Bibliographie"/>
      </w:pPr>
      <w:bookmarkStart w:id="50" w:name="ref-jones2023"/>
      <w:bookmarkEnd w:id="49"/>
      <w:r>
        <w:lastRenderedPageBreak/>
        <w:t xml:space="preserve">33. </w:t>
      </w:r>
      <w:r>
        <w:tab/>
        <w:t xml:space="preserve">Jones LA </w:t>
      </w:r>
      <w:r>
        <w:rPr>
          <w:i/>
          <w:iCs/>
        </w:rPr>
        <w:t>et al.</w:t>
      </w:r>
      <w:r>
        <w:t xml:space="preserve"> 2023 palaeoverse: a community-driven R package to support palaeobiological analysis. (doi:</w:t>
      </w:r>
      <w:hyperlink r:id="rId34">
        <w:r>
          <w:rPr>
            <w:rStyle w:val="Lienhypertexte"/>
          </w:rPr>
          <w:t>10.31223/X5Z94Q</w:t>
        </w:r>
      </w:hyperlink>
      <w:r>
        <w:t>)</w:t>
      </w:r>
      <w:bookmarkEnd w:id="16"/>
      <w:bookmarkEnd w:id="18"/>
      <w:bookmarkEnd w:id="50"/>
    </w:p>
    <w:sectPr w:rsidR="00513F25" w:rsidSect="00B138AE">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ucas Buffan" w:date="2023-03-13T09:52:00Z" w:initials="LB">
    <w:p w14:paraId="6C9BDF4F" w14:textId="77777777" w:rsidR="00A80B78" w:rsidRDefault="00A80B78" w:rsidP="004563FF">
      <w:pPr>
        <w:pStyle w:val="Commentaire"/>
      </w:pPr>
      <w:r>
        <w:rPr>
          <w:rStyle w:val="Marquedecommentaire"/>
        </w:rPr>
        <w:annotationRef/>
      </w:r>
      <w:r>
        <w:t>I wouldn't cite Mannion et al. 2014 here as you are starting by talking about the present. It would better fit when you start to introduce the "deep-time" part of LBG</w:t>
      </w:r>
    </w:p>
  </w:comment>
  <w:comment w:id="3" w:author="Lucas Buffan" w:date="2023-03-13T10:00:00Z" w:initials="LB">
    <w:p w14:paraId="7FDF9A72" w14:textId="77777777" w:rsidR="001D7E97" w:rsidRDefault="001D7E97" w:rsidP="00F42984">
      <w:pPr>
        <w:pStyle w:val="Commentaire"/>
      </w:pPr>
      <w:r>
        <w:rPr>
          <w:rStyle w:val="Marquedecommentaire"/>
        </w:rPr>
        <w:annotationRef/>
      </w:r>
      <w:r>
        <w:t>Repeated 6 times in 2 paragraphs. I suggest we switch to the 'GPM' abbreviation</w:t>
      </w:r>
    </w:p>
  </w:comment>
  <w:comment w:id="6" w:author="Lucas Buffan" w:date="2023-03-13T10:06:00Z" w:initials="LB">
    <w:p w14:paraId="4D26AEFD" w14:textId="77777777" w:rsidR="00BE0622" w:rsidRDefault="00BE0622" w:rsidP="00146E86">
      <w:pPr>
        <w:pStyle w:val="Commentaire"/>
      </w:pPr>
      <w:r>
        <w:rPr>
          <w:rStyle w:val="Marquedecommentaire"/>
        </w:rPr>
        <w:annotationRef/>
      </w:r>
      <w:r>
        <w:t>Didn't we say 90%? Anyway, not sure it really matters, we still have a fairly decent number of occurrences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BDF4F" w15:done="0"/>
  <w15:commentEx w15:paraId="7FDF9A72" w15:done="0"/>
  <w15:commentEx w15:paraId="4D26AE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70E0" w16cex:dateUtc="2023-03-13T08:52:00Z"/>
  <w16cex:commentExtensible w16cex:durableId="27B972BA" w16cex:dateUtc="2023-03-13T09:00:00Z"/>
  <w16cex:commentExtensible w16cex:durableId="27B97433" w16cex:dateUtc="2023-03-13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BDF4F" w16cid:durableId="27B970E0"/>
  <w16cid:commentId w16cid:paraId="7FDF9A72" w16cid:durableId="27B972BA"/>
  <w16cid:commentId w16cid:paraId="4D26AEFD" w16cid:durableId="27B974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C8AC4" w14:textId="77777777" w:rsidR="0066050F" w:rsidRDefault="0066050F">
      <w:pPr>
        <w:spacing w:after="0"/>
      </w:pPr>
      <w:r>
        <w:separator/>
      </w:r>
    </w:p>
  </w:endnote>
  <w:endnote w:type="continuationSeparator" w:id="0">
    <w:p w14:paraId="2616FDB5" w14:textId="77777777" w:rsidR="0066050F" w:rsidRDefault="00660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295FC" w14:textId="77777777" w:rsidR="0066050F" w:rsidRDefault="0066050F">
      <w:r>
        <w:separator/>
      </w:r>
    </w:p>
  </w:footnote>
  <w:footnote w:type="continuationSeparator" w:id="0">
    <w:p w14:paraId="7C230296" w14:textId="77777777" w:rsidR="0066050F" w:rsidRDefault="00660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0052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662F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6EA56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BF1297F0"/>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7896B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0CFE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183D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7C08C4"/>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9CEB7A"/>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DECCCAC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03845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B4BC2C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44607270">
    <w:abstractNumId w:val="10"/>
  </w:num>
  <w:num w:numId="2" w16cid:durableId="875895870">
    <w:abstractNumId w:val="0"/>
  </w:num>
  <w:num w:numId="3" w16cid:durableId="281620880">
    <w:abstractNumId w:val="1"/>
  </w:num>
  <w:num w:numId="4" w16cid:durableId="1773629339">
    <w:abstractNumId w:val="2"/>
  </w:num>
  <w:num w:numId="5" w16cid:durableId="685718076">
    <w:abstractNumId w:val="3"/>
  </w:num>
  <w:num w:numId="6" w16cid:durableId="1066300578">
    <w:abstractNumId w:val="8"/>
  </w:num>
  <w:num w:numId="7" w16cid:durableId="1142650266">
    <w:abstractNumId w:val="4"/>
  </w:num>
  <w:num w:numId="8" w16cid:durableId="1477378528">
    <w:abstractNumId w:val="5"/>
  </w:num>
  <w:num w:numId="9" w16cid:durableId="377513812">
    <w:abstractNumId w:val="6"/>
  </w:num>
  <w:num w:numId="10" w16cid:durableId="1512333186">
    <w:abstractNumId w:val="7"/>
  </w:num>
  <w:num w:numId="11" w16cid:durableId="1275287811">
    <w:abstractNumId w:val="9"/>
  </w:num>
  <w:num w:numId="12" w16cid:durableId="713575294">
    <w:abstractNumId w:val="10"/>
  </w:num>
  <w:num w:numId="13" w16cid:durableId="1463114673">
    <w:abstractNumId w:val="10"/>
  </w:num>
  <w:num w:numId="14" w16cid:durableId="1190072904">
    <w:abstractNumId w:val="11"/>
  </w:num>
  <w:num w:numId="15" w16cid:durableId="1746294686">
    <w:abstractNumId w:val="11"/>
  </w:num>
  <w:num w:numId="16" w16cid:durableId="15328355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uffan">
    <w15:presenceInfo w15:providerId="AD" w15:userId="S::lucas.buffan@etu.univ-lyon1.fr::2cfbdef3-aa85-4fa9-a02a-562d0fb866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25"/>
    <w:rsid w:val="000569EA"/>
    <w:rsid w:val="001D7E97"/>
    <w:rsid w:val="003C7DE2"/>
    <w:rsid w:val="00513F25"/>
    <w:rsid w:val="0066050F"/>
    <w:rsid w:val="007C2589"/>
    <w:rsid w:val="00983A1B"/>
    <w:rsid w:val="00A80B78"/>
    <w:rsid w:val="00B544F4"/>
    <w:rsid w:val="00BB416A"/>
    <w:rsid w:val="00BE0622"/>
    <w:rsid w:val="00C82C9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CD01"/>
  <w15:docId w15:val="{883C6B50-6A5D-4E30-AEEA-83821996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DBF"/>
    <w:rPr>
      <w:rFonts w:ascii="Times New Roman" w:hAnsi="Times New Roman"/>
      <w:sz w:val="22"/>
    </w:rPr>
  </w:style>
  <w:style w:type="paragraph" w:styleId="Titre1">
    <w:name w:val="heading 1"/>
    <w:basedOn w:val="Normal"/>
    <w:next w:val="Corpsdetexte"/>
    <w:uiPriority w:val="9"/>
    <w:qFormat/>
    <w:rsid w:val="00E4579E"/>
    <w:pPr>
      <w:keepNext/>
      <w:keepLines/>
      <w:spacing w:before="480" w:after="0"/>
      <w:outlineLvl w:val="0"/>
    </w:pPr>
    <w:rPr>
      <w:rFonts w:eastAsiaTheme="majorEastAsia" w:cstheme="majorBidi"/>
      <w:b/>
      <w:bCs/>
      <w:color w:val="000000" w:themeColor="text1"/>
      <w:sz w:val="32"/>
      <w:szCs w:val="32"/>
    </w:rPr>
  </w:style>
  <w:style w:type="paragraph" w:styleId="Titre2">
    <w:name w:val="heading 2"/>
    <w:basedOn w:val="Normal"/>
    <w:next w:val="Corpsdetexte"/>
    <w:uiPriority w:val="9"/>
    <w:unhideWhenUsed/>
    <w:qFormat/>
    <w:rsid w:val="00E4579E"/>
    <w:pPr>
      <w:keepNext/>
      <w:keepLines/>
      <w:spacing w:before="200" w:after="0"/>
      <w:outlineLvl w:val="1"/>
    </w:pPr>
    <w:rPr>
      <w:rFonts w:eastAsiaTheme="majorEastAsia" w:cstheme="majorBidi"/>
      <w:b/>
      <w:bCs/>
      <w:color w:val="000000" w:themeColor="text1"/>
      <w:sz w:val="28"/>
      <w:szCs w:val="28"/>
    </w:rPr>
  </w:style>
  <w:style w:type="paragraph" w:styleId="Titre3">
    <w:name w:val="heading 3"/>
    <w:basedOn w:val="Normal"/>
    <w:next w:val="Corpsdetexte"/>
    <w:uiPriority w:val="9"/>
    <w:unhideWhenUsed/>
    <w:qFormat/>
    <w:rsid w:val="00E4579E"/>
    <w:pPr>
      <w:keepNext/>
      <w:keepLines/>
      <w:spacing w:before="200" w:after="0"/>
      <w:outlineLvl w:val="2"/>
    </w:pPr>
    <w:rPr>
      <w:rFonts w:eastAsiaTheme="majorEastAsia" w:cs="Times New Roman"/>
      <w:b/>
      <w:bCs/>
      <w:color w:val="000000" w:themeColor="text1"/>
    </w:rPr>
  </w:style>
  <w:style w:type="paragraph" w:styleId="Titre4">
    <w:name w:val="heading 4"/>
    <w:basedOn w:val="Normal"/>
    <w:next w:val="Corpsdetexte"/>
    <w:uiPriority w:val="9"/>
    <w:unhideWhenUsed/>
    <w:qFormat/>
    <w:rsid w:val="00E4579E"/>
    <w:pPr>
      <w:keepNext/>
      <w:keepLines/>
      <w:spacing w:before="200" w:after="0"/>
      <w:outlineLvl w:val="3"/>
    </w:pPr>
    <w:rPr>
      <w:rFonts w:eastAsiaTheme="majorEastAsia" w:cs="Times New Roman"/>
      <w:bCs/>
      <w:color w:val="000000" w:themeColor="text1"/>
    </w:rPr>
  </w:style>
  <w:style w:type="paragraph" w:styleId="Titre5">
    <w:name w:val="heading 5"/>
    <w:basedOn w:val="Normal"/>
    <w:next w:val="Corpsdetexte"/>
    <w:uiPriority w:val="9"/>
    <w:unhideWhenUsed/>
    <w:qFormat/>
    <w:rsid w:val="00E4579E"/>
    <w:pPr>
      <w:keepNext/>
      <w:keepLines/>
      <w:spacing w:before="200" w:after="0"/>
      <w:outlineLvl w:val="4"/>
    </w:pPr>
    <w:rPr>
      <w:rFonts w:eastAsiaTheme="majorEastAsia" w:cs="Times New Roman"/>
      <w:color w:val="000000" w:themeColor="text1"/>
    </w:rPr>
  </w:style>
  <w:style w:type="paragraph" w:styleId="Titre6">
    <w:name w:val="heading 6"/>
    <w:basedOn w:val="Normal"/>
    <w:next w:val="Corpsdetexte"/>
    <w:uiPriority w:val="9"/>
    <w:unhideWhenUsed/>
    <w:qFormat/>
    <w:rsid w:val="00E4579E"/>
    <w:pPr>
      <w:keepNext/>
      <w:keepLines/>
      <w:spacing w:before="200" w:after="0"/>
      <w:outlineLvl w:val="5"/>
    </w:pPr>
    <w:rPr>
      <w:rFonts w:eastAsiaTheme="majorEastAsia" w:cs="Times New Roman"/>
      <w:color w:val="000000" w:themeColor="text1"/>
    </w:rPr>
  </w:style>
  <w:style w:type="paragraph" w:styleId="Titre7">
    <w:name w:val="heading 7"/>
    <w:basedOn w:val="Normal"/>
    <w:next w:val="Corpsdetexte"/>
    <w:uiPriority w:val="9"/>
    <w:unhideWhenUsed/>
    <w:qFormat/>
    <w:rsid w:val="00E4579E"/>
    <w:pPr>
      <w:keepNext/>
      <w:keepLines/>
      <w:spacing w:before="200" w:after="0"/>
      <w:outlineLvl w:val="6"/>
    </w:pPr>
    <w:rPr>
      <w:rFonts w:eastAsiaTheme="majorEastAsia" w:cs="Times New Roman"/>
      <w:color w:val="000000" w:themeColor="text1"/>
    </w:rPr>
  </w:style>
  <w:style w:type="paragraph" w:styleId="Titre8">
    <w:name w:val="heading 8"/>
    <w:basedOn w:val="Normal"/>
    <w:next w:val="Corpsdetexte"/>
    <w:uiPriority w:val="9"/>
    <w:unhideWhenUsed/>
    <w:qFormat/>
    <w:rsid w:val="00E4579E"/>
    <w:pPr>
      <w:keepNext/>
      <w:keepLines/>
      <w:spacing w:before="200" w:after="0"/>
      <w:outlineLvl w:val="7"/>
    </w:pPr>
    <w:rPr>
      <w:rFonts w:eastAsiaTheme="majorEastAsia" w:cs="Times New Roman"/>
      <w:color w:val="000000" w:themeColor="tex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CF7947"/>
    <w:pPr>
      <w:spacing w:before="180" w:after="180" w:line="360" w:lineRule="auto"/>
      <w:jc w:val="both"/>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1E3FD0"/>
    <w:pPr>
      <w:keepNext/>
      <w:keepLines/>
      <w:spacing w:after="120" w:line="360" w:lineRule="auto"/>
      <w:jc w:val="center"/>
    </w:pPr>
    <w:rPr>
      <w:rFonts w:eastAsiaTheme="majorEastAsia" w:cs="Angsana New"/>
      <w:b/>
      <w:bCs/>
      <w:color w:val="000000" w:themeColor="text1"/>
      <w:sz w:val="32"/>
      <w:szCs w:val="32"/>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8E6DDD"/>
    <w:pPr>
      <w:keepNext/>
      <w:keepLines/>
      <w:spacing w:after="0" w:line="360" w:lineRule="auto"/>
      <w:jc w:val="center"/>
    </w:pPr>
    <w:rPr>
      <w:rFonts w:ascii="Times New Roman" w:hAnsi="Times New Roman"/>
      <w:sz w:val="22"/>
    </w:rPr>
  </w:style>
  <w:style w:type="paragraph" w:styleId="Date">
    <w:name w:val="Date"/>
    <w:next w:val="Corpsdetexte"/>
    <w:qFormat/>
    <w:pPr>
      <w:keepNext/>
      <w:keepLines/>
      <w:jc w:val="center"/>
    </w:pPr>
  </w:style>
  <w:style w:type="paragraph" w:customStyle="1" w:styleId="Abstract">
    <w:name w:val="Abstract"/>
    <w:basedOn w:val="Normal"/>
    <w:next w:val="Corpsdetexte"/>
    <w:qFormat/>
    <w:rsid w:val="00AD55A2"/>
    <w:pPr>
      <w:keepNext/>
      <w:keepLines/>
      <w:spacing w:before="300" w:after="300"/>
      <w:jc w:val="center"/>
    </w:pPr>
    <w:rPr>
      <w:b/>
      <w:bCs/>
      <w:sz w:val="32"/>
      <w:szCs w:val="32"/>
    </w:rPr>
  </w:style>
  <w:style w:type="paragraph" w:styleId="Bibliographie">
    <w:name w:val="Bibliography"/>
    <w:basedOn w:val="Normal"/>
    <w:qFormat/>
    <w:rsid w:val="00E25B66"/>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rsid w:val="00A73BF1"/>
    <w:pPr>
      <w:spacing w:after="0"/>
    </w:pPr>
    <w:rPr>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CaptionedFigure"/>
    <w:link w:val="LgendeCar"/>
    <w:rsid w:val="00F94E32"/>
  </w:style>
  <w:style w:type="paragraph" w:customStyle="1" w:styleId="TableCaption">
    <w:name w:val="Table Caption"/>
    <w:basedOn w:val="Corpsdetexte"/>
    <w:rsid w:val="001571EA"/>
    <w:pPr>
      <w:spacing w:line="240" w:lineRule="auto"/>
    </w:pPr>
  </w:style>
  <w:style w:type="paragraph" w:customStyle="1" w:styleId="ImageCaption">
    <w:name w:val="Image Caption"/>
    <w:basedOn w:val="Lgende"/>
    <w:rsid w:val="00A416B6"/>
  </w:style>
  <w:style w:type="paragraph" w:customStyle="1" w:styleId="Figure">
    <w:name w:val="Figure"/>
    <w:basedOn w:val="Normal"/>
  </w:style>
  <w:style w:type="paragraph" w:customStyle="1" w:styleId="CaptionedFigure">
    <w:name w:val="Captioned Figure"/>
    <w:basedOn w:val="Normal"/>
    <w:rsid w:val="00F94E32"/>
    <w:pPr>
      <w:keepNext/>
      <w:jc w:val="both"/>
    </w:pPr>
    <w:rPr>
      <w:rFonts w:cs="Times New Roman"/>
      <w:szCs w:val="22"/>
    </w:rPr>
  </w:style>
  <w:style w:type="character" w:customStyle="1" w:styleId="LgendeCar">
    <w:name w:val="Légende Car"/>
    <w:basedOn w:val="Policepardfaut"/>
    <w:link w:val="Lgende"/>
    <w:rsid w:val="00F94E32"/>
    <w:rPr>
      <w:rFonts w:ascii="Times New Roman" w:hAnsi="Times New Roman" w:cs="Times New Roman"/>
      <w:sz w:val="22"/>
      <w:szCs w:val="22"/>
    </w:rPr>
  </w:style>
  <w:style w:type="character" w:customStyle="1" w:styleId="VerbatimChar">
    <w:name w:val="Verbatim Char"/>
    <w:basedOn w:val="LgendeCar"/>
    <w:link w:val="SourceCode"/>
    <w:rPr>
      <w:rFonts w:ascii="Consolas" w:hAnsi="Consolas" w:cs="Times New Roman"/>
      <w:sz w:val="22"/>
      <w:szCs w:val="22"/>
    </w:rPr>
  </w:style>
  <w:style w:type="character" w:customStyle="1" w:styleId="SectionNumber">
    <w:name w:val="Section Number"/>
    <w:basedOn w:val="LgendeCar"/>
    <w:rPr>
      <w:rFonts w:ascii="Times New Roman" w:hAnsi="Times New Roman" w:cs="Times New Roman"/>
      <w:sz w:val="22"/>
      <w:szCs w:val="22"/>
    </w:rPr>
  </w:style>
  <w:style w:type="character" w:styleId="Appelnotedebasdep">
    <w:name w:val="footnote reference"/>
    <w:basedOn w:val="LgendeCar"/>
    <w:rsid w:val="00E25B66"/>
    <w:rPr>
      <w:rFonts w:ascii="Times New Roman" w:hAnsi="Times New Roman" w:cs="Times New Roman"/>
      <w:sz w:val="24"/>
      <w:szCs w:val="22"/>
      <w:vertAlign w:val="superscript"/>
    </w:rPr>
  </w:style>
  <w:style w:type="character" w:styleId="Lienhypertexte">
    <w:name w:val="Hyperlink"/>
    <w:basedOn w:val="LgendeCar"/>
    <w:rsid w:val="00174DC2"/>
    <w:rPr>
      <w:rFonts w:ascii="Times New Roman" w:hAnsi="Times New Roman" w:cs="Times New Roman"/>
      <w:color w:val="000000" w:themeColor="text1"/>
      <w:sz w:val="22"/>
      <w:szCs w:val="22"/>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Pr>
      <w:rFonts w:ascii="Consolas" w:hAnsi="Consolas" w:cs="Times New Roman"/>
      <w:color w:val="0000CF"/>
      <w:sz w:val="22"/>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Pr>
      <w:rFonts w:ascii="Consolas" w:hAnsi="Consolas" w:cs="Times New Roman"/>
      <w:color w:val="0000CF"/>
      <w:sz w:val="22"/>
      <w:szCs w:val="22"/>
      <w:shd w:val="clear" w:color="auto" w:fill="F8F8F8"/>
    </w:rPr>
  </w:style>
  <w:style w:type="character" w:customStyle="1" w:styleId="ConstantTok">
    <w:name w:val="ConstantTok"/>
    <w:basedOn w:val="VerbatimChar"/>
    <w:rPr>
      <w:rFonts w:ascii="Consolas" w:hAnsi="Consolas" w:cs="Times New Roman"/>
      <w:color w:val="000000"/>
      <w:sz w:val="22"/>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Pr>
      <w:rFonts w:ascii="Consolas" w:hAnsi="Consolas" w:cs="Times New Roman"/>
      <w:color w:val="000000"/>
      <w:sz w:val="22"/>
      <w:szCs w:val="22"/>
      <w:shd w:val="clear" w:color="auto" w:fill="F8F8F8"/>
    </w:rPr>
  </w:style>
  <w:style w:type="character" w:customStyle="1" w:styleId="StringTok">
    <w:name w:val="StringTok"/>
    <w:basedOn w:val="VerbatimChar"/>
    <w:rPr>
      <w:rFonts w:ascii="Consolas" w:hAnsi="Consolas" w:cs="Times New Roman"/>
      <w:color w:val="4E9A06"/>
      <w:sz w:val="22"/>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sz w:val="22"/>
      <w:szCs w:val="22"/>
      <w:shd w:val="clear" w:color="auto" w:fill="F8F8F8"/>
    </w:rPr>
  </w:style>
  <w:style w:type="character" w:customStyle="1" w:styleId="CommentTok">
    <w:name w:val="CommentTok"/>
    <w:basedOn w:val="VerbatimChar"/>
    <w:rPr>
      <w:rFonts w:ascii="Consolas" w:hAnsi="Consolas" w:cs="Times New Roman"/>
      <w:i/>
      <w:color w:val="8F5902"/>
      <w:sz w:val="22"/>
      <w:szCs w:val="22"/>
      <w:shd w:val="clear" w:color="auto" w:fill="F8F8F8"/>
    </w:rPr>
  </w:style>
  <w:style w:type="character" w:customStyle="1" w:styleId="DocumentationTok">
    <w:name w:val="DocumentationTok"/>
    <w:basedOn w:val="VerbatimChar"/>
    <w:rPr>
      <w:rFonts w:ascii="Consolas" w:hAnsi="Consolas" w:cs="Times New Roman"/>
      <w:b/>
      <w:i/>
      <w:color w:val="8F5902"/>
      <w:sz w:val="22"/>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Pr>
      <w:rFonts w:ascii="Consolas" w:hAnsi="Consolas" w:cs="Times New Roman"/>
      <w:color w:val="000000"/>
      <w:sz w:val="22"/>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Pr>
      <w:rFonts w:ascii="Consolas" w:hAnsi="Consolas" w:cs="Times New Roman"/>
      <w:b/>
      <w:color w:val="204A87"/>
      <w:sz w:val="22"/>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sz w:val="22"/>
      <w:szCs w:val="22"/>
      <w:shd w:val="clear" w:color="auto" w:fill="F8F8F8"/>
    </w:rPr>
  </w:style>
  <w:style w:type="character" w:customStyle="1" w:styleId="ExtensionTok">
    <w:name w:val="ExtensionTok"/>
    <w:basedOn w:val="VerbatimChar"/>
    <w:rPr>
      <w:rFonts w:ascii="Consolas" w:hAnsi="Consolas" w:cs="Times New Roman"/>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Pr>
      <w:rFonts w:ascii="Consolas" w:hAnsi="Consolas" w:cs="Times New Roman"/>
      <w:color w:val="C4A000"/>
      <w:sz w:val="22"/>
      <w:szCs w:val="22"/>
      <w:shd w:val="clear" w:color="auto" w:fill="F8F8F8"/>
    </w:rPr>
  </w:style>
  <w:style w:type="character" w:customStyle="1" w:styleId="RegionMarkerTok">
    <w:name w:val="RegionMarkerTok"/>
    <w:basedOn w:val="VerbatimChar"/>
    <w:rPr>
      <w:rFonts w:ascii="Consolas" w:hAnsi="Consolas" w:cs="Times New Roman"/>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Pr>
      <w:rFonts w:ascii="Consolas" w:hAnsi="Consolas" w:cs="Times New Roman"/>
      <w:sz w:val="22"/>
      <w:szCs w:val="22"/>
      <w:shd w:val="clear" w:color="auto" w:fill="F8F8F8"/>
    </w:rPr>
  </w:style>
  <w:style w:type="character" w:customStyle="1" w:styleId="CorpsdetexteCar">
    <w:name w:val="Corps de texte Car"/>
    <w:basedOn w:val="Policepardfaut"/>
    <w:link w:val="Corpsdetexte"/>
    <w:rsid w:val="00CF7947"/>
    <w:rPr>
      <w:rFonts w:ascii="Times New Roman" w:hAnsi="Times New Roman"/>
      <w:sz w:val="22"/>
    </w:rPr>
  </w:style>
  <w:style w:type="paragraph" w:styleId="Pieddepage">
    <w:name w:val="footer"/>
    <w:basedOn w:val="Normal"/>
    <w:link w:val="PieddepageCar"/>
    <w:semiHidden/>
    <w:unhideWhenUsed/>
    <w:rsid w:val="00E25B66"/>
    <w:pPr>
      <w:tabs>
        <w:tab w:val="center" w:pos="4513"/>
        <w:tab w:val="right" w:pos="9026"/>
      </w:tabs>
      <w:spacing w:after="0"/>
    </w:pPr>
    <w:rPr>
      <w:sz w:val="16"/>
    </w:rPr>
  </w:style>
  <w:style w:type="character" w:customStyle="1" w:styleId="PieddepageCar">
    <w:name w:val="Pied de page Car"/>
    <w:basedOn w:val="Policepardfaut"/>
    <w:link w:val="Pieddepage"/>
    <w:semiHidden/>
    <w:rsid w:val="00E25B66"/>
    <w:rPr>
      <w:rFonts w:ascii="Times New Roman" w:hAnsi="Times New Roman"/>
      <w:sz w:val="16"/>
    </w:rPr>
  </w:style>
  <w:style w:type="character" w:styleId="Numrodeligne">
    <w:name w:val="line number"/>
    <w:basedOn w:val="Policepardfaut"/>
    <w:semiHidden/>
    <w:unhideWhenUsed/>
    <w:rsid w:val="00B138AE"/>
  </w:style>
  <w:style w:type="character" w:styleId="AcronymeHTML">
    <w:name w:val="HTML Acronym"/>
    <w:basedOn w:val="Policepardfaut"/>
    <w:unhideWhenUsed/>
    <w:rsid w:val="00B503CC"/>
  </w:style>
  <w:style w:type="paragraph" w:styleId="Retrait1religne">
    <w:name w:val="Body Text First Indent"/>
    <w:basedOn w:val="Corpsdetexte"/>
    <w:link w:val="Retrait1religneCar"/>
    <w:unhideWhenUsed/>
    <w:rsid w:val="00A63A6B"/>
    <w:pPr>
      <w:spacing w:before="0" w:after="200" w:line="240" w:lineRule="auto"/>
      <w:ind w:firstLine="360"/>
      <w:jc w:val="left"/>
    </w:pPr>
    <w:rPr>
      <w:rFonts w:asciiTheme="minorHAnsi" w:hAnsiTheme="minorHAnsi"/>
      <w:sz w:val="24"/>
    </w:rPr>
  </w:style>
  <w:style w:type="character" w:customStyle="1" w:styleId="Retrait1religneCar">
    <w:name w:val="Retrait 1re ligne Car"/>
    <w:basedOn w:val="CorpsdetexteCar"/>
    <w:link w:val="Retrait1religne"/>
    <w:rsid w:val="00A63A6B"/>
    <w:rPr>
      <w:rFonts w:ascii="Times New Roman" w:hAnsi="Times New Roman"/>
      <w:sz w:val="22"/>
    </w:rPr>
  </w:style>
  <w:style w:type="paragraph" w:styleId="Index1">
    <w:name w:val="index 1"/>
    <w:basedOn w:val="Normal"/>
    <w:next w:val="Normal"/>
    <w:autoRedefine/>
    <w:rsid w:val="00A63A6B"/>
    <w:pPr>
      <w:spacing w:after="0"/>
      <w:ind w:left="240" w:hanging="240"/>
    </w:pPr>
  </w:style>
  <w:style w:type="paragraph" w:styleId="Index2">
    <w:name w:val="index 2"/>
    <w:basedOn w:val="Normal"/>
    <w:next w:val="Normal"/>
    <w:autoRedefine/>
    <w:unhideWhenUsed/>
    <w:rsid w:val="00A63A6B"/>
    <w:pPr>
      <w:spacing w:after="0"/>
      <w:ind w:left="480" w:hanging="240"/>
    </w:pPr>
  </w:style>
  <w:style w:type="paragraph" w:styleId="Index3">
    <w:name w:val="index 3"/>
    <w:basedOn w:val="Normal"/>
    <w:next w:val="Normal"/>
    <w:autoRedefine/>
    <w:unhideWhenUsed/>
    <w:rsid w:val="00A63A6B"/>
    <w:pPr>
      <w:spacing w:after="0"/>
      <w:ind w:left="720" w:hanging="240"/>
    </w:pPr>
  </w:style>
  <w:style w:type="paragraph" w:styleId="Liste">
    <w:name w:val="List"/>
    <w:basedOn w:val="Normal"/>
    <w:unhideWhenUsed/>
    <w:rsid w:val="00ED1205"/>
    <w:pPr>
      <w:ind w:left="283" w:hanging="283"/>
      <w:contextualSpacing/>
    </w:pPr>
  </w:style>
  <w:style w:type="paragraph" w:styleId="Liste2">
    <w:name w:val="List 2"/>
    <w:basedOn w:val="Normal"/>
    <w:unhideWhenUsed/>
    <w:rsid w:val="00ED1205"/>
    <w:pPr>
      <w:ind w:left="566" w:hanging="283"/>
      <w:contextualSpacing/>
    </w:pPr>
  </w:style>
  <w:style w:type="paragraph" w:styleId="Liste3">
    <w:name w:val="List 3"/>
    <w:basedOn w:val="Normal"/>
    <w:unhideWhenUsed/>
    <w:rsid w:val="00EA0107"/>
    <w:pPr>
      <w:ind w:left="849" w:hanging="283"/>
      <w:contextualSpacing/>
    </w:pPr>
  </w:style>
  <w:style w:type="paragraph" w:styleId="Listenumros">
    <w:name w:val="List Number"/>
    <w:basedOn w:val="Normal"/>
    <w:unhideWhenUsed/>
    <w:rsid w:val="00F66C3D"/>
    <w:pPr>
      <w:numPr>
        <w:numId w:val="6"/>
      </w:numPr>
      <w:contextualSpacing/>
    </w:pPr>
  </w:style>
  <w:style w:type="paragraph" w:styleId="Listenumros2">
    <w:name w:val="List Number 2"/>
    <w:basedOn w:val="Normal"/>
    <w:unhideWhenUsed/>
    <w:rsid w:val="00F66C3D"/>
    <w:pPr>
      <w:numPr>
        <w:numId w:val="5"/>
      </w:numPr>
      <w:contextualSpacing/>
    </w:pPr>
  </w:style>
  <w:style w:type="paragraph" w:styleId="Listenumros3">
    <w:name w:val="List Number 3"/>
    <w:basedOn w:val="Normal"/>
    <w:unhideWhenUsed/>
    <w:rsid w:val="00F647AB"/>
    <w:pPr>
      <w:numPr>
        <w:numId w:val="4"/>
      </w:numPr>
      <w:contextualSpacing/>
    </w:pPr>
  </w:style>
  <w:style w:type="paragraph" w:styleId="Listecontinue">
    <w:name w:val="List Continue"/>
    <w:basedOn w:val="Normal"/>
    <w:unhideWhenUsed/>
    <w:rsid w:val="00ED1205"/>
    <w:pPr>
      <w:spacing w:after="120"/>
      <w:ind w:left="283"/>
      <w:contextualSpacing/>
    </w:pPr>
  </w:style>
  <w:style w:type="paragraph" w:styleId="Listecontinue2">
    <w:name w:val="List Continue 2"/>
    <w:basedOn w:val="Normal"/>
    <w:unhideWhenUsed/>
    <w:rsid w:val="00ED1205"/>
    <w:pPr>
      <w:spacing w:after="120"/>
      <w:ind w:left="566"/>
      <w:contextualSpacing/>
    </w:pPr>
  </w:style>
  <w:style w:type="paragraph" w:styleId="Listecontinue3">
    <w:name w:val="List Continue 3"/>
    <w:basedOn w:val="Normal"/>
    <w:unhideWhenUsed/>
    <w:rsid w:val="000A63C5"/>
    <w:pPr>
      <w:spacing w:after="120"/>
      <w:ind w:left="849"/>
      <w:contextualSpacing/>
    </w:pPr>
  </w:style>
  <w:style w:type="paragraph" w:styleId="Listepuces">
    <w:name w:val="List Bullet"/>
    <w:basedOn w:val="Normal"/>
    <w:semiHidden/>
    <w:unhideWhenUsed/>
    <w:rsid w:val="00ED1205"/>
    <w:pPr>
      <w:numPr>
        <w:numId w:val="11"/>
      </w:numPr>
      <w:contextualSpacing/>
    </w:pPr>
  </w:style>
  <w:style w:type="paragraph" w:styleId="Listepuces2">
    <w:name w:val="List Bullet 2"/>
    <w:basedOn w:val="Normal"/>
    <w:semiHidden/>
    <w:unhideWhenUsed/>
    <w:rsid w:val="00ED1205"/>
    <w:pPr>
      <w:numPr>
        <w:numId w:val="10"/>
      </w:numPr>
      <w:contextualSpacing/>
    </w:pPr>
  </w:style>
  <w:style w:type="character" w:styleId="Marquedecommentaire">
    <w:name w:val="annotation reference"/>
    <w:basedOn w:val="Policepardfaut"/>
    <w:semiHidden/>
    <w:unhideWhenUsed/>
    <w:rsid w:val="00A80B78"/>
    <w:rPr>
      <w:sz w:val="16"/>
      <w:szCs w:val="16"/>
    </w:rPr>
  </w:style>
  <w:style w:type="paragraph" w:styleId="Commentaire">
    <w:name w:val="annotation text"/>
    <w:basedOn w:val="Normal"/>
    <w:link w:val="CommentaireCar"/>
    <w:unhideWhenUsed/>
    <w:rsid w:val="00A80B78"/>
    <w:rPr>
      <w:sz w:val="20"/>
      <w:szCs w:val="20"/>
    </w:rPr>
  </w:style>
  <w:style w:type="character" w:customStyle="1" w:styleId="CommentaireCar">
    <w:name w:val="Commentaire Car"/>
    <w:basedOn w:val="Policepardfaut"/>
    <w:link w:val="Commentaire"/>
    <w:rsid w:val="00A80B78"/>
    <w:rPr>
      <w:rFonts w:ascii="Times New Roman" w:hAnsi="Times New Roman"/>
      <w:sz w:val="20"/>
      <w:szCs w:val="20"/>
    </w:rPr>
  </w:style>
  <w:style w:type="paragraph" w:styleId="Objetducommentaire">
    <w:name w:val="annotation subject"/>
    <w:basedOn w:val="Commentaire"/>
    <w:next w:val="Commentaire"/>
    <w:link w:val="ObjetducommentaireCar"/>
    <w:semiHidden/>
    <w:unhideWhenUsed/>
    <w:rsid w:val="00A80B78"/>
    <w:rPr>
      <w:b/>
      <w:bCs/>
    </w:rPr>
  </w:style>
  <w:style w:type="character" w:customStyle="1" w:styleId="ObjetducommentaireCar">
    <w:name w:val="Objet du commentaire Car"/>
    <w:basedOn w:val="CommentaireCar"/>
    <w:link w:val="Objetducommentaire"/>
    <w:semiHidden/>
    <w:rsid w:val="00A80B7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tree.2013.09.012" TargetMode="External"/><Relationship Id="rId18" Type="http://schemas.openxmlformats.org/officeDocument/2006/relationships/hyperlink" Target="https://doi.org/10.1098/rspb.2020.1125" TargetMode="External"/><Relationship Id="rId26" Type="http://schemas.openxmlformats.org/officeDocument/2006/relationships/hyperlink" Target="https://doi.org/10.1016/j.cub.2019.10.065" TargetMode="External"/><Relationship Id="rId21" Type="http://schemas.openxmlformats.org/officeDocument/2006/relationships/hyperlink" Target="https://doi.org/10.1038/s41586-023-05712-6" TargetMode="External"/><Relationship Id="rId34" Type="http://schemas.openxmlformats.org/officeDocument/2006/relationships/hyperlink" Target="https://doi.org/10.31223/X5Z94Q" TargetMode="External"/><Relationship Id="rId7" Type="http://schemas.openxmlformats.org/officeDocument/2006/relationships/comments" Target="comments.xml"/><Relationship Id="rId12" Type="http://schemas.openxmlformats.org/officeDocument/2006/relationships/hyperlink" Target="https://gwsdoc.gplates.org" TargetMode="External"/><Relationship Id="rId17" Type="http://schemas.openxmlformats.org/officeDocument/2006/relationships/hyperlink" Target="https://doi.org/10.1111/j.1461-0248.2012.01828.x" TargetMode="External"/><Relationship Id="rId25" Type="http://schemas.openxmlformats.org/officeDocument/2006/relationships/hyperlink" Target="https://doi.org/10.1098/rspb.2020.2762" TargetMode="External"/><Relationship Id="rId33" Type="http://schemas.openxmlformats.org/officeDocument/2006/relationships/hyperlink" Target="https://doi.org/10.1038/s41467-022-30793-8" TargetMode="External"/><Relationship Id="rId2" Type="http://schemas.openxmlformats.org/officeDocument/2006/relationships/styles" Target="styles.xml"/><Relationship Id="rId16" Type="http://schemas.openxmlformats.org/officeDocument/2006/relationships/hyperlink" Target="https://doi.org/10.1130/G31099.1" TargetMode="External"/><Relationship Id="rId20" Type="http://schemas.openxmlformats.org/officeDocument/2006/relationships/hyperlink" Target="https://doi.org/10.1130/G50110.1" TargetMode="External"/><Relationship Id="rId29" Type="http://schemas.openxmlformats.org/officeDocument/2006/relationships/hyperlink" Target="https://doi.org/10.5194/bg-10-1529-20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leobiodb.org/" TargetMode="External"/><Relationship Id="rId24" Type="http://schemas.openxmlformats.org/officeDocument/2006/relationships/hyperlink" Target="https://doi.org/10.1111/pala.12514" TargetMode="External"/><Relationship Id="rId32" Type="http://schemas.openxmlformats.org/officeDocument/2006/relationships/hyperlink" Target="https://doi.org/10.1144/jgs2021-030"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11/jbi.12515" TargetMode="External"/><Relationship Id="rId23" Type="http://schemas.openxmlformats.org/officeDocument/2006/relationships/hyperlink" Target="https://doi.org/10.1073/pnas.1214037110" TargetMode="External"/><Relationship Id="rId28" Type="http://schemas.openxmlformats.org/officeDocument/2006/relationships/hyperlink" Target="https://doi.org/10.1016/j.earscirev.2012.03.002" TargetMode="External"/><Relationship Id="rId36"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doi.org/10.1073/pnas.1918953117" TargetMode="External"/><Relationship Id="rId31" Type="http://schemas.openxmlformats.org/officeDocument/2006/relationships/hyperlink" Target="https://doi.org/10.1038/s43017-022-00384-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ncbi.nlm.nih.gov/pmc/articles/PMC1690525/" TargetMode="External"/><Relationship Id="rId22" Type="http://schemas.openxmlformats.org/officeDocument/2006/relationships/hyperlink" Target="https://doi.org/10.1098/rstb.2015.0224" TargetMode="External"/><Relationship Id="rId27" Type="http://schemas.openxmlformats.org/officeDocument/2006/relationships/hyperlink" Target="https://doi.org/10.1016/j.cub.2021.04.021" TargetMode="External"/><Relationship Id="rId30" Type="http://schemas.openxmlformats.org/officeDocument/2006/relationships/hyperlink" Target="https://www.earthbyte.org/paleodem-resource-scotese-and-wright-2018/" TargetMode="External"/><Relationship Id="rId35" Type="http://schemas.openxmlformats.org/officeDocument/2006/relationships/fontTable" Target="fontTable.xm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2294</Words>
  <Characters>12621</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Global plate model choice impacts reconstructions of the latitudinal biodiversity gradient</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plate model choice impacts reconstructions of the latitudinal biodiversity gradient</dc:title>
  <dc:creator>—; Lewis A. Jones1, Bethany J. Allen2,3, William Gearty4, and Lucas Buffan4; —; 1Grupo de Ecoloxía Animal, Departamento de Ecoloxía e Bioloxía Animal, Universidade de Vigo, 36310 Vigo, Spain.; 2Department of Biosystems Science and Engineering, ETH Zürich, 4058 Basel, Switzerland.; 3Computational Evolution Group, Swiss Institute of Bioinformatics, 1015 Lausanne, Switzerland.; 4Division of Paleontology, American Museum of Natural History, New York, NY, 10024 USA.; 5Département de Biologie, École Normale Supérieure de Lyon, Université Claude Bernard Lyon 1, 69342 Lyon Cedex 07, France.; —; All authors contributed equally to this work; Corresponding author: LewisAlan.Jones@uvigo.es</dc:creator>
  <cp:keywords/>
  <cp:lastModifiedBy>Lucas Buffan</cp:lastModifiedBy>
  <cp:revision>8</cp:revision>
  <dcterms:created xsi:type="dcterms:W3CDTF">2023-03-08T16:35:00Z</dcterms:created>
  <dcterms:modified xsi:type="dcterms:W3CDTF">2023-03-13T10:31:00Z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 Abstract</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biology-letters.csl</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ZOTERO_PREF_1">
    <vt:lpwstr>&lt;data data-version="3" zotero-version="6.0.22"&gt;&lt;session id="nOnXonae"/&gt;&lt;style id="" hasBibliography="0" bibliographyStyleHasBeenSet="0"/&gt;&lt;prefs/&gt;&lt;/data&gt;</vt:lpwstr>
  </property>
</Properties>
</file>