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plate</w:t>
      </w:r>
      <w:r>
        <w:t xml:space="preserve"> </w:t>
      </w:r>
      <w:r>
        <w:t xml:space="preserve">model</w:t>
      </w:r>
      <w:r>
        <w:t xml:space="preserve"> </w:t>
      </w:r>
      <w:r>
        <w:t xml:space="preserve">choice</w:t>
      </w:r>
      <w:r>
        <w:t xml:space="preserve"> </w:t>
      </w:r>
      <w:r>
        <w:t xml:space="preserve">impacts</w:t>
      </w:r>
      <w:r>
        <w:t xml:space="preserve"> </w:t>
      </w:r>
      <w:r>
        <w:t xml:space="preserve">reconstructions</w:t>
      </w:r>
      <w:r>
        <w:t xml:space="preserve"> </w:t>
      </w:r>
      <w:r>
        <w:t xml:space="preserve">of</w:t>
      </w:r>
      <w:r>
        <w:t xml:space="preserve"> </w:t>
      </w:r>
      <w:r>
        <w:t xml:space="preserve">the</w:t>
      </w:r>
      <w:r>
        <w:t xml:space="preserve"> </w:t>
      </w:r>
      <w:r>
        <w:t xml:space="preserve">latitudinal</w:t>
      </w:r>
      <w:r>
        <w:t xml:space="preserve"> </w:t>
      </w:r>
      <w:r>
        <w:t xml:space="preserve">biodiversity</w:t>
      </w:r>
      <w:r>
        <w:t xml:space="preserve"> </w:t>
      </w:r>
      <w:r>
        <w:t xml:space="preserve">gradient</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Bethany</w:t>
      </w:r>
      <w:r>
        <w:t xml:space="preserve"> </w:t>
      </w:r>
      <w:r>
        <w:t xml:space="preserve">J.</w:t>
      </w:r>
      <w:r>
        <w:t xml:space="preserve"> </w:t>
      </w:r>
      <w:r>
        <w:t xml:space="preserve">Allen</w:t>
      </w:r>
      <w:r>
        <w:rPr>
          <w:vertAlign w:val="superscript"/>
        </w:rPr>
        <w:t xml:space="preserve">2,3</w:t>
      </w:r>
      <w:r>
        <w:t xml:space="preserve">,</w:t>
      </w:r>
      <w:r>
        <w:t xml:space="preserve"> </w:t>
      </w:r>
      <w:r>
        <w:t xml:space="preserve">William</w:t>
      </w:r>
      <w:r>
        <w:t xml:space="preserve"> </w:t>
      </w:r>
      <w:r>
        <w:t xml:space="preserve">Gearty</w:t>
      </w:r>
      <w:r>
        <w:rPr>
          <w:vertAlign w:val="superscript"/>
        </w:rPr>
        <w:t xml:space="preserve">4</w:t>
      </w:r>
      <w:r>
        <w:t xml:space="preserve">,</w:t>
      </w:r>
      <w:r>
        <w:t xml:space="preserve"> </w:t>
      </w:r>
      <w:r>
        <w:t xml:space="preserve">and</w:t>
      </w:r>
      <w:r>
        <w:t xml:space="preserve"> </w:t>
      </w:r>
      <w:r>
        <w:t xml:space="preserve">Lucas</w:t>
      </w:r>
      <w:r>
        <w:t xml:space="preserve"> </w:t>
      </w:r>
      <w:r>
        <w:t xml:space="preserve">Buffan</w:t>
      </w:r>
      <w:r>
        <w:rPr>
          <w:vertAlign w:val="superscript"/>
        </w:rPr>
        <w:t xml:space="preserve">4</w:t>
      </w:r>
    </w:p>
    <w:p>
      <w:pPr>
        <w:pStyle w:val="Author"/>
      </w:pPr>
      <w:r>
        <w:t xml:space="preserve">—</w:t>
      </w:r>
    </w:p>
    <w:p>
      <w:pPr>
        <w:pStyle w:val="Author"/>
      </w:pPr>
      <w:r>
        <w:rPr>
          <w:vertAlign w:val="superscript"/>
        </w:rPr>
        <w:t xml:space="preserve">1</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rPr>
          <w:vertAlign w:val="superscript"/>
        </w:rPr>
        <w:t xml:space="preserve">2</w:t>
      </w:r>
      <w:r>
        <w:t xml:space="preserve">Department</w:t>
      </w:r>
      <w:r>
        <w:t xml:space="preserve"> </w:t>
      </w:r>
      <w:r>
        <w:t xml:space="preserve">of</w:t>
      </w:r>
      <w:r>
        <w:t xml:space="preserve"> </w:t>
      </w:r>
      <w:r>
        <w:t xml:space="preserve">Biosystems</w:t>
      </w:r>
      <w:r>
        <w:t xml:space="preserve"> </w:t>
      </w:r>
      <w:r>
        <w:t xml:space="preserve">Science</w:t>
      </w:r>
      <w:r>
        <w:t xml:space="preserve"> </w:t>
      </w:r>
      <w:r>
        <w:t xml:space="preserve">and</w:t>
      </w:r>
      <w:r>
        <w:t xml:space="preserve"> </w:t>
      </w:r>
      <w:r>
        <w:t xml:space="preserve">Engineering,</w:t>
      </w:r>
      <w:r>
        <w:t xml:space="preserve"> </w:t>
      </w:r>
      <w:r>
        <w:t xml:space="preserve">ETH</w:t>
      </w:r>
      <w:r>
        <w:t xml:space="preserve"> </w:t>
      </w:r>
      <w:r>
        <w:t xml:space="preserve">Zürich,</w:t>
      </w:r>
      <w:r>
        <w:t xml:space="preserve"> </w:t>
      </w:r>
      <w:r>
        <w:t xml:space="preserve">4058</w:t>
      </w:r>
      <w:r>
        <w:t xml:space="preserve"> </w:t>
      </w:r>
      <w:r>
        <w:t xml:space="preserve">Basel,</w:t>
      </w:r>
      <w:r>
        <w:t xml:space="preserve"> </w:t>
      </w:r>
      <w:r>
        <w:t xml:space="preserve">Switzerland.</w:t>
      </w:r>
    </w:p>
    <w:p>
      <w:pPr>
        <w:pStyle w:val="Author"/>
      </w:pPr>
      <w:r>
        <w:rPr>
          <w:vertAlign w:val="superscript"/>
        </w:rPr>
        <w:t xml:space="preserve">3</w:t>
      </w:r>
      <w:r>
        <w:t xml:space="preserve">Computational</w:t>
      </w:r>
      <w:r>
        <w:t xml:space="preserve"> </w:t>
      </w:r>
      <w:r>
        <w:t xml:space="preserve">Evolution</w:t>
      </w:r>
      <w:r>
        <w:t xml:space="preserve"> </w:t>
      </w:r>
      <w:r>
        <w:t xml:space="preserve">Group,</w:t>
      </w:r>
      <w:r>
        <w:t xml:space="preserve"> </w:t>
      </w:r>
      <w:r>
        <w:t xml:space="preserve">Swiss</w:t>
      </w:r>
      <w:r>
        <w:t xml:space="preserve"> </w:t>
      </w:r>
      <w:r>
        <w:t xml:space="preserve">Institute</w:t>
      </w:r>
      <w:r>
        <w:t xml:space="preserve"> </w:t>
      </w:r>
      <w:r>
        <w:t xml:space="preserve">of</w:t>
      </w:r>
      <w:r>
        <w:t xml:space="preserve"> </w:t>
      </w:r>
      <w:r>
        <w:t xml:space="preserve">Bioinformatics,</w:t>
      </w:r>
      <w:r>
        <w:t xml:space="preserve"> </w:t>
      </w:r>
      <w:r>
        <w:t xml:space="preserve">1015</w:t>
      </w:r>
      <w:r>
        <w:t xml:space="preserve"> </w:t>
      </w:r>
      <w:r>
        <w:t xml:space="preserve">Lausanne,</w:t>
      </w:r>
      <w:r>
        <w:t xml:space="preserve"> </w:t>
      </w:r>
      <w:r>
        <w:t xml:space="preserve">Switzerland.</w:t>
      </w:r>
    </w:p>
    <w:p>
      <w:pPr>
        <w:pStyle w:val="Author"/>
      </w:pPr>
      <w:r>
        <w:rPr>
          <w:vertAlign w:val="superscript"/>
        </w:rPr>
        <w:t xml:space="preserve">4</w:t>
      </w:r>
      <w:r>
        <w:t xml:space="preserve">Smithsonian</w:t>
      </w:r>
      <w:r>
        <w:t xml:space="preserve"> </w:t>
      </w:r>
      <w:r>
        <w:t xml:space="preserve">National</w:t>
      </w:r>
      <w:r>
        <w:t xml:space="preserve"> </w:t>
      </w:r>
      <w:r>
        <w:t xml:space="preserve">Museum</w:t>
      </w:r>
      <w:r>
        <w:t xml:space="preserve"> </w:t>
      </w:r>
      <w:r>
        <w:t xml:space="preserve">of</w:t>
      </w:r>
      <w:r>
        <w:t xml:space="preserve"> </w:t>
      </w:r>
      <w:r>
        <w:t xml:space="preserve">Natural</w:t>
      </w:r>
      <w:r>
        <w:t xml:space="preserve"> </w:t>
      </w:r>
      <w:r>
        <w:t xml:space="preserve">History,</w:t>
      </w:r>
      <w:r>
        <w:t xml:space="preserve"> </w:t>
      </w:r>
      <w:r>
        <w:t xml:space="preserve">Department</w:t>
      </w:r>
      <w:r>
        <w:t xml:space="preserve"> </w:t>
      </w:r>
      <w:r>
        <w:t xml:space="preserve">of</w:t>
      </w:r>
      <w:r>
        <w:t xml:space="preserve"> </w:t>
      </w:r>
      <w:r>
        <w:t xml:space="preserve">Paleobiology,</w:t>
      </w:r>
      <w:r>
        <w:t xml:space="preserve"> </w:t>
      </w:r>
      <w:r>
        <w:t xml:space="preserve">Washington,</w:t>
      </w:r>
      <w:r>
        <w:t xml:space="preserve"> </w:t>
      </w:r>
      <w:r>
        <w:t xml:space="preserve">DC,</w:t>
      </w:r>
      <w:r>
        <w:t xml:space="preserve"> </w:t>
      </w:r>
      <w:r>
        <w:t xml:space="preserve">20560,</w:t>
      </w:r>
      <w:r>
        <w:t xml:space="preserve"> </w:t>
      </w:r>
      <w:r>
        <w:t xml:space="preserve">USA</w:t>
      </w:r>
    </w:p>
    <w:p>
      <w:pPr>
        <w:pStyle w:val="Author"/>
      </w:pPr>
      <w:r>
        <w:rPr>
          <w:vertAlign w:val="superscript"/>
        </w:rPr>
        <w:t xml:space="preserve">5</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t xml:space="preserve">—</w:t>
      </w:r>
    </w:p>
    <w:p>
      <w:pPr>
        <w:pStyle w:val="Author"/>
      </w:pPr>
      <w:r>
        <w:rPr>
          <w:bCs/>
          <w:b/>
        </w:rPr>
        <w:t xml:space="preserve">All</w:t>
      </w:r>
      <w:r>
        <w:rPr>
          <w:bCs/>
          <w:b/>
        </w:rPr>
        <w:t xml:space="preserve"> </w:t>
      </w:r>
      <w:r>
        <w:rPr>
          <w:bCs/>
          <w:b/>
        </w:rPr>
        <w:t xml:space="preserve">authors</w:t>
      </w:r>
      <w:r>
        <w:rPr>
          <w:bCs/>
          <w:b/>
        </w:rPr>
        <w:t xml:space="preserve"> </w:t>
      </w:r>
      <w:r>
        <w:rPr>
          <w:bCs/>
          <w:b/>
        </w:rPr>
        <w:t xml:space="preserve">contributed</w:t>
      </w:r>
      <w:r>
        <w:rPr>
          <w:bCs/>
          <w:b/>
        </w:rPr>
        <w:t xml:space="preserve"> </w:t>
      </w:r>
      <w:r>
        <w:rPr>
          <w:bCs/>
          <w:b/>
        </w:rPr>
        <w:t xml:space="preserve">equally</w:t>
      </w:r>
      <w:r>
        <w:rPr>
          <w:bCs/>
          <w:b/>
        </w:rPr>
        <w:t xml:space="preserve"> </w:t>
      </w:r>
      <w:r>
        <w:rPr>
          <w:bCs/>
          <w:b/>
        </w:rPr>
        <w:t xml:space="preserve">to</w:t>
      </w:r>
      <w:r>
        <w:rPr>
          <w:bCs/>
          <w:b/>
        </w:rPr>
        <w:t xml:space="preserve"> </w:t>
      </w:r>
      <w:r>
        <w:rPr>
          <w:bCs/>
          <w:b/>
        </w:rPr>
        <w:t xml:space="preserve">this</w:t>
      </w:r>
      <w:r>
        <w:rPr>
          <w:bCs/>
          <w:b/>
        </w:rPr>
        <w:t xml:space="preserve"> </w:t>
      </w:r>
      <w:r>
        <w:rPr>
          <w:bCs/>
          <w:b/>
        </w:rPr>
        <w:t xml:space="preserve">work</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pPr>
        <w:pStyle w:val="Abstract"/>
      </w:pPr>
      <w:r>
        <w:t xml:space="preserve"> </w:t>
      </w:r>
      <w:r>
        <w:t xml:space="preserve">¶</w:t>
      </w:r>
      <w:r>
        <w:t xml:space="preserve"> </w:t>
      </w:r>
      <w:r>
        <w:t xml:space="preserve">Abstract</w:t>
      </w:r>
    </w:p>
    <w:bookmarkStart w:id="20" w:name="keywords"/>
    <w:p>
      <w:pPr>
        <w:pStyle w:val="Heading1"/>
      </w:pPr>
      <w:r>
        <w:t xml:space="preserve">Keywords</w:t>
      </w:r>
    </w:p>
    <w:p>
      <w:pPr>
        <w:pStyle w:val="FirstParagraph"/>
      </w:pPr>
      <w:r>
        <w:t xml:space="preserve">Latitudinal biodiversity gradient, marine invertebrates, macroecology, global plate model, palaeogeographic uncertainty</w:t>
      </w:r>
    </w:p>
    <w:p>
      <w:r>
        <w:br w:type="page"/>
      </w:r>
    </w:p>
    <w:bookmarkEnd w:id="20"/>
    <w:bookmarkStart w:id="21" w:name="introduction-700-words"/>
    <w:p>
      <w:pPr>
        <w:pStyle w:val="Heading1"/>
      </w:pPr>
      <w:r>
        <w:t xml:space="preserve">Introduction (700 words)</w:t>
      </w:r>
    </w:p>
    <w:p>
      <w:pPr>
        <w:numPr>
          <w:ilvl w:val="0"/>
          <w:numId w:val="1001"/>
        </w:numPr>
      </w:pPr>
      <w:r>
        <w:t xml:space="preserve">Could flat, unimodal and bimodal type gradients be observed depending on model choice?</w:t>
      </w:r>
    </w:p>
    <w:p>
      <w:pPr>
        <w:numPr>
          <w:ilvl w:val="0"/>
          <w:numId w:val="1001"/>
        </w:numPr>
      </w:pPr>
      <w:r>
        <w:t xml:space="preserve">Is there a temporal relationship?</w:t>
      </w:r>
    </w:p>
    <w:p>
      <w:pPr>
        <w:numPr>
          <w:ilvl w:val="0"/>
          <w:numId w:val="1001"/>
        </w:numPr>
      </w:pPr>
      <w:r>
        <w:t xml:space="preserve">P1: Introduction about the LBG</w:t>
      </w:r>
    </w:p>
    <w:p>
      <w:pPr>
        <w:numPr>
          <w:ilvl w:val="0"/>
          <w:numId w:val="1001"/>
        </w:numPr>
      </w:pPr>
      <w:r>
        <w:t xml:space="preserve">P2: Introduce Global Plate Models</w:t>
      </w:r>
    </w:p>
    <w:p>
      <w:pPr>
        <w:pStyle w:val="FirstParagraph"/>
      </w:pPr>
      <w:r>
        <w:t xml:space="preserve">Here, we test whether Global Plate Model choice influences the recognition of</w:t>
      </w:r>
      <w:r>
        <w:t xml:space="preserve"> </w:t>
      </w:r>
      <w:r>
        <w:t xml:space="preserve">‘</w:t>
      </w:r>
      <w:r>
        <w:t xml:space="preserve">unimodal-type</w:t>
      </w:r>
      <w:r>
        <w:t xml:space="preserve">’</w:t>
      </w:r>
      <w:r>
        <w:t xml:space="preserve"> </w:t>
      </w:r>
      <w:r>
        <w:t xml:space="preserve">latitudinal biodiversity gradients through out the Phanerozoic (the last 540 million years). To do so, we reconstruct the palaeogeographic distribution of fossil occurrences for five major marine invertebrate groups using data from the Palaeobiology Database and three Global Plate Models. Subsequently, we reconstruct the latitudinal biodiversity gradient using coverage-based rarefaction–a common sampling-standardisation approach–and quantify the strength of the gradient through time and the variability between Global Plate Models. We hypothesis that reconstructions of the latitudinal biodiversity gradient are more sensitive to plate rotation model choice with age of rotation.</w:t>
      </w:r>
    </w:p>
    <w:bookmarkEnd w:id="21"/>
    <w:bookmarkStart w:id="28" w:name="materials-and-methods-600-words"/>
    <w:p>
      <w:pPr>
        <w:pStyle w:val="Heading1"/>
      </w:pPr>
      <w:r>
        <w:t xml:space="preserve">Materials and Methods (600 words)</w:t>
      </w:r>
    </w:p>
    <w:bookmarkStart w:id="23" w:name="occurrence-data"/>
    <w:p>
      <w:pPr>
        <w:pStyle w:val="Heading2"/>
      </w:pPr>
      <w:r>
        <w:t xml:space="preserve">Occurrence data</w:t>
      </w:r>
    </w:p>
    <w:p>
      <w:pPr>
        <w:pStyle w:val="FirstParagraph"/>
      </w:pPr>
      <w:r>
        <w:t xml:space="preserve">We downloaded Fortunian–Piacenzian (541–0 Ma) fossil occurrence data from the Paleobiology Database (PBDB;</w:t>
      </w:r>
      <w:r>
        <w:t xml:space="preserve"> </w:t>
      </w:r>
      <w:hyperlink r:id="rId22">
        <w:r>
          <w:rPr>
            <w:rStyle w:val="Hyperlink"/>
          </w:rPr>
          <w:t xml:space="preserve">https://paleobiodb.org/</w:t>
        </w:r>
      </w:hyperlink>
      <w:r>
        <w:t xml:space="preserve">) for five major marine invertebrate groups (Bivalvia, Brachiopoda, Cephalopoda, Gastropoda, Trilobita) on March 02 2023. Fossil occurrence data were downloaded using the PBDB API service and were restricted to marine environments, valid taxa and regular preservation (i.e. excluding form taxa and ichnotaxa). Occurrence data were subsequently binned into stratigraphic time bins following the Geological Timescale 2020</w:t>
      </w:r>
      <w:r>
        <w:t xml:space="preserve"> </w:t>
      </w:r>
      <w:r>
        <w:t xml:space="preserve">[1]</w:t>
      </w:r>
      <w:r>
        <w:t xml:space="preserve">. To do so, we used the bin_time() function from the palaeoverse R package ver. 1.1.1.900 using the</w:t>
      </w:r>
      <w:r>
        <w:t xml:space="preserve"> </w:t>
      </w:r>
      <w:r>
        <w:t xml:space="preserve">‘</w:t>
      </w:r>
      <w:r>
        <w:t xml:space="preserve">majority</w:t>
      </w:r>
      <w:r>
        <w:t xml:space="preserve">’</w:t>
      </w:r>
      <w:r>
        <w:t xml:space="preserve"> </w:t>
      </w:r>
      <w:r>
        <w:t xml:space="preserve">approach</w:t>
      </w:r>
      <w:r>
        <w:t xml:space="preserve"> </w:t>
      </w:r>
      <w:r>
        <w:t xml:space="preserve">[2]</w:t>
      </w:r>
      <w:r>
        <w:t xml:space="preserve">. Subsequently, we removed all occurrences with less than 95% of their age range covered by their assigned temporal bin. After data preparation, the occurrence dataset contained 347,193 occurrences from 56,283 collections.</w:t>
      </w:r>
    </w:p>
    <w:bookmarkEnd w:id="23"/>
    <w:bookmarkStart w:id="26" w:name="X3b031ebdf784a58eae7b3cc341da0dedccb5575"/>
    <w:p>
      <w:pPr>
        <w:pStyle w:val="Heading2"/>
      </w:pPr>
      <w:r>
        <w:t xml:space="preserve">Palaeogeographic reconstruction and binning</w:t>
      </w:r>
    </w:p>
    <w:p>
      <w:pPr>
        <w:pStyle w:val="FirstParagraph"/>
      </w:pPr>
      <w:r>
        <w:t xml:space="preserve">To reconstruct the palaeogeographic distribution of fossil occurrences, we used occurrences’ present-day coordinates and midpoint age from assigned temporal bins with three Global Plate Models: PALEOMAP</w:t>
      </w:r>
      <w:r>
        <w:t xml:space="preserve"> </w:t>
      </w:r>
      <w:r>
        <w:t xml:space="preserve">[3]</w:t>
      </w:r>
      <w:r>
        <w:t xml:space="preserve">, GOLONKA</w:t>
      </w:r>
      <w:r>
        <w:t xml:space="preserve"> </w:t>
      </w:r>
      <w:r>
        <w:t xml:space="preserve">[4]</w:t>
      </w:r>
      <w:r>
        <w:t xml:space="preserve">, and MERDITH2021</w:t>
      </w:r>
      <w:r>
        <w:t xml:space="preserve"> </w:t>
      </w:r>
      <w:r>
        <w:t xml:space="preserve">[5]</w:t>
      </w:r>
      <w:r>
        <w:t xml:space="preserve">. Palaeogeographic reconstructions were generated using the GPlates Web Service (</w:t>
      </w:r>
      <w:hyperlink r:id="rId24">
        <w:r>
          <w:rPr>
            <w:rStyle w:val="Hyperlink"/>
          </w:rPr>
          <w:t xml:space="preserve">https://gwsdoc.gplates.org</w:t>
        </w:r>
      </w:hyperlink>
      <w:r>
        <w:t xml:space="preserve">) via the palaeorotate() function in palaeoverse ver. 1.1.1.900</w:t>
      </w:r>
      <w:r>
        <w:t xml:space="preserve"> </w:t>
      </w:r>
      <w:r>
        <w:t xml:space="preserve">[2]</w:t>
      </w:r>
      <w:r>
        <w:t xml:space="preserve">. Subsequently, for each Global Plate Model, fossil occurrences were binned into one of twelve equal-area latitudinal bins (assuming a regular spheroid Earth model with a radius of ~6,371 km), using the estimated palaeolatitudes (</w:t>
      </w:r>
      <w:hyperlink w:anchor="tbl-bins">
        <w:r>
          <w:rPr>
            <w:rStyle w:val="Hyperlink"/>
          </w:rPr>
          <w:t xml:space="preserve">Table 1</w:t>
        </w:r>
      </w:hyperlink>
      <w:r>
        <w:t xml:space="preserve">).</w:t>
      </w:r>
    </w:p>
    <w:bookmarkStart w:id="25" w:name="tbl-bins"/>
    <w:p>
      <w:pPr>
        <w:pStyle w:val="TableCaption"/>
      </w:pPr>
      <w:r>
        <w:t xml:space="preserve">Table 1: Equal-area latitudinal bins used in this study. Bins are generated assumming a regular spheroid Earth model with a mean radius of ~6,371 km.</w:t>
      </w:r>
    </w:p>
    <w:tbl>
      <w:tblPr>
        <w:tblStyle w:val="Table"/>
        <w:tblW w:type="pct" w:w="5100"/>
        <w:tblLook w:firstRow="1" w:lastRow="0" w:firstColumn="0" w:lastColumn="0" w:noHBand="0" w:noVBand="0" w:val="0020"/>
        <w:tblCaption w:val="Table 1: Equal-area latitudinal bins used in this study. Bins are generated assumming a regular spheroid Earth model with a mean radius of ~6,371 km."/>
      </w:tblPr>
      <w:tblGrid>
        <w:gridCol w:w="1346"/>
        <w:gridCol w:w="1346"/>
        <w:gridCol w:w="1346"/>
        <w:gridCol w:w="1346"/>
        <w:gridCol w:w="1346"/>
        <w:gridCol w:w="1346"/>
      </w:tblGrid>
      <w:tr>
        <w:trPr>
          <w:tblHeader w:val="true"/>
        </w:trPr>
        <w:tc>
          <w:tcPr/>
          <w:p>
            <w:pPr>
              <w:pStyle w:val="Compact"/>
              <w:jc w:val="right"/>
            </w:pPr>
            <w:r>
              <w:t xml:space="preserve">Bin</w:t>
            </w:r>
          </w:p>
        </w:tc>
        <w:tc>
          <w:tcPr/>
          <w:p>
            <w:pPr>
              <w:pStyle w:val="Compact"/>
              <w:jc w:val="right"/>
            </w:pPr>
            <w:r>
              <w:t xml:space="preserve">Maximum</w:t>
            </w:r>
          </w:p>
        </w:tc>
        <w:tc>
          <w:tcPr/>
          <w:p>
            <w:pPr>
              <w:pStyle w:val="Compact"/>
              <w:jc w:val="right"/>
            </w:pPr>
            <w:r>
              <w:t xml:space="preserve">Midpoint</w:t>
            </w:r>
          </w:p>
        </w:tc>
        <w:tc>
          <w:tcPr/>
          <w:p>
            <w:pPr>
              <w:pStyle w:val="Compact"/>
              <w:jc w:val="right"/>
            </w:pPr>
            <w:r>
              <w:t xml:space="preserve">Minimum</w:t>
            </w:r>
          </w:p>
        </w:tc>
        <w:tc>
          <w:tcPr/>
          <w:p>
            <w:pPr>
              <w:pStyle w:val="Compact"/>
              <w:jc w:val="right"/>
            </w:pPr>
            <w:r>
              <w:t xml:space="preserve">Area (m</w:t>
            </w:r>
            <w:r>
              <w:rPr>
                <w:vertAlign w:val="superscript"/>
              </w:rPr>
              <w:t xml:space="preserve">2</w:t>
            </w:r>
            <w:r>
              <w:t xml:space="preserve">)</w:t>
            </w:r>
          </w:p>
        </w:tc>
        <w:tc>
          <w:tcPr/>
          <w:p>
            <w:pPr>
              <w:pStyle w:val="Compact"/>
              <w:jc w:val="right"/>
            </w:pPr>
            <w:r>
              <w:t xml:space="preserve">Proportion of Area</w:t>
            </w:r>
          </w:p>
        </w:tc>
      </w:tr>
      <w:tr>
        <w:tc>
          <w:tcPr/>
          <w:p>
            <w:pPr>
              <w:pStyle w:val="Compact"/>
              <w:jc w:val="right"/>
            </w:pPr>
            <w:r>
              <w:t xml:space="preserve">1</w:t>
            </w:r>
          </w:p>
        </w:tc>
        <w:tc>
          <w:tcPr/>
          <w:p>
            <w:pPr>
              <w:pStyle w:val="Compact"/>
              <w:jc w:val="right"/>
            </w:pPr>
            <w:r>
              <w:t xml:space="preserve">90.00</w:t>
            </w:r>
          </w:p>
        </w:tc>
        <w:tc>
          <w:tcPr/>
          <w:p>
            <w:pPr>
              <w:pStyle w:val="Compact"/>
              <w:jc w:val="right"/>
            </w:pPr>
            <w:r>
              <w:t xml:space="preserve">73.235</w:t>
            </w:r>
          </w:p>
        </w:tc>
        <w:tc>
          <w:tcPr/>
          <w:p>
            <w:pPr>
              <w:pStyle w:val="Compact"/>
              <w:jc w:val="right"/>
            </w:pPr>
            <w:r>
              <w:t xml:space="preserve">56.47</w:t>
            </w:r>
          </w:p>
        </w:tc>
        <w:tc>
          <w:tcPr/>
          <w:p>
            <w:pPr>
              <w:pStyle w:val="Compact"/>
              <w:jc w:val="right"/>
            </w:pPr>
            <w:r>
              <w:t xml:space="preserve">4.24e+13</w:t>
            </w:r>
          </w:p>
        </w:tc>
        <w:tc>
          <w:tcPr/>
          <w:p>
            <w:pPr>
              <w:pStyle w:val="Compact"/>
              <w:jc w:val="right"/>
            </w:pPr>
            <w:r>
              <w:t xml:space="preserve">0.083</w:t>
            </w:r>
          </w:p>
        </w:tc>
      </w:tr>
      <w:tr>
        <w:tc>
          <w:tcPr/>
          <w:p>
            <w:pPr>
              <w:pStyle w:val="Compact"/>
              <w:jc w:val="right"/>
            </w:pPr>
            <w:r>
              <w:t xml:space="preserve">2</w:t>
            </w:r>
          </w:p>
        </w:tc>
        <w:tc>
          <w:tcPr/>
          <w:p>
            <w:pPr>
              <w:pStyle w:val="Compact"/>
              <w:jc w:val="right"/>
            </w:pPr>
            <w:r>
              <w:t xml:space="preserve">56.47</w:t>
            </w:r>
          </w:p>
        </w:tc>
        <w:tc>
          <w:tcPr/>
          <w:p>
            <w:pPr>
              <w:pStyle w:val="Compact"/>
              <w:jc w:val="right"/>
            </w:pPr>
            <w:r>
              <w:t xml:space="preserve">49.150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3</w:t>
            </w:r>
          </w:p>
        </w:tc>
        <w:tc>
          <w:tcPr/>
          <w:p>
            <w:pPr>
              <w:pStyle w:val="Compact"/>
              <w:jc w:val="right"/>
            </w:pPr>
            <w:r>
              <w:t xml:space="preserve">41.83</w:t>
            </w:r>
          </w:p>
        </w:tc>
        <w:tc>
          <w:tcPr/>
          <w:p>
            <w:pPr>
              <w:pStyle w:val="Compact"/>
              <w:jc w:val="right"/>
            </w:pPr>
            <w:r>
              <w:t xml:space="preserve">35.920</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4</w:t>
            </w:r>
          </w:p>
        </w:tc>
        <w:tc>
          <w:tcPr/>
          <w:p>
            <w:pPr>
              <w:pStyle w:val="Compact"/>
              <w:jc w:val="right"/>
            </w:pPr>
            <w:r>
              <w:t xml:space="preserve">30.01</w:t>
            </w:r>
          </w:p>
        </w:tc>
        <w:tc>
          <w:tcPr/>
          <w:p>
            <w:pPr>
              <w:pStyle w:val="Compact"/>
              <w:jc w:val="right"/>
            </w:pPr>
            <w:r>
              <w:t xml:space="preserve">24.745</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5</w:t>
            </w:r>
          </w:p>
        </w:tc>
        <w:tc>
          <w:tcPr/>
          <w:p>
            <w:pPr>
              <w:pStyle w:val="Compact"/>
              <w:jc w:val="right"/>
            </w:pPr>
            <w:r>
              <w:t xml:space="preserve">19.48</w:t>
            </w:r>
          </w:p>
        </w:tc>
        <w:tc>
          <w:tcPr/>
          <w:p>
            <w:pPr>
              <w:pStyle w:val="Compact"/>
              <w:jc w:val="right"/>
            </w:pPr>
            <w:r>
              <w:t xml:space="preserve">14.540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6</w:t>
            </w:r>
          </w:p>
        </w:tc>
        <w:tc>
          <w:tcPr/>
          <w:p>
            <w:pPr>
              <w:pStyle w:val="Compact"/>
              <w:jc w:val="right"/>
            </w:pPr>
            <w:r>
              <w:t xml:space="preserve">9.60</w:t>
            </w:r>
          </w:p>
        </w:tc>
        <w:tc>
          <w:tcPr/>
          <w:p>
            <w:pPr>
              <w:pStyle w:val="Compact"/>
              <w:jc w:val="right"/>
            </w:pPr>
            <w:r>
              <w:t xml:space="preserve">4.800</w:t>
            </w:r>
          </w:p>
        </w:tc>
        <w:tc>
          <w:tcPr/>
          <w:p>
            <w:pPr>
              <w:pStyle w:val="Compact"/>
              <w:jc w:val="right"/>
            </w:pPr>
            <w:r>
              <w:t xml:space="preserve">0.00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7</w:t>
            </w:r>
          </w:p>
        </w:tc>
        <w:tc>
          <w:tcPr/>
          <w:p>
            <w:pPr>
              <w:pStyle w:val="Compact"/>
              <w:jc w:val="right"/>
            </w:pPr>
            <w:r>
              <w:t xml:space="preserve">0.00</w:t>
            </w:r>
          </w:p>
        </w:tc>
        <w:tc>
          <w:tcPr/>
          <w:p>
            <w:pPr>
              <w:pStyle w:val="Compact"/>
              <w:jc w:val="right"/>
            </w:pPr>
            <w:r>
              <w:t xml:space="preserve">-4.800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8</w:t>
            </w:r>
          </w:p>
        </w:tc>
        <w:tc>
          <w:tcPr/>
          <w:p>
            <w:pPr>
              <w:pStyle w:val="Compact"/>
              <w:jc w:val="right"/>
            </w:pPr>
            <w:r>
              <w:t xml:space="preserve">-9.60</w:t>
            </w:r>
          </w:p>
        </w:tc>
        <w:tc>
          <w:tcPr/>
          <w:p>
            <w:pPr>
              <w:pStyle w:val="Compact"/>
              <w:jc w:val="right"/>
            </w:pPr>
            <w:r>
              <w:t xml:space="preserve">-14.540</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9</w:t>
            </w:r>
          </w:p>
        </w:tc>
        <w:tc>
          <w:tcPr/>
          <w:p>
            <w:pPr>
              <w:pStyle w:val="Compact"/>
              <w:jc w:val="right"/>
            </w:pPr>
            <w:r>
              <w:t xml:space="preserve">-19.48</w:t>
            </w:r>
          </w:p>
        </w:tc>
        <w:tc>
          <w:tcPr/>
          <w:p>
            <w:pPr>
              <w:pStyle w:val="Compact"/>
              <w:jc w:val="right"/>
            </w:pPr>
            <w:r>
              <w:t xml:space="preserve">-24.745</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10</w:t>
            </w:r>
          </w:p>
        </w:tc>
        <w:tc>
          <w:tcPr/>
          <w:p>
            <w:pPr>
              <w:pStyle w:val="Compact"/>
              <w:jc w:val="right"/>
            </w:pPr>
            <w:r>
              <w:t xml:space="preserve">-30.01</w:t>
            </w:r>
          </w:p>
        </w:tc>
        <w:tc>
          <w:tcPr/>
          <w:p>
            <w:pPr>
              <w:pStyle w:val="Compact"/>
              <w:jc w:val="right"/>
            </w:pPr>
            <w:r>
              <w:t xml:space="preserve">-35.920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11</w:t>
            </w:r>
          </w:p>
        </w:tc>
        <w:tc>
          <w:tcPr/>
          <w:p>
            <w:pPr>
              <w:pStyle w:val="Compact"/>
              <w:jc w:val="right"/>
            </w:pPr>
            <w:r>
              <w:t xml:space="preserve">-41.83</w:t>
            </w:r>
          </w:p>
        </w:tc>
        <w:tc>
          <w:tcPr/>
          <w:p>
            <w:pPr>
              <w:pStyle w:val="Compact"/>
              <w:jc w:val="right"/>
            </w:pPr>
            <w:r>
              <w:t xml:space="preserve">-49.150</w:t>
            </w:r>
          </w:p>
        </w:tc>
        <w:tc>
          <w:tcPr/>
          <w:p>
            <w:pPr>
              <w:pStyle w:val="Compact"/>
              <w:jc w:val="right"/>
            </w:pPr>
            <w:r>
              <w:t xml:space="preserve">-56.47</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12</w:t>
            </w:r>
          </w:p>
        </w:tc>
        <w:tc>
          <w:tcPr/>
          <w:p>
            <w:pPr>
              <w:pStyle w:val="Compact"/>
              <w:jc w:val="right"/>
            </w:pPr>
            <w:r>
              <w:t xml:space="preserve">-56.47</w:t>
            </w:r>
          </w:p>
        </w:tc>
        <w:tc>
          <w:tcPr/>
          <w:p>
            <w:pPr>
              <w:pStyle w:val="Compact"/>
              <w:jc w:val="right"/>
            </w:pPr>
            <w:r>
              <w:t xml:space="preserve">-73.235</w:t>
            </w:r>
          </w:p>
        </w:tc>
        <w:tc>
          <w:tcPr/>
          <w:p>
            <w:pPr>
              <w:pStyle w:val="Compact"/>
              <w:jc w:val="right"/>
            </w:pPr>
            <w:r>
              <w:t xml:space="preserve">-90.00</w:t>
            </w:r>
          </w:p>
        </w:tc>
        <w:tc>
          <w:tcPr/>
          <w:p>
            <w:pPr>
              <w:pStyle w:val="Compact"/>
              <w:jc w:val="right"/>
            </w:pPr>
            <w:r>
              <w:t xml:space="preserve">4.24e+13</w:t>
            </w:r>
          </w:p>
        </w:tc>
        <w:tc>
          <w:tcPr/>
          <w:p>
            <w:pPr>
              <w:pStyle w:val="Compact"/>
              <w:jc w:val="right"/>
            </w:pPr>
            <w:r>
              <w:t xml:space="preserve">0.083</w:t>
            </w:r>
          </w:p>
        </w:tc>
      </w:tr>
    </w:tbl>
    <w:bookmarkEnd w:id="25"/>
    <w:bookmarkEnd w:id="26"/>
    <w:bookmarkStart w:id="27" w:name="Xbec1fd9d70890d433f0a87fbd96db165b051299"/>
    <w:p>
      <w:pPr>
        <w:pStyle w:val="Heading2"/>
      </w:pPr>
      <w:r>
        <w:t xml:space="preserve">Quantifying the latitudinal biodiveristy gradient</w:t>
      </w:r>
    </w:p>
    <w:p>
      <w:pPr>
        <w:numPr>
          <w:ilvl w:val="0"/>
          <w:numId w:val="1002"/>
        </w:numPr>
        <w:pStyle w:val="Compact"/>
      </w:pPr>
      <w:r>
        <w:t xml:space="preserve">Metrics used to quantify the gradient</w:t>
      </w:r>
    </w:p>
    <w:bookmarkEnd w:id="27"/>
    <w:bookmarkEnd w:id="28"/>
    <w:bookmarkStart w:id="29" w:name="results-500-words"/>
    <w:p>
      <w:pPr>
        <w:pStyle w:val="Heading1"/>
      </w:pPr>
      <w:r>
        <w:t xml:space="preserve">Results (500 words)</w:t>
      </w:r>
    </w:p>
    <w:p>
      <w:pPr>
        <w:numPr>
          <w:ilvl w:val="0"/>
          <w:numId w:val="1003"/>
        </w:numPr>
        <w:pStyle w:val="Compact"/>
      </w:pPr>
      <w:r>
        <w:t xml:space="preserve">Summary of reconstructions (could all points be reconstructed for each model?)</w:t>
      </w:r>
    </w:p>
    <w:p>
      <w:pPr>
        <w:numPr>
          <w:ilvl w:val="0"/>
          <w:numId w:val="1003"/>
        </w:numPr>
        <w:pStyle w:val="Compact"/>
      </w:pPr>
      <w:r>
        <w:t xml:space="preserve">Summary of results from metrics, do different gradients emerge?</w:t>
      </w:r>
    </w:p>
    <w:bookmarkEnd w:id="29"/>
    <w:bookmarkStart w:id="30" w:name="discussion-700-words"/>
    <w:p>
      <w:pPr>
        <w:pStyle w:val="Heading1"/>
      </w:pPr>
      <w:r>
        <w:t xml:space="preserve">Discussion (700 words)</w:t>
      </w:r>
    </w:p>
    <w:p>
      <w:pPr>
        <w:numPr>
          <w:ilvl w:val="0"/>
          <w:numId w:val="1004"/>
        </w:numPr>
        <w:pStyle w:val="Compact"/>
      </w:pPr>
      <w:r>
        <w:t xml:space="preserve">Recap on importance of GPMs for deep time macroecology?</w:t>
      </w:r>
    </w:p>
    <w:p>
      <w:pPr>
        <w:numPr>
          <w:ilvl w:val="0"/>
          <w:numId w:val="1004"/>
        </w:numPr>
        <w:pStyle w:val="Compact"/>
      </w:pPr>
      <w:r>
        <w:t xml:space="preserve">What have we shown?</w:t>
      </w:r>
    </w:p>
    <w:p>
      <w:pPr>
        <w:numPr>
          <w:ilvl w:val="0"/>
          <w:numId w:val="1004"/>
        </w:numPr>
        <w:pStyle w:val="Compact"/>
      </w:pPr>
      <w:r>
        <w:t xml:space="preserve">Are some times or areas more problematic than others?</w:t>
      </w:r>
    </w:p>
    <w:p>
      <w:pPr>
        <w:numPr>
          <w:ilvl w:val="0"/>
          <w:numId w:val="1004"/>
        </w:numPr>
        <w:pStyle w:val="Compact"/>
      </w:pPr>
      <w:r>
        <w:t xml:space="preserve">Importance for other fields beyond palaeobiology?</w:t>
      </w:r>
    </w:p>
    <w:p>
      <w:pPr>
        <w:numPr>
          <w:ilvl w:val="0"/>
          <w:numId w:val="1004"/>
        </w:numPr>
        <w:pStyle w:val="Compact"/>
      </w:pPr>
      <w:r>
        <w:t xml:space="preserve">Consider importance of GPM choice in future work… or not?</w:t>
      </w:r>
    </w:p>
    <w:bookmarkEnd w:id="30"/>
    <w:bookmarkStart w:id="31" w:name="data-accessibility"/>
    <w:p>
      <w:pPr>
        <w:pStyle w:val="Heading1"/>
      </w:pPr>
      <w:r>
        <w:t xml:space="preserve">Data accessibility</w:t>
      </w:r>
    </w:p>
    <w:bookmarkEnd w:id="31"/>
    <w:bookmarkStart w:id="32" w:name="authors-contributions"/>
    <w:p>
      <w:pPr>
        <w:pStyle w:val="Heading1"/>
      </w:pPr>
      <w:r>
        <w:t xml:space="preserve">Authors’ contributions</w:t>
      </w:r>
    </w:p>
    <w:bookmarkEnd w:id="32"/>
    <w:bookmarkStart w:id="33" w:name="funding"/>
    <w:p>
      <w:pPr>
        <w:pStyle w:val="Heading1"/>
      </w:pPr>
      <w:r>
        <w:t xml:space="preserve">Funding</w:t>
      </w:r>
    </w:p>
    <w:bookmarkEnd w:id="33"/>
    <w:bookmarkStart w:id="34" w:name="acknowledgements"/>
    <w:p>
      <w:pPr>
        <w:pStyle w:val="Heading1"/>
      </w:pPr>
      <w:r>
        <w:t xml:space="preserve">Acknowledgements</w:t>
      </w:r>
    </w:p>
    <w:bookmarkEnd w:id="34"/>
    <w:bookmarkStart w:id="44" w:name="references"/>
    <w:p>
      <w:pPr>
        <w:pStyle w:val="Heading1"/>
      </w:pPr>
      <w:r>
        <w:t xml:space="preserve">References</w:t>
      </w:r>
    </w:p>
    <w:bookmarkStart w:id="43" w:name="refs"/>
    <w:bookmarkStart w:id="35" w:name="ref-gradstein2020"/>
    <w:p>
      <w:pPr>
        <w:pStyle w:val="Bibliography"/>
      </w:pPr>
      <w:r>
        <w:t xml:space="preserve">1.</w:t>
      </w:r>
      <w:r>
        <w:t xml:space="preserve"> </w:t>
      </w:r>
      <w:r>
        <w:t xml:space="preserve">	</w:t>
      </w:r>
      <w:r>
        <w:t xml:space="preserve">Gradstein FM, Ogg JG, Schmitz MD, Ogg GM. 2020</w:t>
      </w:r>
      <w:r>
        <w:t xml:space="preserve"> </w:t>
      </w:r>
      <w:r>
        <w:rPr>
          <w:iCs/>
          <w:i/>
        </w:rPr>
        <w:t xml:space="preserve">Geologic time scale 2020</w:t>
      </w:r>
      <w:r>
        <w:t xml:space="preserve">. Elsevier.</w:t>
      </w:r>
      <w:r>
        <w:t xml:space="preserve"> </w:t>
      </w:r>
    </w:p>
    <w:bookmarkEnd w:id="35"/>
    <w:bookmarkStart w:id="37" w:name="ref-jones2023"/>
    <w:p>
      <w:pPr>
        <w:pStyle w:val="Bibliography"/>
      </w:pPr>
      <w:r>
        <w:t xml:space="preserve">2.</w:t>
      </w:r>
      <w:r>
        <w:t xml:space="preserve"> </w:t>
      </w:r>
      <w:r>
        <w:t xml:space="preserve">	</w:t>
      </w:r>
      <w:r>
        <w:t xml:space="preserve">Jones LA</w:t>
      </w:r>
      <w:r>
        <w:t xml:space="preserve"> </w:t>
      </w:r>
      <w:r>
        <w:rPr>
          <w:iCs/>
          <w:i/>
        </w:rPr>
        <w:t xml:space="preserve">et al.</w:t>
      </w:r>
      <w:r>
        <w:t xml:space="preserve"> 2023 palaeoverse: a community-driven R package to support palaeobiological analysis. (doi:</w:t>
      </w:r>
      <w:hyperlink r:id="rId36">
        <w:r>
          <w:rPr>
            <w:rStyle w:val="Hyperlink"/>
          </w:rPr>
          <w:t xml:space="preserve">10.31223/X5Z94Q</w:t>
        </w:r>
      </w:hyperlink>
      <w:r>
        <w:t xml:space="preserve">)</w:t>
      </w:r>
    </w:p>
    <w:bookmarkEnd w:id="37"/>
    <w:bookmarkStart w:id="39" w:name="ref-scotese2018"/>
    <w:p>
      <w:pPr>
        <w:pStyle w:val="Bibliography"/>
      </w:pPr>
      <w:r>
        <w:t xml:space="preserve">3.</w:t>
      </w:r>
      <w:r>
        <w:t xml:space="preserve"> </w:t>
      </w:r>
      <w:r>
        <w:t xml:space="preserve">	</w:t>
      </w:r>
      <w:r>
        <w:t xml:space="preserve">Scotese C, Wright NM. 2018</w:t>
      </w:r>
      <w:r>
        <w:t xml:space="preserve"> </w:t>
      </w:r>
      <w:hyperlink r:id="rId38">
        <w:r>
          <w:rPr>
            <w:rStyle w:val="Hyperlink"/>
          </w:rPr>
          <w:t xml:space="preserve">PALEOMAP paleodigital elevation models (PaleoDEMs) for the phanerozoic PALEOMAP project</w:t>
        </w:r>
      </w:hyperlink>
      <w:r>
        <w:t xml:space="preserve">.</w:t>
      </w:r>
      <w:r>
        <w:t xml:space="preserve"> </w:t>
      </w:r>
    </w:p>
    <w:bookmarkEnd w:id="39"/>
    <w:bookmarkStart w:id="41" w:name="ref-wright2013"/>
    <w:p>
      <w:pPr>
        <w:pStyle w:val="Bibliography"/>
      </w:pPr>
      <w:r>
        <w:t xml:space="preserve">4.</w:t>
      </w:r>
      <w:r>
        <w:t xml:space="preserve"> </w:t>
      </w:r>
      <w:r>
        <w:t xml:space="preserve">	</w:t>
      </w:r>
      <w:r>
        <w:t xml:space="preserve">Wright N, Zahirovic S, Müller RD, Seton M. 2013 Towards community-driven paleogeographic reconstructions: integrating open-access paleogeographic and paleobiology data with plate tectonics.</w:t>
      </w:r>
      <w:r>
        <w:t xml:space="preserve"> </w:t>
      </w:r>
      <w:r>
        <w:rPr>
          <w:iCs/>
          <w:i/>
        </w:rPr>
        <w:t xml:space="preserve">Biogeosciences</w:t>
      </w:r>
      <w:r>
        <w:t xml:space="preserve"> </w:t>
      </w:r>
      <w:r>
        <w:rPr>
          <w:bCs/>
          <w:b/>
        </w:rPr>
        <w:t xml:space="preserve">10</w:t>
      </w:r>
      <w:r>
        <w:t xml:space="preserve">, 1529–1541. (doi:</w:t>
      </w:r>
      <w:hyperlink r:id="rId40">
        <w:r>
          <w:rPr>
            <w:rStyle w:val="Hyperlink"/>
          </w:rPr>
          <w:t xml:space="preserve">10.5194/bg-10-1529-2013</w:t>
        </w:r>
      </w:hyperlink>
      <w:r>
        <w:t xml:space="preserve">)</w:t>
      </w:r>
    </w:p>
    <w:bookmarkEnd w:id="41"/>
    <w:bookmarkStart w:id="42" w:name="ref-merdith2021"/>
    <w:p>
      <w:pPr>
        <w:pStyle w:val="Bibliography"/>
      </w:pPr>
      <w:r>
        <w:t xml:space="preserve">5.</w:t>
      </w:r>
      <w:r>
        <w:t xml:space="preserve"> </w:t>
      </w:r>
      <w:r>
        <w:t xml:space="preserve">	</w:t>
      </w:r>
      <w:r>
        <w:t xml:space="preserve">Merdith AS</w:t>
      </w:r>
      <w:r>
        <w:t xml:space="preserve"> </w:t>
      </w:r>
      <w:r>
        <w:rPr>
          <w:iCs/>
          <w:i/>
        </w:rPr>
        <w:t xml:space="preserve">et al.</w:t>
      </w:r>
      <w:r>
        <w:t xml:space="preserve"> 2021 Extending full-plate tectonic models into deep time: Linking the neoproterozoic and the phanerozoic.</w:t>
      </w:r>
      <w:r>
        <w:t xml:space="preserve"> </w:t>
      </w:r>
      <w:r>
        <w:rPr>
          <w:iCs/>
          <w:i/>
        </w:rPr>
        <w:t xml:space="preserve">Earth-Science Reviews</w:t>
      </w:r>
      <w:r>
        <w:t xml:space="preserve"> </w:t>
      </w:r>
      <w:r>
        <w:rPr>
          <w:bCs/>
          <w:b/>
        </w:rPr>
        <w:t xml:space="preserve">214</w:t>
      </w:r>
      <w:r>
        <w:t xml:space="preserve">, 103477.</w:t>
      </w:r>
    </w:p>
    <w:bookmarkEnd w:id="42"/>
    <w:bookmarkEnd w:id="43"/>
    <w:bookmarkEnd w:id="44"/>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31223/X5Z94Q" TargetMode="External" /><Relationship Type="http://schemas.openxmlformats.org/officeDocument/2006/relationships/hyperlink" Id="rId40"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38" Target="https://www.earthbyte.org/paleodem-resource-scotese-and-wright-2018/"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31223/X5Z94Q" TargetMode="External" /><Relationship Type="http://schemas.openxmlformats.org/officeDocument/2006/relationships/hyperlink" Id="rId40"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38" Target="https://www.earthbyte.org/paleodem-resource-scotese-and-wright-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plate model choice impacts reconstructions of the latitudinal biodiversity gradient</dc:title>
  <dc:creator>—; Lewis A. Jones1, Bethany J. Allen2,3, William Gearty4, and Lucas Buffan4; —; 1Grupo de Ecoloxía Animal, Departamento de Ecoloxía e Bioloxía Animal, Universidade de Vigo, 36310 Vigo, Spain.; 2Department of Biosystems Science and Engineering, ETH Zürich, 4058 Basel, Switzerland.; 3Computational Evolution Group, Swiss Institute of Bioinformatics, 1015 Lausanne, Switzerland.; 4Smithsonian National Museum of Natural History, Department of Paleobiology, Washington, DC, 20560, USA; 5Département de Biologie, École Normale Supérieure de Lyon, Université Claude Bernard Lyon 1, 69342 Lyon Cedex 07, France.; —; All authors contributed equally to this work; Corresponding author: LewisAlan.Jones@uvigo.es</dc:creator>
  <cp:keywords/>
  <dcterms:created xsi:type="dcterms:W3CDTF">2023-03-08T06:17:32Z</dcterms:created>
  <dcterms:modified xsi:type="dcterms:W3CDTF">2023-03-08T06:17:32Z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biology-letters.csl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