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latitudinal</w:t>
      </w:r>
      <w:r>
        <w:t xml:space="preserve"> </w:t>
      </w:r>
      <w:r>
        <w:t xml:space="preserve">biodiversity</w:t>
      </w:r>
      <w:r>
        <w:t xml:space="preserve"> </w:t>
      </w:r>
      <w:r>
        <w:t xml:space="preserve">gradient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Bethany</w:t>
      </w:r>
      <w:r>
        <w:t xml:space="preserve"> </w:t>
      </w:r>
      <w:r>
        <w:t xml:space="preserve">J.</w:t>
      </w:r>
      <w:r>
        <w:t xml:space="preserve"> </w:t>
      </w:r>
      <w:r>
        <w:t xml:space="preserve">Allen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William</w:t>
      </w:r>
      <w:r>
        <w:t xml:space="preserve"> </w:t>
      </w:r>
      <w:r>
        <w:t xml:space="preserve">Gearty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Lucas</w:t>
      </w:r>
      <w:r>
        <w:t xml:space="preserve"> </w:t>
      </w:r>
      <w:r>
        <w:t xml:space="preserve">Buffan</w:t>
      </w:r>
      <w:r>
        <w:rPr>
          <w:vertAlign w:val="superscript"/>
        </w:rPr>
        <w:t xml:space="preserve">4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Grupo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Departamento</w:t>
      </w:r>
      <w:r>
        <w:t xml:space="preserve"> </w:t>
      </w:r>
      <w:r>
        <w:t xml:space="preserve">de</w:t>
      </w:r>
      <w:r>
        <w:t xml:space="preserve"> </w:t>
      </w:r>
      <w:r>
        <w:t xml:space="preserve">Ecoloxía</w:t>
      </w:r>
      <w:r>
        <w:t xml:space="preserve"> </w:t>
      </w:r>
      <w:r>
        <w:t xml:space="preserve">e</w:t>
      </w:r>
      <w:r>
        <w:t xml:space="preserve"> </w:t>
      </w:r>
      <w:r>
        <w:t xml:space="preserve">Bioloxía</w:t>
      </w:r>
      <w:r>
        <w:t xml:space="preserve"> </w:t>
      </w:r>
      <w:r>
        <w:t xml:space="preserve">Animal,</w:t>
      </w:r>
      <w:r>
        <w:t xml:space="preserve"> </w:t>
      </w:r>
      <w:r>
        <w:t xml:space="preserve">Universidade</w:t>
      </w:r>
      <w:r>
        <w:t xml:space="preserve"> </w:t>
      </w:r>
      <w:r>
        <w:t xml:space="preserve">de</w:t>
      </w:r>
      <w:r>
        <w:t xml:space="preserve"> </w:t>
      </w:r>
      <w:r>
        <w:t xml:space="preserve">Vigo,</w:t>
      </w:r>
      <w:r>
        <w:t xml:space="preserve"> </w:t>
      </w:r>
      <w:r>
        <w:t xml:space="preserve">36310</w:t>
      </w:r>
      <w:r>
        <w:t xml:space="preserve"> </w:t>
      </w:r>
      <w:r>
        <w:t xml:space="preserve">Vigo,</w:t>
      </w:r>
      <w:r>
        <w:t xml:space="preserve"> </w:t>
      </w:r>
      <w:r>
        <w:t xml:space="preserve">Spain.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Biosystems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Engineering,</w:t>
      </w:r>
      <w:r>
        <w:t xml:space="preserve"> </w:t>
      </w:r>
      <w:r>
        <w:t xml:space="preserve">ETH</w:t>
      </w:r>
      <w:r>
        <w:t xml:space="preserve"> </w:t>
      </w:r>
      <w:r>
        <w:t xml:space="preserve">Zürich,</w:t>
      </w:r>
      <w:r>
        <w:t xml:space="preserve"> </w:t>
      </w:r>
      <w:r>
        <w:t xml:space="preserve">4058</w:t>
      </w:r>
      <w:r>
        <w:t xml:space="preserve"> </w:t>
      </w:r>
      <w:r>
        <w:t xml:space="preserve">Basel,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3</w:t>
      </w:r>
      <w:r>
        <w:t xml:space="preserve">Computational</w:t>
      </w:r>
      <w:r>
        <w:t xml:space="preserve"> </w:t>
      </w:r>
      <w:r>
        <w:t xml:space="preserve">Evolution</w:t>
      </w:r>
      <w:r>
        <w:t xml:space="preserve"> </w:t>
      </w:r>
      <w:r>
        <w:t xml:space="preserve">Group,</w:t>
      </w:r>
      <w:r>
        <w:t xml:space="preserve"> </w:t>
      </w:r>
      <w:r>
        <w:t xml:space="preserve">Swiss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Bioinformatics,</w:t>
      </w:r>
      <w:r>
        <w:t xml:space="preserve"> </w:t>
      </w:r>
      <w:r>
        <w:t xml:space="preserve">1015</w:t>
      </w:r>
      <w:r>
        <w:t xml:space="preserve"> </w:t>
      </w:r>
      <w:r>
        <w:t xml:space="preserve">Lausanne,</w:t>
      </w:r>
      <w:r>
        <w:t xml:space="preserve"> </w:t>
      </w:r>
      <w:r>
        <w:t xml:space="preserve">Switzerland.</w:t>
      </w:r>
    </w:p>
    <w:p>
      <w:pPr>
        <w:pStyle w:val="Author"/>
      </w:pPr>
      <w:r>
        <w:rPr>
          <w:vertAlign w:val="superscript"/>
        </w:rPr>
        <w:t xml:space="preserve">4</w:t>
      </w:r>
      <w:r>
        <w:t xml:space="preserve">Smithsonian</w:t>
      </w:r>
      <w:r>
        <w:t xml:space="preserve"> </w:t>
      </w:r>
      <w:r>
        <w:t xml:space="preserve">National</w:t>
      </w:r>
      <w:r>
        <w:t xml:space="preserve"> </w:t>
      </w:r>
      <w:r>
        <w:t xml:space="preserve">Museum</w:t>
      </w:r>
      <w: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t xml:space="preserve"> </w:t>
      </w:r>
      <w:r>
        <w:t xml:space="preserve">History,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Paleobiology,</w:t>
      </w:r>
      <w:r>
        <w:t xml:space="preserve"> </w:t>
      </w:r>
      <w:r>
        <w:t xml:space="preserve">Washington,</w:t>
      </w:r>
      <w:r>
        <w:t xml:space="preserve"> </w:t>
      </w:r>
      <w:r>
        <w:t xml:space="preserve">DC,</w:t>
      </w:r>
      <w:r>
        <w:t xml:space="preserve"> </w:t>
      </w:r>
      <w:r>
        <w:t xml:space="preserve">20560,</w:t>
      </w:r>
      <w:r>
        <w:t xml:space="preserve"> </w:t>
      </w:r>
      <w:r>
        <w:t xml:space="preserve">USA</w:t>
      </w:r>
    </w:p>
    <w:p>
      <w:pPr>
        <w:pStyle w:val="Author"/>
      </w:pPr>
      <w:r>
        <w:rPr>
          <w:vertAlign w:val="superscript"/>
        </w:rPr>
        <w:t xml:space="preserve">5</w:t>
      </w: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Biologie,</w:t>
      </w:r>
      <w:r>
        <w:t xml:space="preserve"> </w:t>
      </w:r>
      <w:r>
        <w:t xml:space="preserve">École</w:t>
      </w:r>
      <w:r>
        <w:t xml:space="preserve"> </w:t>
      </w:r>
      <w:r>
        <w:t xml:space="preserve">Normale</w:t>
      </w:r>
      <w:r>
        <w:t xml:space="preserve"> </w:t>
      </w:r>
      <w:r>
        <w:t xml:space="preserve">Supérieure</w:t>
      </w:r>
      <w:r>
        <w:t xml:space="preserve"> </w:t>
      </w:r>
      <w:r>
        <w:t xml:space="preserve">de</w:t>
      </w:r>
      <w:r>
        <w:t xml:space="preserve"> </w:t>
      </w:r>
      <w:r>
        <w:t xml:space="preserve">Lyon,</w:t>
      </w:r>
      <w:r>
        <w:t xml:space="preserve"> </w:t>
      </w:r>
      <w:r>
        <w:t xml:space="preserve">Université</w:t>
      </w:r>
      <w:r>
        <w:t xml:space="preserve"> </w:t>
      </w:r>
      <w:r>
        <w:t xml:space="preserve">Claude</w:t>
      </w:r>
      <w:r>
        <w:t xml:space="preserve"> </w:t>
      </w:r>
      <w:r>
        <w:t xml:space="preserve">Bernard</w:t>
      </w:r>
      <w:r>
        <w:t xml:space="preserve"> </w:t>
      </w:r>
      <w:r>
        <w:t xml:space="preserve">Lyon</w:t>
      </w:r>
      <w:r>
        <w:t xml:space="preserve"> </w:t>
      </w:r>
      <w:r>
        <w:t xml:space="preserve">1,</w:t>
      </w:r>
      <w:r>
        <w:t xml:space="preserve"> </w:t>
      </w:r>
      <w:r>
        <w:t xml:space="preserve">69342</w:t>
      </w:r>
      <w:r>
        <w:t xml:space="preserve"> </w:t>
      </w:r>
      <w:r>
        <w:t xml:space="preserve">Lyon</w:t>
      </w:r>
      <w:r>
        <w:t xml:space="preserve"> </w:t>
      </w:r>
      <w:r>
        <w:t xml:space="preserve">Cedex</w:t>
      </w:r>
      <w:r>
        <w:t xml:space="preserve"> </w:t>
      </w:r>
      <w:r>
        <w:t xml:space="preserve">07,</w:t>
      </w:r>
      <w:r>
        <w:t xml:space="preserve"> </w:t>
      </w:r>
      <w:r>
        <w:t xml:space="preserve">France.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bookmarkStart w:id="20" w:name="supplementary-text"/>
    <w:p>
      <w:pPr>
        <w:pStyle w:val="Heading1"/>
      </w:pPr>
      <w:r>
        <w:t xml:space="preserve">Supplementary Text</w:t>
      </w:r>
    </w:p>
    <w:p>
      <w:pPr>
        <w:pStyle w:val="FirstParagraph"/>
      </w:pPr>
      <w:r>
        <w:t xml:space="preserve">Here, we test the sensitivity of deep-time Latitudinal Biodiversity Gradient (LBG) reconstructions to the use of different Global Plate Models (GPMs).</w:t>
      </w:r>
    </w:p>
    <w:p>
      <w:pPr>
        <w:pStyle w:val="BodyText"/>
      </w:pPr>
      <w:r>
        <w:t xml:space="preserve">GPMs use the Euler Rotation Theorem to reconstruct the motion of tectonic plates on a sphere-like structure–the Earth. Based on a compilation of geological data (see</w:t>
      </w:r>
      <w:r>
        <w:t xml:space="preserve"> </w:t>
      </w:r>
      <w:r>
        <w:t xml:space="preserve">[1]</w:t>
      </w:r>
      <w:r>
        <w:t xml:space="preserve"> </w:t>
      </w:r>
      <w:r>
        <w:t xml:space="preserve">for an extensive review), a GPM divides tectonic plates into smaller sub-units that will move relatively to each other in a hierarchical way. It therefore takes two main inputs: (1) a set of tectonic elements and (2) a tree-like structured framework in which these elements moved throughout the geological times, called reference frame</w:t>
      </w:r>
      <w:r>
        <w:t xml:space="preserve"> </w:t>
      </w:r>
      <w:r>
        <w:t xml:space="preserve">[1–3]</w:t>
      </w:r>
      <w:r>
        <w:t xml:space="preserve">. Two classes of GPMs exist.</w:t>
      </w:r>
      <w:r>
        <w:t xml:space="preserve"> </w:t>
      </w:r>
      <w:r>
        <w:t xml:space="preserve">‘</w:t>
      </w:r>
      <w:r>
        <w:t xml:space="preserve">Continental-drift</w:t>
      </w:r>
      <w:r>
        <w:t xml:space="preserve">’</w:t>
      </w:r>
      <w:r>
        <w:t xml:space="preserve"> </w:t>
      </w:r>
      <w:r>
        <w:t xml:space="preserve">models are modelling the motion of present-day continental sub-units by treating them as static sub-units</w:t>
      </w:r>
      <w:r>
        <w:t xml:space="preserve"> </w:t>
      </w:r>
      <w:r>
        <w:t xml:space="preserve">[e.g. 4,5]</w:t>
      </w:r>
      <w:r>
        <w:t xml:space="preserve">, whereas</w:t>
      </w:r>
      <w:r>
        <w:t xml:space="preserve"> </w:t>
      </w:r>
      <w:r>
        <w:t xml:space="preserve">‘</w:t>
      </w:r>
      <w:r>
        <w:t xml:space="preserve">full-plates</w:t>
      </w:r>
      <w:r>
        <w:t xml:space="preserve">’</w:t>
      </w:r>
      <w:r>
        <w:t xml:space="preserve"> </w:t>
      </w:r>
      <w:r>
        <w:t xml:space="preserve">model describe in detail how plate borders have evolved through geological times</w:t>
      </w:r>
      <w:r>
        <w:t xml:space="preserve"> </w:t>
      </w:r>
      <w:r>
        <w:t xml:space="preserve">[e.g. 6,7]</w:t>
      </w:r>
      <w:r>
        <w:t xml:space="preserve">.</w:t>
      </w:r>
    </w:p>
    <w:p>
      <w:pPr>
        <w:pStyle w:val="BodyText"/>
      </w:pPr>
      <w:r>
        <w:t xml:space="preserve">We chose three mantle reference frame models, as better-suited for reconstructing palaeolatitudes than other reference frames (see [1]).</w:t>
      </w:r>
    </w:p>
    <w:bookmarkEnd w:id="20"/>
    <w:bookmarkStart w:id="21" w:name="references"/>
    <w:p>
      <w:pPr>
        <w:pStyle w:val="Heading1"/>
      </w:pPr>
      <w:r>
        <w:t xml:space="preserve">References</w:t>
      </w:r>
    </w:p>
    <w:bookmarkEnd w:id="21"/>
    <w:bookmarkStart w:id="22" w:name="supplementary-tables"/>
    <w:p>
      <w:pPr>
        <w:pStyle w:val="Heading1"/>
      </w:pPr>
      <w:r>
        <w:t xml:space="preserve">Supplementary Tables</w:t>
      </w:r>
    </w:p>
    <w:bookmarkEnd w:id="22"/>
    <w:bookmarkStart w:id="38" w:name="supplementary-figures"/>
    <w:p>
      <w:pPr>
        <w:pStyle w:val="Heading1"/>
      </w:pPr>
      <w:r>
        <w:t xml:space="preserve">Supplementary Figures</w:t>
      </w:r>
    </w:p>
    <w:bookmarkStart w:id="37" w:name="refs"/>
    <w:bookmarkStart w:id="24" w:name="ref-seton202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Seton M, Williams SE, Domeier M, Collins AS, Sigloch K. 2023 Deconstructing plate tectonic reconstructions.</w:t>
      </w:r>
      <w:r>
        <w:t xml:space="preserve"> </w:t>
      </w:r>
      <w:r>
        <w:rPr>
          <w:iCs/>
          <w:i/>
        </w:rPr>
        <w:t xml:space="preserve">Nature Reviews Earth &amp; Environment</w:t>
      </w:r>
      <w:r>
        <w:t xml:space="preserve">, 1–20. (doi:</w:t>
      </w:r>
      <w:hyperlink r:id="rId23">
        <w:r>
          <w:rPr>
            <w:rStyle w:val="Hyperlink"/>
          </w:rPr>
          <w:t xml:space="preserve">10.1038/s43017-022-00384-8</w:t>
        </w:r>
      </w:hyperlink>
      <w:r>
        <w:t xml:space="preserve">)</w:t>
      </w:r>
    </w:p>
    <w:bookmarkEnd w:id="24"/>
    <w:bookmarkStart w:id="26" w:name="ref-verard_plate_2019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Vérard C. 2019 Plate tectonic modelling: Review and perspectives.</w:t>
      </w:r>
      <w:r>
        <w:t xml:space="preserve"> </w:t>
      </w:r>
      <w:r>
        <w:rPr>
          <w:iCs/>
          <w:i/>
        </w:rPr>
        <w:t xml:space="preserve">Geological Magazine</w:t>
      </w:r>
      <w:r>
        <w:t xml:space="preserve"> </w:t>
      </w:r>
      <w:r>
        <w:rPr>
          <w:bCs/>
          <w:b/>
        </w:rPr>
        <w:t xml:space="preserve">156</w:t>
      </w:r>
      <w:r>
        <w:t xml:space="preserve">, 208–241. (doi:</w:t>
      </w:r>
      <w:hyperlink r:id="rId25">
        <w:r>
          <w:rPr>
            <w:rStyle w:val="Hyperlink"/>
          </w:rPr>
          <w:t xml:space="preserve">10.1017/S0016756817001030</w:t>
        </w:r>
      </w:hyperlink>
      <w:r>
        <w:t xml:space="preserve">)</w:t>
      </w:r>
    </w:p>
    <w:bookmarkEnd w:id="26"/>
    <w:bookmarkStart w:id="28" w:name="ref-ross_hierarchical_1988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Ross MI, Scotese CR. 1988 A hierarchical tectonic model of the gulf of mexico and caribbean region.</w:t>
      </w:r>
      <w:r>
        <w:t xml:space="preserve"> </w:t>
      </w:r>
      <w:r>
        <w:rPr>
          <w:iCs/>
          <w:i/>
        </w:rPr>
        <w:t xml:space="preserve">Tectonophysics</w:t>
      </w:r>
      <w:r>
        <w:t xml:space="preserve"> </w:t>
      </w:r>
      <w:r>
        <w:rPr>
          <w:bCs/>
          <w:b/>
        </w:rPr>
        <w:t xml:space="preserve">155</w:t>
      </w:r>
      <w:r>
        <w:t xml:space="preserve">, 139–168. (doi:</w:t>
      </w:r>
      <w:hyperlink r:id="rId27">
        <w:r>
          <w:rPr>
            <w:rStyle w:val="Hyperlink"/>
          </w:rPr>
          <w:t xml:space="preserve">10.1016/0040-1951(88)90263-6</w:t>
        </w:r>
      </w:hyperlink>
      <w:r>
        <w:t xml:space="preserve">)</w:t>
      </w:r>
    </w:p>
    <w:bookmarkEnd w:id="28"/>
    <w:bookmarkStart w:id="30" w:name="ref-wright201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Wright N, Zahirovic S, Müller RD, Seton M. 2013 Towards community-driven paleogeographic reconstructions: integrating open-access paleogeographic and paleobiology data with plate tectonics.</w:t>
      </w:r>
      <w:r>
        <w:t xml:space="preserve"> </w:t>
      </w:r>
      <w:r>
        <w:rPr>
          <w:iCs/>
          <w:i/>
        </w:rPr>
        <w:t xml:space="preserve">Biogeosciences</w:t>
      </w:r>
      <w:r>
        <w:t xml:space="preserve"> </w:t>
      </w:r>
      <w:r>
        <w:rPr>
          <w:bCs/>
          <w:b/>
        </w:rPr>
        <w:t xml:space="preserve">10</w:t>
      </w:r>
      <w:r>
        <w:t xml:space="preserve">, 1529–1541. (doi:</w:t>
      </w:r>
      <w:hyperlink r:id="rId29">
        <w:r>
          <w:rPr>
            <w:rStyle w:val="Hyperlink"/>
          </w:rPr>
          <w:t xml:space="preserve">10.5194/bg-10-1529-2013</w:t>
        </w:r>
      </w:hyperlink>
      <w:r>
        <w:t xml:space="preserve">)</w:t>
      </w:r>
    </w:p>
    <w:bookmarkEnd w:id="30"/>
    <w:bookmarkStart w:id="32" w:name="ref-scotese2018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Scotese C, Wright NM. 2018</w:t>
      </w:r>
      <w:r>
        <w:t xml:space="preserve"> </w:t>
      </w:r>
      <w:hyperlink r:id="rId31">
        <w:r>
          <w:rPr>
            <w:rStyle w:val="Hyperlink"/>
          </w:rPr>
          <w:t xml:space="preserve">PALEOMAP paleodigital elevation models (PaleoDEMs) for the phanerozoic PALEOMAP project</w:t>
        </w:r>
      </w:hyperlink>
      <w:r>
        <w:t xml:space="preserve">.</w:t>
      </w:r>
      <w:r>
        <w:t xml:space="preserve"> </w:t>
      </w:r>
    </w:p>
    <w:bookmarkEnd w:id="32"/>
    <w:bookmarkStart w:id="34" w:name="ref-gurnis_plate_2012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Gurnis M</w:t>
      </w:r>
      <w:r>
        <w:t xml:space="preserve"> </w:t>
      </w:r>
      <w:r>
        <w:rPr>
          <w:iCs/>
          <w:i/>
        </w:rPr>
        <w:t xml:space="preserve">et al.</w:t>
      </w:r>
      <w:r>
        <w:t xml:space="preserve"> 2012 Plate tectonic reconstructions with continuously closing plates.</w:t>
      </w:r>
      <w:r>
        <w:t xml:space="preserve"> </w:t>
      </w:r>
      <w:r>
        <w:rPr>
          <w:iCs/>
          <w:i/>
        </w:rPr>
        <w:t xml:space="preserve">Computers &amp; Geosciences</w:t>
      </w:r>
      <w:r>
        <w:t xml:space="preserve"> </w:t>
      </w:r>
      <w:r>
        <w:rPr>
          <w:bCs/>
          <w:b/>
        </w:rPr>
        <w:t xml:space="preserve">38</w:t>
      </w:r>
      <w:r>
        <w:t xml:space="preserve">, 35–42. (doi:</w:t>
      </w:r>
      <w:hyperlink r:id="rId33">
        <w:r>
          <w:rPr>
            <w:rStyle w:val="Hyperlink"/>
          </w:rPr>
          <w:t xml:space="preserve">10.1016/j.cageo.2011.04.014</w:t>
        </w:r>
      </w:hyperlink>
      <w:r>
        <w:t xml:space="preserve">)</w:t>
      </w:r>
    </w:p>
    <w:bookmarkEnd w:id="34"/>
    <w:bookmarkStart w:id="36" w:name="ref-seton2012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Seton M</w:t>
      </w:r>
      <w:r>
        <w:t xml:space="preserve"> </w:t>
      </w:r>
      <w:r>
        <w:rPr>
          <w:iCs/>
          <w:i/>
        </w:rPr>
        <w:t xml:space="preserve">et al.</w:t>
      </w:r>
      <w:r>
        <w:t xml:space="preserve"> 2012 Global continental and ocean basin reconstructions since 200 Ma.</w:t>
      </w:r>
      <w:r>
        <w:t xml:space="preserve"> </w:t>
      </w:r>
      <w:r>
        <w:rPr>
          <w:iCs/>
          <w:i/>
        </w:rPr>
        <w:t xml:space="preserve">Earth-Science Reviews</w:t>
      </w:r>
      <w:r>
        <w:t xml:space="preserve"> </w:t>
      </w:r>
      <w:r>
        <w:rPr>
          <w:bCs/>
          <w:b/>
        </w:rPr>
        <w:t xml:space="preserve">113</w:t>
      </w:r>
      <w:r>
        <w:t xml:space="preserve">, 212–270. (doi:</w:t>
      </w:r>
      <w:hyperlink r:id="rId35">
        <w:r>
          <w:rPr>
            <w:rStyle w:val="Hyperlink"/>
          </w:rPr>
          <w:t xml:space="preserve">10.1016/j.earscirev.2012.03.002</w:t>
        </w:r>
      </w:hyperlink>
      <w:r>
        <w:t xml:space="preserve">)</w:t>
      </w:r>
    </w:p>
    <w:bookmarkEnd w:id="36"/>
    <w:bookmarkEnd w:id="37"/>
    <w:bookmarkEnd w:id="38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016/0040-1951(88)90263-6" TargetMode="External" /><Relationship Type="http://schemas.openxmlformats.org/officeDocument/2006/relationships/hyperlink" Id="rId33" Target="https://doi.org/10.1016/j.cageo.2011.04.014" TargetMode="External" /><Relationship Type="http://schemas.openxmlformats.org/officeDocument/2006/relationships/hyperlink" Id="rId35" Target="https://doi.org/10.1016/j.earscirev.2012.03.002" TargetMode="External" /><Relationship Type="http://schemas.openxmlformats.org/officeDocument/2006/relationships/hyperlink" Id="rId25" Target="https://doi.org/10.1017/S0016756817001030" TargetMode="External" /><Relationship Type="http://schemas.openxmlformats.org/officeDocument/2006/relationships/hyperlink" Id="rId23" Target="https://doi.org/10.1038/s43017-022-00384-8" TargetMode="External" /><Relationship Type="http://schemas.openxmlformats.org/officeDocument/2006/relationships/hyperlink" Id="rId29" Target="https://doi.org/10.5194/bg-10-1529-2013" TargetMode="External" /><Relationship Type="http://schemas.openxmlformats.org/officeDocument/2006/relationships/hyperlink" Id="rId31" Target="https://www.earthbyte.org/paleodem-resource-scotese-and-wright-201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16/0040-1951(88)90263-6" TargetMode="External" /><Relationship Type="http://schemas.openxmlformats.org/officeDocument/2006/relationships/hyperlink" Id="rId33" Target="https://doi.org/10.1016/j.cageo.2011.04.014" TargetMode="External" /><Relationship Type="http://schemas.openxmlformats.org/officeDocument/2006/relationships/hyperlink" Id="rId35" Target="https://doi.org/10.1016/j.earscirev.2012.03.002" TargetMode="External" /><Relationship Type="http://schemas.openxmlformats.org/officeDocument/2006/relationships/hyperlink" Id="rId25" Target="https://doi.org/10.1017/S0016756817001030" TargetMode="External" /><Relationship Type="http://schemas.openxmlformats.org/officeDocument/2006/relationships/hyperlink" Id="rId23" Target="https://doi.org/10.1038/s43017-022-00384-8" TargetMode="External" /><Relationship Type="http://schemas.openxmlformats.org/officeDocument/2006/relationships/hyperlink" Id="rId29" Target="https://doi.org/10.5194/bg-10-1529-2013" TargetMode="External" /><Relationship Type="http://schemas.openxmlformats.org/officeDocument/2006/relationships/hyperlink" Id="rId31" Target="https://www.earthbyte.org/paleodem-resource-scotese-and-wright-201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Global plate model choice impacts reconstructions of the latitudinal biodiversity gradient</dc:title>
  <dc:creator>—; Lewis A. Jones1, Bethany J. Allen2,3, William Gearty4, and Lucas Buffan4; —; 1Grupo de Ecoloxía Animal, Departamento de Ecoloxía e Bioloxía Animal, Universidade de Vigo, 36310 Vigo, Spain.; 2Department of Biosystems Science and Engineering, ETH Zürich, 4058 Basel, Switzerland.; 3Computational Evolution Group, Swiss Institute of Bioinformatics, 1015 Lausanne, Switzerland.; 4Smithsonian National Museum of Natural History, Department of Paleobiology, Washington, DC, 20560, USA; 5Département de Biologie, École Normale Supérieure de Lyon, Université Claude Bernard Lyon 1, 69342 Lyon Cedex 07, France.; —; Corresponding author: LewisAlan.Jones@uvigo.es</dc:creator>
  <cp:keywords/>
  <dcterms:created xsi:type="dcterms:W3CDTF">2023-03-14T12:44:49Z</dcterms:created>
  <dcterms:modified xsi:type="dcterms:W3CDTF">2023-03-14T12:44:49Z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biology-letters.csl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