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F40B" w14:textId="77777777" w:rsidR="00B24989" w:rsidRDefault="00000000">
      <w:pPr>
        <w:pStyle w:val="Titre"/>
      </w:pPr>
      <w:r>
        <w:t>Supplementary Material: Global plate model choice impacts reconstructions of the latitudinal biodiversity gradient</w:t>
      </w:r>
    </w:p>
    <w:p w14:paraId="3E8BF588" w14:textId="77777777" w:rsidR="00B24989" w:rsidRDefault="00000000">
      <w:pPr>
        <w:pStyle w:val="Author"/>
      </w:pPr>
      <w:r>
        <w:t>—</w:t>
      </w:r>
    </w:p>
    <w:p w14:paraId="1A572A57" w14:textId="77777777" w:rsidR="00B24989" w:rsidRDefault="00000000">
      <w:pPr>
        <w:pStyle w:val="Author"/>
      </w:pPr>
      <w:r>
        <w:t>Lewis A. Jones</w:t>
      </w:r>
      <w:r>
        <w:rPr>
          <w:vertAlign w:val="superscript"/>
        </w:rPr>
        <w:t>1</w:t>
      </w:r>
      <w:r>
        <w:t>, Bethany J. Allen</w:t>
      </w:r>
      <w:r>
        <w:rPr>
          <w:vertAlign w:val="superscript"/>
        </w:rPr>
        <w:t>2,3</w:t>
      </w:r>
      <w:r>
        <w:t>, William Gearty</w:t>
      </w:r>
      <w:r>
        <w:rPr>
          <w:vertAlign w:val="superscript"/>
        </w:rPr>
        <w:t>4</w:t>
      </w:r>
      <w:r>
        <w:t>, and Lucas Buffan</w:t>
      </w:r>
      <w:r>
        <w:rPr>
          <w:vertAlign w:val="superscript"/>
        </w:rPr>
        <w:t>4</w:t>
      </w:r>
    </w:p>
    <w:p w14:paraId="1D000D78" w14:textId="77777777" w:rsidR="00B24989" w:rsidRPr="004151EC" w:rsidRDefault="00000000">
      <w:pPr>
        <w:pStyle w:val="Author"/>
        <w:rPr>
          <w:lang w:val="es-419"/>
        </w:rPr>
      </w:pPr>
      <w:r w:rsidRPr="004151EC">
        <w:rPr>
          <w:lang w:val="es-419"/>
        </w:rPr>
        <w:t>—</w:t>
      </w:r>
    </w:p>
    <w:p w14:paraId="26118179" w14:textId="77777777" w:rsidR="00B24989" w:rsidRPr="004151EC" w:rsidRDefault="00000000">
      <w:pPr>
        <w:pStyle w:val="Author"/>
        <w:rPr>
          <w:lang w:val="es-419"/>
        </w:rPr>
      </w:pPr>
      <w:r w:rsidRPr="004151EC">
        <w:rPr>
          <w:vertAlign w:val="superscript"/>
          <w:lang w:val="es-419"/>
        </w:rPr>
        <w:t>1</w:t>
      </w:r>
      <w:r w:rsidRPr="004151EC">
        <w:rPr>
          <w:lang w:val="es-419"/>
        </w:rPr>
        <w:t xml:space="preserve">Grupo de </w:t>
      </w:r>
      <w:proofErr w:type="spellStart"/>
      <w:r w:rsidRPr="004151EC">
        <w:rPr>
          <w:lang w:val="es-419"/>
        </w:rPr>
        <w:t>Ecoloxía</w:t>
      </w:r>
      <w:proofErr w:type="spellEnd"/>
      <w:r w:rsidRPr="004151EC">
        <w:rPr>
          <w:lang w:val="es-419"/>
        </w:rPr>
        <w:t xml:space="preserve"> Animal, Departamento de </w:t>
      </w:r>
      <w:proofErr w:type="spellStart"/>
      <w:r w:rsidRPr="004151EC">
        <w:rPr>
          <w:lang w:val="es-419"/>
        </w:rPr>
        <w:t>Ecoloxía</w:t>
      </w:r>
      <w:proofErr w:type="spellEnd"/>
      <w:r w:rsidRPr="004151EC">
        <w:rPr>
          <w:lang w:val="es-419"/>
        </w:rPr>
        <w:t xml:space="preserve"> e </w:t>
      </w:r>
      <w:proofErr w:type="spellStart"/>
      <w:r w:rsidRPr="004151EC">
        <w:rPr>
          <w:lang w:val="es-419"/>
        </w:rPr>
        <w:t>Bioloxía</w:t>
      </w:r>
      <w:proofErr w:type="spellEnd"/>
      <w:r w:rsidRPr="004151EC">
        <w:rPr>
          <w:lang w:val="es-419"/>
        </w:rPr>
        <w:t xml:space="preserve"> Animal, </w:t>
      </w:r>
      <w:proofErr w:type="spellStart"/>
      <w:r w:rsidRPr="004151EC">
        <w:rPr>
          <w:lang w:val="es-419"/>
        </w:rPr>
        <w:t>Universidade</w:t>
      </w:r>
      <w:proofErr w:type="spellEnd"/>
      <w:r w:rsidRPr="004151EC">
        <w:rPr>
          <w:lang w:val="es-419"/>
        </w:rPr>
        <w:t xml:space="preserve"> de Vigo, 36310 Vigo, </w:t>
      </w:r>
      <w:proofErr w:type="spellStart"/>
      <w:r w:rsidRPr="004151EC">
        <w:rPr>
          <w:lang w:val="es-419"/>
        </w:rPr>
        <w:t>Spain</w:t>
      </w:r>
      <w:proofErr w:type="spellEnd"/>
      <w:r w:rsidRPr="004151EC">
        <w:rPr>
          <w:lang w:val="es-419"/>
        </w:rPr>
        <w:t>.</w:t>
      </w:r>
    </w:p>
    <w:p w14:paraId="08A0C060" w14:textId="77777777" w:rsidR="00B24989" w:rsidRDefault="00000000">
      <w:pPr>
        <w:pStyle w:val="Author"/>
      </w:pPr>
      <w:r>
        <w:rPr>
          <w:vertAlign w:val="superscript"/>
        </w:rPr>
        <w:t>2</w:t>
      </w:r>
      <w:r>
        <w:t>Department of Biosystems Science and Engineering, ETH Zürich, 4058 Basel, Switzerland.</w:t>
      </w:r>
    </w:p>
    <w:p w14:paraId="1A00C5F2" w14:textId="77777777" w:rsidR="00B24989" w:rsidRDefault="00000000">
      <w:pPr>
        <w:pStyle w:val="Author"/>
      </w:pPr>
      <w:r>
        <w:rPr>
          <w:vertAlign w:val="superscript"/>
        </w:rPr>
        <w:t>3</w:t>
      </w:r>
      <w:r>
        <w:t>Computational Evolution Group, Swiss Institute of Bioinformatics, 1015 Lausanne, Switzerland.</w:t>
      </w:r>
    </w:p>
    <w:p w14:paraId="2AB688B1" w14:textId="77777777" w:rsidR="00B24989" w:rsidRDefault="00000000">
      <w:pPr>
        <w:pStyle w:val="Author"/>
      </w:pPr>
      <w:r>
        <w:rPr>
          <w:vertAlign w:val="superscript"/>
        </w:rPr>
        <w:t>4</w:t>
      </w:r>
      <w:r>
        <w:t>Smithsonian National Museum of Natural History, Department of Paleobiology, Washington, DC, 20560, USA</w:t>
      </w:r>
    </w:p>
    <w:p w14:paraId="37A6B57C" w14:textId="77777777" w:rsidR="00B24989" w:rsidRPr="004151EC" w:rsidRDefault="00000000">
      <w:pPr>
        <w:pStyle w:val="Author"/>
        <w:rPr>
          <w:lang w:val="fr-FR"/>
        </w:rPr>
      </w:pPr>
      <w:r w:rsidRPr="004151EC">
        <w:rPr>
          <w:vertAlign w:val="superscript"/>
          <w:lang w:val="fr-FR"/>
        </w:rPr>
        <w:t>5</w:t>
      </w:r>
      <w:r w:rsidRPr="004151EC">
        <w:rPr>
          <w:lang w:val="fr-FR"/>
        </w:rPr>
        <w:t>Département de Biologie, École Normale Supérieure de Lyon, Université Claude Bernard Lyon 1, 69342 Lyon Cedex 07, France.</w:t>
      </w:r>
    </w:p>
    <w:p w14:paraId="118D1EF5" w14:textId="77777777" w:rsidR="00B24989" w:rsidRDefault="00000000">
      <w:pPr>
        <w:pStyle w:val="Author"/>
      </w:pPr>
      <w:r>
        <w:t>—</w:t>
      </w:r>
    </w:p>
    <w:p w14:paraId="6DE9465D" w14:textId="77777777" w:rsidR="00B24989" w:rsidRDefault="00000000">
      <w:pPr>
        <w:pStyle w:val="Author"/>
      </w:pPr>
      <w:r>
        <w:rPr>
          <w:b/>
          <w:bCs/>
        </w:rPr>
        <w:t>All authors contributed equally to this work</w:t>
      </w:r>
    </w:p>
    <w:p w14:paraId="293D41D1" w14:textId="77777777" w:rsidR="00B24989" w:rsidRDefault="00000000">
      <w:pPr>
        <w:pStyle w:val="Author"/>
      </w:pPr>
      <w:r>
        <w:rPr>
          <w:b/>
          <w:bCs/>
        </w:rPr>
        <w:t>Corresponding author:</w:t>
      </w:r>
      <w:r>
        <w:t xml:space="preserve"> LewisAlan.Jones@uvigo.es</w:t>
      </w:r>
    </w:p>
    <w:p w14:paraId="2E12B549" w14:textId="74C2C942" w:rsidR="00B24989" w:rsidRDefault="00000000">
      <w:pPr>
        <w:pStyle w:val="Titre1"/>
      </w:pPr>
      <w:bookmarkStart w:id="0" w:name="supplementary-text"/>
      <w:r>
        <w:t>Supplementary Text</w:t>
      </w:r>
    </w:p>
    <w:p w14:paraId="415C7985" w14:textId="329778FC" w:rsidR="004151EC" w:rsidRDefault="004151EC" w:rsidP="00407A43">
      <w:pPr>
        <w:pStyle w:val="Corpsdetexte"/>
        <w:spacing w:line="240" w:lineRule="auto"/>
        <w:rPr>
          <w:b/>
          <w:bCs/>
          <w:sz w:val="28"/>
          <w:szCs w:val="28"/>
        </w:rPr>
      </w:pPr>
      <w:r w:rsidRPr="004151EC">
        <w:rPr>
          <w:b/>
          <w:bCs/>
          <w:sz w:val="28"/>
          <w:szCs w:val="28"/>
        </w:rPr>
        <w:t>Details about the Global Plate Model</w:t>
      </w:r>
      <w:r>
        <w:rPr>
          <w:b/>
          <w:bCs/>
          <w:sz w:val="28"/>
          <w:szCs w:val="28"/>
        </w:rPr>
        <w:t xml:space="preserve">s used in this </w:t>
      </w:r>
      <w:r w:rsidR="00B7077E">
        <w:rPr>
          <w:b/>
          <w:bCs/>
          <w:sz w:val="28"/>
          <w:szCs w:val="28"/>
        </w:rPr>
        <w:t>study.</w:t>
      </w:r>
    </w:p>
    <w:p w14:paraId="71578C02" w14:textId="444D0C30" w:rsidR="004151EC" w:rsidRDefault="00B7077E" w:rsidP="00407A43">
      <w:pPr>
        <w:pStyle w:val="Corpsdetexte"/>
        <w:rPr>
          <w:szCs w:val="22"/>
        </w:rPr>
      </w:pPr>
      <w:r>
        <w:rPr>
          <w:szCs w:val="22"/>
        </w:rPr>
        <w:t>Here, we test</w:t>
      </w:r>
      <w:r w:rsidR="00407A43">
        <w:rPr>
          <w:szCs w:val="22"/>
        </w:rPr>
        <w:t xml:space="preserve"> the sensitivity of deep-time Latitudinal Biodiversity Gradient (LBG) reconstructions to the use of different Global Plate Models (GPMs).</w:t>
      </w:r>
    </w:p>
    <w:p w14:paraId="5AD96A1F" w14:textId="6F4A70D9" w:rsidR="00407A43" w:rsidRDefault="00407A43" w:rsidP="00407A43">
      <w:pPr>
        <w:pStyle w:val="Corpsdetexte"/>
        <w:rPr>
          <w:szCs w:val="22"/>
        </w:rPr>
      </w:pPr>
      <w:r>
        <w:rPr>
          <w:szCs w:val="22"/>
        </w:rPr>
        <w:t>GPM</w:t>
      </w:r>
      <w:r w:rsidR="00355F10">
        <w:rPr>
          <w:szCs w:val="22"/>
        </w:rPr>
        <w:t xml:space="preserve">s use the Euler Rotation Theorem to reconstruct the motion of tectonic plates on a sphere-like structure–the Earth. </w:t>
      </w:r>
      <w:r w:rsidR="00532D8D">
        <w:rPr>
          <w:szCs w:val="22"/>
        </w:rPr>
        <w:t>Based on a compilation of geological data</w:t>
      </w:r>
      <w:r w:rsidR="00D93BA9">
        <w:rPr>
          <w:szCs w:val="22"/>
        </w:rPr>
        <w:t xml:space="preserve"> (see </w:t>
      </w:r>
      <w:r w:rsidR="00D93BA9">
        <w:rPr>
          <w:szCs w:val="22"/>
        </w:rPr>
        <w:fldChar w:fldCharType="begin"/>
      </w:r>
      <w:r w:rsidR="00D93BA9">
        <w:rPr>
          <w:szCs w:val="22"/>
        </w:rPr>
        <w:instrText xml:space="preserve"> ADDIN ZOTERO_ITEM CSL_CITATION {"citationID":"vMu8A6Fp","properties":{"formattedCitation":"[1]","plainCitation":"[1]","noteIndex":0},"citationItems":[{"id":1713,"uris":["http://zotero.org/users/7245292/items/2DWUG3AX"],"itemData":{"id":1713,"type":"article-journal","abstract":"The evolving mosaic of tectonic plates across the surface of the Earth sets boundary conditions for the evolution of biotic and abiotic processes and helps shape the dynamics of its interior. Reconstructing plate tectonics back through time allows scientists from a range of disciplines (such as palaeobiology, palaeoclimate, geodynamics and seismology) to investigate Earth evolution through these spatiotemporal dimensions. However, the variety and complexity of plate reconstructions can lead to some of their limitations being overlooked. In this Technical Review, we discuss the domain-specific knowledge underpinning modern quantitative plate reconstructions and convey a set of principles on how to use (but not abuse) the software or results. Open-source plate tectonic reconstruction software, like GPlates, has led to a major shift in working practices, handing non-specialists the tools to develop and integrate reconstructions based on their own datasets and expertise. However, there is no ‘one-size-fits-all’ and users need to understand what data and underlying assumptions go into making different, sometimes competing reconstruction models. It is therefore essential to consider the many ways reconstructions simplify reality when interpreting them to avoid circular reasoning. Although many aspects of deep-time reconstructions remain unresolved, future work on intercomparisons between models and uncertainty quantification is an essential pathway towards next-generation plate reconstructions.","container-title":"Nature Reviews Earth &amp; Environment","DOI":"10.1038/s43017-022-00384-8","ISSN":"2662-138X","journalAbbreviation":"Nat Rev Earth Environ","language":"en","license":"2023 Springer Nature Limited","note":"publisher: Nature Publishing Group","page":"1-20","source":"www.nature.com","title":"Deconstructing plate tectonic reconstructions","author":[{"family":"Seton","given":"Maria"},{"family":"Williams","given":"Simon E."},{"family":"Domeier","given":"Mathew"},{"family":"Collins","given":"Alan S."},{"family":"Sigloch","given":"Karin"}],"issued":{"date-parts":[["2023",2,21]]}}}],"schema":"https://github.com/citation-style-language/schema/raw/master/csl-citation.json"} </w:instrText>
      </w:r>
      <w:r w:rsidR="00D93BA9">
        <w:rPr>
          <w:szCs w:val="22"/>
        </w:rPr>
        <w:fldChar w:fldCharType="separate"/>
      </w:r>
      <w:r w:rsidR="00D93BA9" w:rsidRPr="00D93BA9">
        <w:rPr>
          <w:rFonts w:cs="Times New Roman"/>
        </w:rPr>
        <w:t>[1]</w:t>
      </w:r>
      <w:r w:rsidR="00D93BA9">
        <w:rPr>
          <w:szCs w:val="22"/>
        </w:rPr>
        <w:fldChar w:fldCharType="end"/>
      </w:r>
      <w:r w:rsidR="00D93BA9">
        <w:rPr>
          <w:szCs w:val="22"/>
        </w:rPr>
        <w:t xml:space="preserve"> for an extensive review)</w:t>
      </w:r>
      <w:r w:rsidR="00532D8D">
        <w:rPr>
          <w:szCs w:val="22"/>
        </w:rPr>
        <w:t xml:space="preserve">, a GPM divides tectonic plates into smaller sub-units that will move relatively to each other in a hierarchical way. It therefore takes two main inputs: (1) a set of </w:t>
      </w:r>
      <w:r w:rsidR="005D26E9">
        <w:rPr>
          <w:szCs w:val="22"/>
        </w:rPr>
        <w:t>tectonic elements</w:t>
      </w:r>
      <w:r w:rsidR="00532D8D">
        <w:rPr>
          <w:szCs w:val="22"/>
        </w:rPr>
        <w:t xml:space="preserve"> and (2) a tree-like structured framework in which these </w:t>
      </w:r>
      <w:r w:rsidR="005D26E9">
        <w:rPr>
          <w:szCs w:val="22"/>
        </w:rPr>
        <w:t>elements</w:t>
      </w:r>
      <w:r w:rsidR="00532D8D">
        <w:rPr>
          <w:szCs w:val="22"/>
        </w:rPr>
        <w:t xml:space="preserve"> mov</w:t>
      </w:r>
      <w:r w:rsidR="005D26E9">
        <w:rPr>
          <w:szCs w:val="22"/>
        </w:rPr>
        <w:t>ed throughout the geological times</w:t>
      </w:r>
      <w:r w:rsidR="00532D8D">
        <w:rPr>
          <w:szCs w:val="22"/>
        </w:rPr>
        <w:t xml:space="preserve">, called reference frame </w:t>
      </w:r>
      <w:r w:rsidR="00532D8D">
        <w:rPr>
          <w:szCs w:val="22"/>
        </w:rPr>
        <w:fldChar w:fldCharType="begin"/>
      </w:r>
      <w:r w:rsidR="00D93BA9">
        <w:rPr>
          <w:szCs w:val="22"/>
        </w:rPr>
        <w:instrText xml:space="preserve"> ADDIN ZOTERO_ITEM CSL_CITATION {"citationID":"stIKSfJo","properties":{"formattedCitation":"[1\\uc0\\u8211{}3]","plainCitation":"[1–3]","noteIndex":0},"citationItems":[{"id":664,"uris":["http://zotero.org/users/7245292/items/WY5QNFIT"],"itemData":{"id":664,"type":"article-journal","abstract":"Since the 1970s, numerous global plate tectonic models have been proposed to reconstruct the Earth's evolution through deep time. The reconstructions have proven immensely useful for the scientific community. However, we are now at a time when plate tectonic models must take a new step forward. There are two types of reconstructions: those using a ‘single control’ approach and those with a ‘dual control’ approach. Models using the ‘single control’ approach compile quantitative and/or semi-quantitative data from the present-day world and transfer them to the chosen time slices back in time. The reconstructions focus therefore on the position of tectonic elements but may ignore (partially or entirely) tectonic plates and in particular closed tectonic plate boundaries. For the readers, continents seem to float on the Earth's surface. Hence, the resulting maps look closer to what Alfred Wegener did in the early twentieth century and confuse many people, particularly the general public. With the ‘dual control’ approach, not only are data from the present-day world transferred back to the chosen time slices, but closed plate tectonic boundaries are defined iteratively from one reconstruction to the next. Thus, reconstructions benefit from the wealth of the plate tectonic theory. They are physically coherent and are suited to the new frontier of global reconstruction: the coupling of plate tectonic models with other global models. A joint effort of the whole community of geosciences will surely be necessary to develop the next generation of plate tectonic models.","container-title":"Geological Magazine","DOI":"10.1017/S0016756817001030","ISSN":"0016-7568, 1469-5081","issue":"2","language":"en","note":"publisher: Cambridge University Press","page":"208-241","source":"Cambridge University Press","title":"Plate tectonic modelling: review and perspectives","title-short":"Plate tectonic modelling","volume":"156","author":[{"family":"Vérard","given":"Christian"}],"issued":{"date-parts":[["2019",2]]}}},{"id":1713,"uris":["http://zotero.org/users/7245292/items/2DWUG3AX"],"itemData":{"id":1713,"type":"article-journal","abstract":"The evolving mosaic of tectonic plates across the surface of the Earth sets boundary conditions for the evolution of biotic and abiotic processes and helps shape the dynamics of its interior. Reconstructing plate tectonics back through time allows scientists from a range of disciplines (such as palaeobiology, palaeoclimate, geodynamics and seismology) to investigate Earth evolution through these spatiotemporal dimensions. However, the variety and complexity of plate reconstructions can lead to some of their limitations being overlooked. In this Technical Review, we discuss the domain-specific knowledge underpinning modern quantitative plate reconstructions and convey a set of principles on how to use (but not abuse) the software or results. Open-source plate tectonic reconstruction software, like GPlates, has led to a major shift in working practices, handing non-specialists the tools to develop and integrate reconstructions based on their own datasets and expertise. However, there is no ‘one-size-fits-all’ and users need to understand what data and underlying assumptions go into making different, sometimes competing reconstruction models. It is therefore essential to consider the many ways reconstructions simplify reality when interpreting them to avoid circular reasoning. Although many aspects of deep-time reconstructions remain unresolved, future work on intercomparisons between models and uncertainty quantification is an essential pathway towards next-generation plate reconstructions.","container-title":"Nature Reviews Earth &amp; Environment","DOI":"10.1038/s43017-022-00384-8","ISSN":"2662-138X","journalAbbreviation":"Nat Rev Earth Environ","language":"en","license":"2023 Springer Nature Limited","note":"publisher: Nature Publishing Group","page":"1-20","source":"www.nature.com","title":"Deconstructing plate tectonic reconstructions","author":[{"family":"Seton","given":"Maria"},{"family":"Williams","given":"Simon E."},{"family":"Domeier","given":"Mathew"},{"family":"Collins","given":"Alan S."},{"family":"Sigloch","given":"Karin"}],"issued":{"date-parts":[["2023",2,21]]}}},{"id":994,"uris":["http://zotero.org/users/7245292/items/URB6JJIX"],"itemData":{"id":994,"type":"article-journal","abstract":"A quantitative computer graphic methodology (hierarchical tectonic analysis) has been used to model the tectonic evolution of the Gulf of Mexico and Caribbean region. This method employs a highly structured, hierarchical description of the relative motions of pairs of tectonic elements in order to quantify the timing and style of plate interactions. The main features described in this model are: 1.(1) a revised fit of Pangea2.(2) the opening of the Gulf of Mexico in the Middle-Late Jurassic3.(3) the formation of a Proto-Caribbean Ocean due to the separation of North and South America during the Early Cretaceous4.(4) the formation of the Greater Antilles Arc along the western margin of the Proto-Caribbean Ocean5.(5) the insertion of the Farallon plate between North and South America during the Middle Cretaceous resulting in the northeastward advance of the Greater Antilles Arc and the subduction of Proto-Caribbean oceanic crust6.(6) the complete subduction of the Proto-Caribbean Ocean and the collision of the Greater Antilles arc with the Bahamas Platform in the Late Cretaceous7.(7) the truncation of the Caribbean section of the Farallon plate from its Pacific counterpart and the formation of the Panama Arc (latest Cretaceous), and8.(8) the westward movement of North and South America with respect to the Caribbean plate resulting in the opening of the Yucatan Basin (Paleocene) and subsequently in the evolution of the Cayman Trough and E-W zone of strike-slip.","collection-title":"8th Geodynamics Symposium, \"Mesozoic and Cenozoic Plate Reconstructions\"","container-title":"Tectonophysics","DOI":"10.1016/0040-1951(88)90263-6","ISSN":"0040-1951","issue":"1","journalAbbreviation":"Tectonophysics","language":"en","page":"139-168","source":"ScienceDirect","title":"A hierarchical tectonic model of the Gulf of Mexico and Caribbean region","volume":"155","author":[{"family":"Ross","given":"Malcolm I"},{"family":"Scotese","given":"Christopher R"}],"issued":{"date-parts":[["1988",12,1]]}}}],"schema":"https://github.com/citation-style-language/schema/raw/master/csl-citation.json"} </w:instrText>
      </w:r>
      <w:r w:rsidR="00532D8D">
        <w:rPr>
          <w:szCs w:val="22"/>
        </w:rPr>
        <w:fldChar w:fldCharType="separate"/>
      </w:r>
      <w:r w:rsidR="00D93BA9" w:rsidRPr="00D93BA9">
        <w:rPr>
          <w:rFonts w:cs="Times New Roman"/>
        </w:rPr>
        <w:t>[1–3]</w:t>
      </w:r>
      <w:r w:rsidR="00532D8D">
        <w:rPr>
          <w:szCs w:val="22"/>
        </w:rPr>
        <w:fldChar w:fldCharType="end"/>
      </w:r>
      <w:r w:rsidR="00532D8D">
        <w:rPr>
          <w:szCs w:val="22"/>
        </w:rPr>
        <w:t>.</w:t>
      </w:r>
      <w:r w:rsidR="00A7063D">
        <w:rPr>
          <w:szCs w:val="22"/>
        </w:rPr>
        <w:t xml:space="preserve"> </w:t>
      </w:r>
      <w:r w:rsidR="005D26E9">
        <w:rPr>
          <w:szCs w:val="22"/>
        </w:rPr>
        <w:t xml:space="preserve">Two classes of GPMs exist. ‘Continental-drift’ models are modelling the motion of present-day continental sub-units by treating them as static sub-units </w:t>
      </w:r>
      <w:r w:rsidR="005D26E9">
        <w:rPr>
          <w:szCs w:val="22"/>
        </w:rPr>
        <w:fldChar w:fldCharType="begin"/>
      </w:r>
      <w:r w:rsidR="005D26E9">
        <w:rPr>
          <w:szCs w:val="22"/>
        </w:rPr>
        <w:instrText xml:space="preserve"> ADDIN ZOTERO_ITEM CSL_CITATION {"citationID":"EbPgRNWE","properties":{"formattedCitation":"[4,5]","plainCitation":"[4,5]","dontUpdate":true,"noteIndex":0},"citationItems":[{"id":1753,"uris":["http://zotero.org/users/7245292/items/HPRKB6PM"],"itemData":{"id":1753,"type":"article-journal","title":"PALEOMAP Paleodigital Elevation Models (PaleoDEMs) for the Phanerozoic PALEOMAP Project","URL":"https://www.earthbyte.org/paleodem-resource-scotese-and-wright-2018/","author":[{"family":"Scotese","given":"C."},{"family":"Wright","given":"N.M."}],"issued":{"date-parts":[["2018"]]}}},{"id":676,"uris":["http://zotero.org/users/7245292/items/33HSXGTA"],"itemData":{"id":676,"type":"article-journal","abstract":"&lt;p&gt;&lt;strong class=\"journal-contentHeaderColor\"&gt;Abstract.&lt;/strong&gt; A variety of paleogeographic reconstructions have been published, with applications ranging from paleoclimate, ocean circulation and faunal radiation models to resource exploration; yet their uncertainties remain difficult to assess as they are generally presented as low-resolution static maps. We present a methodology for ground-truthing the digital Palaeogeographic Atlas of Australia by linking the &lt;i&gt;GPlates&lt;/i&gt; plate reconstruction tool to the global Paleobiology Database and a Phanerozoic plate motion model. We develop a spatio-temporal data mining workflow to validate the Phanerozoic Palaeogeographic Atlas of Australia with paleoenvironments derived from fossil data. While there is general agreement between fossil data and the paleogeographic model, the methodology highlights key inconsistencies. The Early Devonian paleogeographic model of southeastern Australia insufficiently describes the Emsian inundation that may be refined using biofacies distributions. Additionally, the paleogeographic model and fossil data can be used to strengthen numerical models, such as the dynamic topography and the associated inundation of eastern Australia during the Cretaceous. Although paleobiology data provide constraints only for paleoenvironments with high preservation potential of organisms, our approach enables the use of additional proxy data to generate improved paleogeographic reconstructions.&lt;/p&gt;","container-title":"Biogeosciences","DOI":"10.5194/bg-10-1529-2013","ISSN":"1726-4170","issue":"3","language":"English","note":"publisher: Copernicus GmbH","page":"1529-1541","source":"bg.copernicus.org","title":"Towards community-driven paleogeographic reconstructions: integrating open-access paleogeographic and paleobiology data with plate tectonics","title-short":"Towards community-driven paleogeographic reconstructions","volume":"10","author":[{"family":"Wright","given":"N."},{"family":"Zahirovic","given":"S."},{"family":"Müller","given":"R. D."},{"family":"Seton","given":"M."}],"issued":{"date-parts":[["2013",3,7]]}}}],"schema":"https://github.com/citation-style-language/schema/raw/master/csl-citation.json"} </w:instrText>
      </w:r>
      <w:r w:rsidR="005D26E9">
        <w:rPr>
          <w:szCs w:val="22"/>
        </w:rPr>
        <w:fldChar w:fldCharType="separate"/>
      </w:r>
      <w:r w:rsidR="005D26E9" w:rsidRPr="005D26E9">
        <w:rPr>
          <w:rFonts w:cs="Times New Roman"/>
        </w:rPr>
        <w:t>[</w:t>
      </w:r>
      <w:r w:rsidR="005D26E9">
        <w:rPr>
          <w:rFonts w:cs="Times New Roman"/>
        </w:rPr>
        <w:t xml:space="preserve">e.g. </w:t>
      </w:r>
      <w:r w:rsidR="005D26E9" w:rsidRPr="005D26E9">
        <w:rPr>
          <w:rFonts w:cs="Times New Roman"/>
        </w:rPr>
        <w:t>4,5]</w:t>
      </w:r>
      <w:r w:rsidR="005D26E9">
        <w:rPr>
          <w:szCs w:val="22"/>
        </w:rPr>
        <w:fldChar w:fldCharType="end"/>
      </w:r>
      <w:r w:rsidR="005D26E9">
        <w:rPr>
          <w:szCs w:val="22"/>
        </w:rPr>
        <w:t xml:space="preserve">, whereas ‘full-plates’ model describing in detail how plate borders have evolved through geological times </w:t>
      </w:r>
      <w:r w:rsidR="005D26E9">
        <w:rPr>
          <w:szCs w:val="22"/>
        </w:rPr>
        <w:fldChar w:fldCharType="begin"/>
      </w:r>
      <w:r w:rsidR="005D26E9">
        <w:rPr>
          <w:szCs w:val="22"/>
        </w:rPr>
        <w:instrText xml:space="preserve"> ADDIN ZOTERO_ITEM CSL_CITATION {"citationID":"bYSyeia1","properties":{"formattedCitation":"[6,7]","plainCitation":"[6,7]","noteIndex":0},"citationItems":[{"id":482,"uris":["http://zotero.org/users/7245292/items/77Z4ICV7"],"itemData":{"id":482,"type":"article-journal","abstract":"We present a new algorithm for modeling a self-consistent set of global plate polygons. Each plate polygon is composed of a finite list of plate margins, all with different Euler poles. We introduce a \"continuously closed plate\" (CCP), such that, as each margin moves independently, the plate polygon remains closed geometrically as a function of time. This method solves emerging needs in computational geodynamics to combine kinematic with dynamic models. Because they have polygons that are too widely spaced in time and have inconsistent motions between margins and plates, traditional global plate tectonic reconstructions have become inadequate for geodynamics. The CCP algorithm has been incorporated into the GPlates open-source paleogeographic system. The algorithm is a set of procedures and data structures that operate on collections of reconstructed geometric data to form closed plate polygons; the main data structures used for each plate polygon are based on a nested hierarchy of topological elements. Reconstructions with CCPs can be created, edited, visualized, and exported with GPlates. The native storage of the dynamic reconstructions is the GPlates Markup Language, GPML, which uses an XML-based file format called GML. We demonstrate the utility of the CCP method by creating a global reconstruction with continuously closing plates from 140Ma to the present using data from existing, traditional reconstructions.","container-title":"Computers &amp; Geosciences","DOI":"10.1016/j.cageo.2011.04.014","ISSN":"0098-3004","issue":"1","journalAbbreviation":"Computers &amp; Geosciences","language":"en","page":"35-42","source":"ScienceDirect","title":"Plate tectonic reconstructions with continuously closing plates","volume":"38","author":[{"family":"Gurnis","given":"Michael"},{"family":"Turner","given":"Mark"},{"family":"Zahirovic","given":"Sabin"},{"family":"DiCaprio","given":"Lydia"},{"family":"Spasojevic","given":"Sonja"},{"family":"Müller","given":"R. Dietmar"},{"family":"Boyden","given":"James"},{"family":"Seton","given":"Maria"},{"family":"Manea","given":"Vlad Constantin"},{"family":"Bower","given":"Dan J."}],"issued":{"date-parts":[["2012",1,1]]}}},{"id":991,"uris":["http://zotero.org/users/7245292/items/W2U8BWM6"],"itemData":{"id":991,"type":"article-journal","abstract":"Recent progress in plate tectonic reconstructions has seen models move beyond the classical idea of continental drift by attempting to reconstruct the full evolving configuration of tectonic plates and plate boundaries. A particular problem for the Neoproterozoic and Cambrian is that many existing interpretations of geological and palaeomagnetic data have remained disconnected from younger, better-constrained periods in Earth history. An important test of deep time reconstructions is therefore to demonstrate the continuous kinematic viability of tectonic motions across multiple supercontinent cycles. We present, for the first time, a continuous full-plate model spanning 1 Ga to the present-day, that includes a revised and improved model for the Neoproterozoic–Cambrian (1000–520 Ma) that connects with models of the Phanerozoic, thereby opening up pre-Gondwana times for quantitative analysis and further regional refinements. In this contribution, we first summarise methodological approaches to full-plate modelling and review the existing full-plate models in order to select appropriate models that produce a single continuous model. Our model is presented in a palaeomagnetic reference frame, with a newly-derived apparent polar wander path for Gondwana from 540 to 320 Ma, and a global apparent polar wander path from 320 to 0 Ma. We stress, though while we have used palaeomagnetic data when available, the model is also geologically constrained, based on preserved data from past-plate boundaries. This study is intended as a first step in the direction of a detailed and self-consistent tectonic reconstruction for the last billion years of Earth history, and our model files are released to facilitate community development.","container-title":"Earth-Science Reviews","DOI":"10.1016/j.earscirev.2020.103477","ISSN":"0012-8252","journalAbbreviation":"Earth-Science Reviews","language":"en","page":"103477","source":"ScienceDirect","title":"Extending full-plate tectonic models into deep time: Linking the Neoproterozoic and the Phanerozoic","title-short":"Extending full-plate tectonic models into deep time","volume":"214","author":[{"family":"Merdith","given":"Andrew S."},{"family":"Williams","given":"Simon E."},{"family":"Collins","given":"Alan S."},{"family":"Tetley","given":"Michael G."},{"family":"Mulder","given":"Jacob A."},{"family":"Blades","given":"Morgan L."},{"family":"Young","given":"Alexander"},{"family":"Armistead","given":"Sheree E."},{"family":"Cannon","given":"John"},{"family":"Zahirovic","given":"Sabin"},{"family":"Müller","given":"R. Dietmar"}],"issued":{"date-parts":[["2021",3,1]]}}}],"schema":"https://github.com/citation-style-language/schema/raw/master/csl-citation.json"} </w:instrText>
      </w:r>
      <w:r w:rsidR="005D26E9">
        <w:rPr>
          <w:szCs w:val="22"/>
        </w:rPr>
        <w:fldChar w:fldCharType="separate"/>
      </w:r>
      <w:r w:rsidR="005D26E9" w:rsidRPr="005D26E9">
        <w:rPr>
          <w:rFonts w:cs="Times New Roman"/>
        </w:rPr>
        <w:t>[6,7]</w:t>
      </w:r>
      <w:r w:rsidR="005D26E9">
        <w:rPr>
          <w:szCs w:val="22"/>
        </w:rPr>
        <w:fldChar w:fldCharType="end"/>
      </w:r>
      <w:r w:rsidR="005D26E9">
        <w:rPr>
          <w:szCs w:val="22"/>
        </w:rPr>
        <w:t>.</w:t>
      </w:r>
    </w:p>
    <w:p w14:paraId="229ACEC0" w14:textId="7B13AC6E" w:rsidR="0038527B" w:rsidRPr="00B7077E" w:rsidRDefault="0038527B" w:rsidP="00407A43">
      <w:pPr>
        <w:pStyle w:val="Corpsdetexte"/>
        <w:rPr>
          <w:szCs w:val="22"/>
        </w:rPr>
      </w:pPr>
      <w:r>
        <w:rPr>
          <w:szCs w:val="22"/>
        </w:rPr>
        <w:t xml:space="preserve">We chose three mantle reference frame models, as better-suited for reconstructing </w:t>
      </w:r>
      <w:proofErr w:type="spellStart"/>
      <w:r>
        <w:rPr>
          <w:szCs w:val="22"/>
        </w:rPr>
        <w:t>palaeolatitudes</w:t>
      </w:r>
      <w:proofErr w:type="spellEnd"/>
      <w:r>
        <w:rPr>
          <w:szCs w:val="22"/>
        </w:rPr>
        <w:t xml:space="preserve"> than other reference frames (see </w:t>
      </w:r>
      <w:r>
        <w:rPr>
          <w:szCs w:val="22"/>
        </w:rPr>
        <w:fldChar w:fldCharType="begin"/>
      </w:r>
      <w:r w:rsidR="00D93BA9">
        <w:rPr>
          <w:szCs w:val="22"/>
        </w:rPr>
        <w:instrText xml:space="preserve"> ADDIN ZOTERO_ITEM CSL_CITATION {"citationID":"xgu4Xitr","properties":{"formattedCitation":"[1]","plainCitation":"[1]","noteIndex":0},"citationItems":[{"id":1713,"uris":["http://zotero.org/users/7245292/items/2DWUG3AX"],"itemData":{"id":1713,"type":"article-journal","abstract":"The evolving mosaic of tectonic plates across the surface of the Earth sets boundary conditions for the evolution of biotic and abiotic processes and helps shape the dynamics of its interior. Reconstructing plate tectonics back through time allows scientists from a range of disciplines (such as palaeobiology, palaeoclimate, geodynamics and seismology) to investigate Earth evolution through these spatiotemporal dimensions. However, the variety and complexity of plate reconstructions can lead to some of their limitations being overlooked. In this Technical Review, we discuss the domain-specific knowledge underpinning modern quantitative plate reconstructions and convey a set of principles on how to use (but not abuse) the software or results. Open-source plate tectonic reconstruction software, like GPlates, has led to a major shift in working practices, handing non-specialists the tools to develop and integrate reconstructions based on their own datasets and expertise. However, there is no ‘one-size-fits-all’ and users need to understand what data and underlying assumptions go into making different, sometimes competing reconstruction models. It is therefore essential to consider the many ways reconstructions simplify reality when interpreting them to avoid circular reasoning. Although many aspects of deep-time reconstructions remain unresolved, future work on intercomparisons between models and uncertainty quantification is an essential pathway towards next-generation plate reconstructions.","container-title":"Nature Reviews Earth &amp; Environment","DOI":"10.1038/s43017-022-00384-8","ISSN":"2662-138X","journalAbbreviation":"Nat Rev Earth Environ","language":"en","license":"2023 Springer Nature Limited","note":"publisher: Nature Publishing Group","page":"1-20","source":"www.nature.com","title":"Deconstructing plate tectonic reconstructions","author":[{"family":"Seton","given":"Maria"},{"family":"Williams","given":"Simon E."},{"family":"Domeier","given":"Mathew"},{"family":"Collins","given":"Alan S."},{"family":"Sigloch","given":"Karin"}],"issued":{"date-parts":[["2023",2,21]]}}}],"schema":"https://github.com/citation-style-language/schema/raw/master/csl-citation.json"} </w:instrText>
      </w:r>
      <w:r>
        <w:rPr>
          <w:szCs w:val="22"/>
        </w:rPr>
        <w:fldChar w:fldCharType="separate"/>
      </w:r>
      <w:r w:rsidR="00D93BA9" w:rsidRPr="00D93BA9">
        <w:rPr>
          <w:rFonts w:cs="Times New Roman"/>
        </w:rPr>
        <w:t>[1]</w:t>
      </w:r>
      <w:r>
        <w:rPr>
          <w:szCs w:val="22"/>
        </w:rPr>
        <w:fldChar w:fldCharType="end"/>
      </w:r>
      <w:r>
        <w:rPr>
          <w:szCs w:val="22"/>
        </w:rPr>
        <w:t>).</w:t>
      </w:r>
    </w:p>
    <w:p w14:paraId="1EC17A81" w14:textId="77777777" w:rsidR="00B24989" w:rsidRDefault="00000000">
      <w:pPr>
        <w:pStyle w:val="Titre1"/>
      </w:pPr>
      <w:bookmarkStart w:id="1" w:name="references"/>
      <w:bookmarkEnd w:id="0"/>
      <w:r>
        <w:lastRenderedPageBreak/>
        <w:t>References</w:t>
      </w:r>
    </w:p>
    <w:p w14:paraId="7F855730" w14:textId="77777777" w:rsidR="00B24989" w:rsidRDefault="00000000">
      <w:pPr>
        <w:pStyle w:val="Titre1"/>
      </w:pPr>
      <w:bookmarkStart w:id="2" w:name="supplementary-tables"/>
      <w:bookmarkEnd w:id="1"/>
      <w:r>
        <w:t>Supplementary Tables</w:t>
      </w:r>
    </w:p>
    <w:p w14:paraId="396ED2B6" w14:textId="77777777" w:rsidR="00B24989" w:rsidRDefault="00000000">
      <w:pPr>
        <w:pStyle w:val="Titre1"/>
      </w:pPr>
      <w:bookmarkStart w:id="3" w:name="supplementary-figures"/>
      <w:bookmarkEnd w:id="2"/>
      <w:r>
        <w:t>Supplementary Figures</w:t>
      </w:r>
      <w:bookmarkEnd w:id="3"/>
    </w:p>
    <w:sectPr w:rsidR="00B24989" w:rsidSect="00B138A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909D" w14:textId="77777777" w:rsidR="00B73A7A" w:rsidRDefault="00B73A7A">
      <w:pPr>
        <w:spacing w:after="0"/>
      </w:pPr>
      <w:r>
        <w:separator/>
      </w:r>
    </w:p>
  </w:endnote>
  <w:endnote w:type="continuationSeparator" w:id="0">
    <w:p w14:paraId="525B3A46" w14:textId="77777777" w:rsidR="00B73A7A" w:rsidRDefault="00B73A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B0466" w14:textId="77777777" w:rsidR="00B73A7A" w:rsidRDefault="00B73A7A">
      <w:r>
        <w:separator/>
      </w:r>
    </w:p>
  </w:footnote>
  <w:footnote w:type="continuationSeparator" w:id="0">
    <w:p w14:paraId="7F9D4BBD" w14:textId="77777777" w:rsidR="00B73A7A" w:rsidRDefault="00B73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005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2F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7896B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0CFE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183D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 w:numId="13" w16cid:durableId="18204184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89"/>
    <w:rsid w:val="001519E4"/>
    <w:rsid w:val="00355F10"/>
    <w:rsid w:val="0038527B"/>
    <w:rsid w:val="00407A43"/>
    <w:rsid w:val="004151EC"/>
    <w:rsid w:val="00532D8D"/>
    <w:rsid w:val="005D26E9"/>
    <w:rsid w:val="00A7063D"/>
    <w:rsid w:val="00B24989"/>
    <w:rsid w:val="00B7077E"/>
    <w:rsid w:val="00B73A7A"/>
    <w:rsid w:val="00D93BA9"/>
    <w:rsid w:val="00DB654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5DEF"/>
  <w15:docId w15:val="{883C6B50-6A5D-4E30-AEEA-83821996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Titre1">
    <w:name w:val="heading 1"/>
    <w:basedOn w:val="Normal"/>
    <w:next w:val="Corpsdetexte"/>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Titre2">
    <w:name w:val="heading 2"/>
    <w:basedOn w:val="Normal"/>
    <w:next w:val="Corpsdetexte"/>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Titre3">
    <w:name w:val="heading 3"/>
    <w:basedOn w:val="Normal"/>
    <w:next w:val="Corpsdetexte"/>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Titre4">
    <w:name w:val="heading 4"/>
    <w:basedOn w:val="Normal"/>
    <w:next w:val="Corpsdetexte"/>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Titre5">
    <w:name w:val="heading 5"/>
    <w:basedOn w:val="Normal"/>
    <w:next w:val="Corpsdetexte"/>
    <w:uiPriority w:val="9"/>
    <w:unhideWhenUsed/>
    <w:qFormat/>
    <w:rsid w:val="00E4579E"/>
    <w:pPr>
      <w:keepNext/>
      <w:keepLines/>
      <w:spacing w:before="200" w:after="0"/>
      <w:outlineLvl w:val="4"/>
    </w:pPr>
    <w:rPr>
      <w:rFonts w:eastAsiaTheme="majorEastAsia" w:cs="Times New Roman"/>
      <w:color w:val="000000" w:themeColor="text1"/>
    </w:rPr>
  </w:style>
  <w:style w:type="paragraph" w:styleId="Titre6">
    <w:name w:val="heading 6"/>
    <w:basedOn w:val="Normal"/>
    <w:next w:val="Corpsdetexte"/>
    <w:uiPriority w:val="9"/>
    <w:unhideWhenUsed/>
    <w:qFormat/>
    <w:rsid w:val="00E4579E"/>
    <w:pPr>
      <w:keepNext/>
      <w:keepLines/>
      <w:spacing w:before="200" w:after="0"/>
      <w:outlineLvl w:val="5"/>
    </w:pPr>
    <w:rPr>
      <w:rFonts w:eastAsiaTheme="majorEastAsia" w:cs="Times New Roman"/>
      <w:color w:val="000000" w:themeColor="text1"/>
    </w:rPr>
  </w:style>
  <w:style w:type="paragraph" w:styleId="Titre7">
    <w:name w:val="heading 7"/>
    <w:basedOn w:val="Normal"/>
    <w:next w:val="Corpsdetexte"/>
    <w:uiPriority w:val="9"/>
    <w:unhideWhenUsed/>
    <w:qFormat/>
    <w:rsid w:val="00E4579E"/>
    <w:pPr>
      <w:keepNext/>
      <w:keepLines/>
      <w:spacing w:before="200" w:after="0"/>
      <w:outlineLvl w:val="6"/>
    </w:pPr>
    <w:rPr>
      <w:rFonts w:eastAsiaTheme="majorEastAsia" w:cs="Times New Roman"/>
      <w:color w:val="000000" w:themeColor="text1"/>
    </w:rPr>
  </w:style>
  <w:style w:type="paragraph" w:styleId="Titre8">
    <w:name w:val="heading 8"/>
    <w:basedOn w:val="Normal"/>
    <w:next w:val="Corpsdetexte"/>
    <w:uiPriority w:val="9"/>
    <w:unhideWhenUsed/>
    <w:qFormat/>
    <w:rsid w:val="00E4579E"/>
    <w:pPr>
      <w:keepNext/>
      <w:keepLines/>
      <w:spacing w:before="200" w:after="0"/>
      <w:outlineLvl w:val="7"/>
    </w:pPr>
    <w:rPr>
      <w:rFonts w:eastAsiaTheme="majorEastAsia" w:cs="Times New Roman"/>
      <w:color w:val="000000" w:themeColor="tex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CF7947"/>
    <w:pPr>
      <w:spacing w:before="180" w:after="180" w:line="360" w:lineRule="auto"/>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8E6DDD"/>
    <w:pPr>
      <w:keepNext/>
      <w:keepLines/>
      <w:spacing w:after="0" w:line="360" w:lineRule="auto"/>
      <w:jc w:val="center"/>
    </w:pPr>
    <w:rPr>
      <w:rFonts w:ascii="Times New Roman" w:hAnsi="Times New Roman"/>
      <w:sz w:val="22"/>
    </w:rPr>
  </w:style>
  <w:style w:type="paragraph" w:styleId="Date">
    <w:name w:val="Date"/>
    <w:next w:val="Corpsdetexte"/>
    <w:qFormat/>
    <w:pPr>
      <w:keepNext/>
      <w:keepLines/>
      <w:jc w:val="center"/>
    </w:pPr>
  </w:style>
  <w:style w:type="paragraph" w:customStyle="1" w:styleId="Abstract">
    <w:name w:val="Abstract"/>
    <w:basedOn w:val="Normal"/>
    <w:next w:val="Corpsdetexte"/>
    <w:qFormat/>
    <w:rsid w:val="00AD55A2"/>
    <w:pPr>
      <w:keepNext/>
      <w:keepLines/>
      <w:spacing w:before="300" w:after="300"/>
      <w:jc w:val="center"/>
    </w:pPr>
    <w:rPr>
      <w:b/>
      <w:bCs/>
      <w:sz w:val="32"/>
      <w:szCs w:val="32"/>
    </w:rPr>
  </w:style>
  <w:style w:type="paragraph" w:styleId="Bibliographie">
    <w:name w:val="Bibliography"/>
    <w:basedOn w:val="Normal"/>
    <w:qFormat/>
    <w:rsid w:val="00E25B66"/>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rsid w:val="00A73BF1"/>
    <w:pPr>
      <w:spacing w:after="0"/>
    </w:pPr>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CaptionedFigure"/>
    <w:link w:val="LgendeCar"/>
    <w:rsid w:val="00F94E32"/>
  </w:style>
  <w:style w:type="paragraph" w:customStyle="1" w:styleId="TableCaption">
    <w:name w:val="Table Caption"/>
    <w:basedOn w:val="Corpsdetexte"/>
    <w:rsid w:val="001571EA"/>
    <w:pPr>
      <w:spacing w:line="240" w:lineRule="auto"/>
    </w:pPr>
  </w:style>
  <w:style w:type="paragraph" w:customStyle="1" w:styleId="ImageCaption">
    <w:name w:val="Image Caption"/>
    <w:basedOn w:val="Lgende"/>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LgendeCar">
    <w:name w:val="Légende Car"/>
    <w:basedOn w:val="Policepardfaut"/>
    <w:link w:val="Lgende"/>
    <w:rsid w:val="00F94E32"/>
    <w:rPr>
      <w:rFonts w:ascii="Times New Roman" w:hAnsi="Times New Roman" w:cs="Times New Roman"/>
      <w:sz w:val="22"/>
      <w:szCs w:val="22"/>
    </w:rPr>
  </w:style>
  <w:style w:type="character" w:customStyle="1" w:styleId="VerbatimChar">
    <w:name w:val="Verbatim Char"/>
    <w:basedOn w:val="LgendeCar"/>
    <w:link w:val="SourceCode"/>
    <w:rPr>
      <w:rFonts w:ascii="Consolas" w:hAnsi="Consolas" w:cs="Times New Roman"/>
      <w:sz w:val="22"/>
      <w:szCs w:val="22"/>
    </w:rPr>
  </w:style>
  <w:style w:type="character" w:customStyle="1" w:styleId="SectionNumber">
    <w:name w:val="Section Number"/>
    <w:basedOn w:val="LgendeCar"/>
    <w:rPr>
      <w:rFonts w:ascii="Times New Roman" w:hAnsi="Times New Roman" w:cs="Times New Roman"/>
      <w:sz w:val="22"/>
      <w:szCs w:val="22"/>
    </w:rPr>
  </w:style>
  <w:style w:type="character" w:styleId="Appelnotedebasdep">
    <w:name w:val="footnote reference"/>
    <w:basedOn w:val="LgendeCar"/>
    <w:rsid w:val="00E25B66"/>
    <w:rPr>
      <w:rFonts w:ascii="Times New Roman" w:hAnsi="Times New Roman" w:cs="Times New Roman"/>
      <w:sz w:val="24"/>
      <w:szCs w:val="22"/>
      <w:vertAlign w:val="superscript"/>
    </w:rPr>
  </w:style>
  <w:style w:type="character" w:styleId="Lienhypertexte">
    <w:name w:val="Hyperlink"/>
    <w:basedOn w:val="LgendeCar"/>
    <w:rsid w:val="00174DC2"/>
    <w:rPr>
      <w:rFonts w:ascii="Times New Roman" w:hAnsi="Times New Roman" w:cs="Times New Roman"/>
      <w:color w:val="000000" w:themeColor="text1"/>
      <w:sz w:val="22"/>
      <w:szCs w:val="22"/>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CorpsdetexteCar">
    <w:name w:val="Corps de texte Car"/>
    <w:basedOn w:val="Policepardfaut"/>
    <w:link w:val="Corpsdetexte"/>
    <w:rsid w:val="00CF7947"/>
    <w:rPr>
      <w:rFonts w:ascii="Times New Roman" w:hAnsi="Times New Roman"/>
      <w:sz w:val="22"/>
    </w:rPr>
  </w:style>
  <w:style w:type="paragraph" w:styleId="Pieddepage">
    <w:name w:val="footer"/>
    <w:basedOn w:val="Normal"/>
    <w:link w:val="PieddepageCar"/>
    <w:semiHidden/>
    <w:unhideWhenUsed/>
    <w:rsid w:val="00E25B66"/>
    <w:pPr>
      <w:tabs>
        <w:tab w:val="center" w:pos="4513"/>
        <w:tab w:val="right" w:pos="9026"/>
      </w:tabs>
      <w:spacing w:after="0"/>
    </w:pPr>
    <w:rPr>
      <w:sz w:val="16"/>
    </w:rPr>
  </w:style>
  <w:style w:type="character" w:customStyle="1" w:styleId="PieddepageCar">
    <w:name w:val="Pied de page Car"/>
    <w:basedOn w:val="Policepardfaut"/>
    <w:link w:val="Pieddepage"/>
    <w:semiHidden/>
    <w:rsid w:val="00E25B66"/>
    <w:rPr>
      <w:rFonts w:ascii="Times New Roman" w:hAnsi="Times New Roman"/>
      <w:sz w:val="16"/>
    </w:rPr>
  </w:style>
  <w:style w:type="character" w:styleId="Numrodeligne">
    <w:name w:val="line number"/>
    <w:basedOn w:val="Policepardfaut"/>
    <w:semiHidden/>
    <w:unhideWhenUsed/>
    <w:rsid w:val="00B138AE"/>
  </w:style>
  <w:style w:type="character" w:styleId="AcronymeHTML">
    <w:name w:val="HTML Acronym"/>
    <w:basedOn w:val="Policepardfaut"/>
    <w:unhideWhenUsed/>
    <w:rsid w:val="00B503CC"/>
  </w:style>
  <w:style w:type="paragraph" w:styleId="Retrait1religne">
    <w:name w:val="Body Text First Indent"/>
    <w:basedOn w:val="Corpsdetexte"/>
    <w:link w:val="Retrait1religneCar"/>
    <w:unhideWhenUsed/>
    <w:rsid w:val="00A63A6B"/>
    <w:pPr>
      <w:spacing w:before="0" w:after="200" w:line="240" w:lineRule="auto"/>
      <w:ind w:firstLine="360"/>
      <w:jc w:val="left"/>
    </w:pPr>
    <w:rPr>
      <w:rFonts w:asciiTheme="minorHAnsi" w:hAnsiTheme="minorHAnsi"/>
      <w:sz w:val="24"/>
    </w:rPr>
  </w:style>
  <w:style w:type="character" w:customStyle="1" w:styleId="Retrait1religneCar">
    <w:name w:val="Retrait 1re ligne Car"/>
    <w:basedOn w:val="CorpsdetexteCar"/>
    <w:link w:val="Retrait1religne"/>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e">
    <w:name w:val="List"/>
    <w:basedOn w:val="Normal"/>
    <w:unhideWhenUsed/>
    <w:rsid w:val="00ED1205"/>
    <w:pPr>
      <w:ind w:left="283" w:hanging="283"/>
      <w:contextualSpacing/>
    </w:pPr>
  </w:style>
  <w:style w:type="paragraph" w:styleId="Liste2">
    <w:name w:val="List 2"/>
    <w:basedOn w:val="Normal"/>
    <w:unhideWhenUsed/>
    <w:rsid w:val="00ED1205"/>
    <w:pPr>
      <w:ind w:left="566" w:hanging="283"/>
      <w:contextualSpacing/>
    </w:pPr>
  </w:style>
  <w:style w:type="paragraph" w:styleId="Liste3">
    <w:name w:val="List 3"/>
    <w:basedOn w:val="Normal"/>
    <w:unhideWhenUsed/>
    <w:rsid w:val="00EA0107"/>
    <w:pPr>
      <w:ind w:left="849" w:hanging="283"/>
      <w:contextualSpacing/>
    </w:pPr>
  </w:style>
  <w:style w:type="paragraph" w:styleId="Listenumros">
    <w:name w:val="List Number"/>
    <w:basedOn w:val="Normal"/>
    <w:unhideWhenUsed/>
    <w:rsid w:val="00F66C3D"/>
    <w:pPr>
      <w:numPr>
        <w:numId w:val="6"/>
      </w:numPr>
      <w:contextualSpacing/>
    </w:pPr>
  </w:style>
  <w:style w:type="paragraph" w:styleId="Listenumros2">
    <w:name w:val="List Number 2"/>
    <w:basedOn w:val="Normal"/>
    <w:unhideWhenUsed/>
    <w:rsid w:val="00F66C3D"/>
    <w:pPr>
      <w:numPr>
        <w:numId w:val="5"/>
      </w:numPr>
      <w:contextualSpacing/>
    </w:pPr>
  </w:style>
  <w:style w:type="paragraph" w:styleId="Listenumros3">
    <w:name w:val="List Number 3"/>
    <w:basedOn w:val="Normal"/>
    <w:unhideWhenUsed/>
    <w:rsid w:val="00F647AB"/>
    <w:pPr>
      <w:numPr>
        <w:numId w:val="4"/>
      </w:numPr>
      <w:contextualSpacing/>
    </w:pPr>
  </w:style>
  <w:style w:type="paragraph" w:styleId="Listecontinue">
    <w:name w:val="List Continue"/>
    <w:basedOn w:val="Normal"/>
    <w:unhideWhenUsed/>
    <w:rsid w:val="00ED1205"/>
    <w:pPr>
      <w:spacing w:after="120"/>
      <w:ind w:left="283"/>
      <w:contextualSpacing/>
    </w:pPr>
  </w:style>
  <w:style w:type="paragraph" w:styleId="Listecontinue2">
    <w:name w:val="List Continue 2"/>
    <w:basedOn w:val="Normal"/>
    <w:unhideWhenUsed/>
    <w:rsid w:val="00ED1205"/>
    <w:pPr>
      <w:spacing w:after="120"/>
      <w:ind w:left="566"/>
      <w:contextualSpacing/>
    </w:pPr>
  </w:style>
  <w:style w:type="paragraph" w:styleId="Listecontinue3">
    <w:name w:val="List Continue 3"/>
    <w:basedOn w:val="Normal"/>
    <w:unhideWhenUsed/>
    <w:rsid w:val="000A63C5"/>
    <w:pPr>
      <w:spacing w:after="120"/>
      <w:ind w:left="849"/>
      <w:contextualSpacing/>
    </w:pPr>
  </w:style>
  <w:style w:type="paragraph" w:styleId="Listepuces">
    <w:name w:val="List Bullet"/>
    <w:basedOn w:val="Normal"/>
    <w:semiHidden/>
    <w:unhideWhenUsed/>
    <w:rsid w:val="00ED1205"/>
    <w:pPr>
      <w:numPr>
        <w:numId w:val="11"/>
      </w:numPr>
      <w:contextualSpacing/>
    </w:pPr>
  </w:style>
  <w:style w:type="paragraph" w:styleId="Listepuces2">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3385</Words>
  <Characters>18623</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Supplementary Material: Global plate model choice impacts reconstructions of the latitudinal biodiversity gradient</vt:lpstr>
    </vt:vector>
  </TitlesOfParts>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Global plate model choice impacts reconstructions of the latitudinal biodiversity gradient</dc:title>
  <dc:creator>—; Lewis A. Jones1, Bethany J. Allen2,3, William Gearty4, and Lucas Buffan4; —; 1Grupo de Ecoloxía Animal, Departamento de Ecoloxía e Bioloxía Animal, Universidade de Vigo, 36310 Vigo, Spain.; 2Department of Biosystems Science and Engineering, ETH Zürich, 4058 Basel, Switzerland.; 3Computational Evolution Group, Swiss Institute of Bioinformatics, 1015 Lausanne, Switzerland.; 4Smithsonian National Museum of Natural History, Department of Paleobiology, Washington, DC, 20560, USA; 5Département de Biologie, École Normale Supérieure de Lyon, Université Claude Bernard Lyon 1, 69342 Lyon Cedex 07, France.; —; All authors contributed equally to this work; Corresponding author: LewisAlan.Jones@uvigo.es</dc:creator>
  <cp:keywords/>
  <cp:lastModifiedBy>Lucas Buffan</cp:lastModifiedBy>
  <cp:revision>6</cp:revision>
  <dcterms:created xsi:type="dcterms:W3CDTF">2023-03-08T11:32:00Z</dcterms:created>
  <dcterms:modified xsi:type="dcterms:W3CDTF">2023-03-13T10:31:00Z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ZOTERO_PREF_1">
    <vt:lpwstr>&lt;data data-version="3" zotero-version="6.0.23"&gt;&lt;session id="09AOo2If"/&gt;&lt;style id="http://www.zotero.org/styles/biology-letters" hasBibliography="1" bibliographyStyleHasBeenSet="0"/&gt;&lt;prefs&gt;&lt;pref name="fieldType" value="Field"/&gt;&lt;pref name="automaticJournalA</vt:lpwstr>
  </property>
  <property fmtid="{D5CDD505-2E9C-101B-9397-08002B2CF9AE}" pid="14" name="ZOTERO_PREF_2">
    <vt:lpwstr>bbreviations" value="true"/&gt;&lt;/prefs&gt;&lt;/data&gt;</vt:lpwstr>
  </property>
</Properties>
</file>