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B32BE" w14:textId="77777777" w:rsidR="00B23CCF" w:rsidRPr="00B23CCF" w:rsidRDefault="00B23CCF" w:rsidP="00B23CCF">
      <w:pPr>
        <w:pStyle w:val="ListParagraph"/>
        <w:numPr>
          <w:ilvl w:val="0"/>
          <w:numId w:val="13"/>
        </w:numPr>
        <w:rPr>
          <w:b/>
          <w:sz w:val="28"/>
          <w:szCs w:val="28"/>
        </w:rPr>
      </w:pPr>
      <w:r w:rsidRPr="00B23CCF">
        <w:rPr>
          <w:b/>
          <w:sz w:val="28"/>
          <w:szCs w:val="28"/>
        </w:rPr>
        <w:t>List of models available</w:t>
      </w:r>
    </w:p>
    <w:p w14:paraId="72317651" w14:textId="77777777" w:rsidR="002427DA" w:rsidRDefault="00B23CCF" w:rsidP="00B23CCF">
      <w:r>
        <w:t xml:space="preserve">Currently in the </w:t>
      </w:r>
      <w:proofErr w:type="spellStart"/>
      <w:r>
        <w:t>GenePattern</w:t>
      </w:r>
      <w:proofErr w:type="spellEnd"/>
      <w:r>
        <w:t xml:space="preserve"> tool 10 models are available while it should be 8. </w:t>
      </w:r>
    </w:p>
    <w:p w14:paraId="64865994" w14:textId="77777777" w:rsidR="002427DA" w:rsidRDefault="00B23CCF" w:rsidP="00B23CCF">
      <w:r>
        <w:t xml:space="preserve">The models to remove </w:t>
      </w:r>
      <w:proofErr w:type="gramStart"/>
      <w:r>
        <w:t>are :</w:t>
      </w:r>
      <w:proofErr w:type="gramEnd"/>
      <w:r>
        <w:t xml:space="preserve"> </w:t>
      </w:r>
    </w:p>
    <w:p w14:paraId="6C363FED" w14:textId="14EBC5B2" w:rsidR="002427DA" w:rsidRPr="00FF04BF" w:rsidRDefault="002427DA" w:rsidP="00B23CCF">
      <w:pPr>
        <w:rPr>
          <w:lang w:val="fr-BE"/>
        </w:rPr>
      </w:pPr>
      <w:r w:rsidRPr="00FF04BF">
        <w:rPr>
          <w:lang w:val="fr-BE"/>
        </w:rPr>
        <w:t>MT_recon_2_2</w:t>
      </w:r>
      <w:r w:rsidR="002A1411" w:rsidRPr="00FF04BF">
        <w:rPr>
          <w:lang w:val="fr-BE"/>
        </w:rPr>
        <w:t>.mat</w:t>
      </w:r>
      <w:r w:rsidRPr="00FF04BF">
        <w:rPr>
          <w:lang w:val="fr-BE"/>
        </w:rPr>
        <w:t xml:space="preserve"> </w:t>
      </w:r>
    </w:p>
    <w:p w14:paraId="0CEA678A" w14:textId="711C048A" w:rsidR="002A1411" w:rsidRPr="00FF04BF" w:rsidRDefault="002A1411" w:rsidP="002A1411">
      <w:pPr>
        <w:rPr>
          <w:lang w:val="fr-BE"/>
        </w:rPr>
      </w:pPr>
      <w:r w:rsidRPr="00FF04BF">
        <w:rPr>
          <w:lang w:val="fr-BE"/>
        </w:rPr>
        <w:t xml:space="preserve">MT_recon_2.mat </w:t>
      </w:r>
    </w:p>
    <w:p w14:paraId="1792BEE6" w14:textId="2A073228" w:rsidR="002A1411" w:rsidRPr="002A1411" w:rsidRDefault="002A1411" w:rsidP="002A1411">
      <w:pPr>
        <w:rPr>
          <w:lang w:val="fr-BE"/>
        </w:rPr>
      </w:pPr>
      <w:r w:rsidRPr="002A1411">
        <w:rPr>
          <w:lang w:val="fr-BE"/>
        </w:rPr>
        <w:t>MT_recon_1.mat</w:t>
      </w:r>
    </w:p>
    <w:p w14:paraId="51ADA045" w14:textId="706D8B5D" w:rsidR="002A1411" w:rsidRPr="002A1411" w:rsidRDefault="002A1411" w:rsidP="00B23CCF">
      <w:pPr>
        <w:rPr>
          <w:lang w:val="fr-BE"/>
        </w:rPr>
      </w:pPr>
      <w:r w:rsidRPr="002A1411">
        <w:rPr>
          <w:lang w:val="fr-BE"/>
        </w:rPr>
        <w:t>MT_quek14.mat</w:t>
      </w:r>
    </w:p>
    <w:p w14:paraId="4096A433" w14:textId="35887535" w:rsidR="00B23CCF" w:rsidRDefault="00B23CCF" w:rsidP="00B23CCF">
      <w:proofErr w:type="spellStart"/>
      <w:r>
        <w:t>MT_inesMouseModel</w:t>
      </w:r>
      <w:r w:rsidR="002A1411">
        <w:t>.mat</w:t>
      </w:r>
      <w:proofErr w:type="spellEnd"/>
    </w:p>
    <w:p w14:paraId="4F0546FF" w14:textId="77777777" w:rsidR="002A1411" w:rsidRDefault="002A1411" w:rsidP="00B23CCF"/>
    <w:p w14:paraId="6E26180F" w14:textId="77777777" w:rsidR="00B23CCF" w:rsidRDefault="00B23CCF" w:rsidP="00B23CCF">
      <w:r>
        <w:t>Furthermore, the name of the model when selecting the options should be different to avoid confusion of the user. See below the list of models and the name they should be associated with:</w:t>
      </w:r>
    </w:p>
    <w:p w14:paraId="4675E7FE" w14:textId="77777777" w:rsidR="00B23CCF" w:rsidRDefault="00B23CCF" w:rsidP="00B23CCF"/>
    <w:p w14:paraId="3451CE85" w14:textId="77777777" w:rsidR="00B23CCF" w:rsidRDefault="00B23CCF" w:rsidP="00B23CCF">
      <w:r>
        <w:t xml:space="preserve">MT_recon_2_2_entrez.mat </w:t>
      </w:r>
      <w:r>
        <w:sym w:font="Wingdings" w:char="F0E8"/>
      </w:r>
      <w:r>
        <w:t xml:space="preserve"> Human_recon_2_2</w:t>
      </w:r>
    </w:p>
    <w:p w14:paraId="66B7EDE6" w14:textId="77777777" w:rsidR="00B23CCF" w:rsidRDefault="00B23CCF" w:rsidP="00B23CCF">
      <w:proofErr w:type="spellStart"/>
      <w:r>
        <w:t>MT_iHsa.mat</w:t>
      </w:r>
      <w:proofErr w:type="spellEnd"/>
      <w:r>
        <w:t xml:space="preserve"> </w:t>
      </w:r>
      <w:r>
        <w:sym w:font="Wingdings" w:char="F0E8"/>
      </w:r>
      <w:r>
        <w:t xml:space="preserve"> </w:t>
      </w:r>
      <w:proofErr w:type="spellStart"/>
      <w:r>
        <w:t>Human_iHsa</w:t>
      </w:r>
      <w:proofErr w:type="spellEnd"/>
    </w:p>
    <w:p w14:paraId="392E8D16" w14:textId="77777777" w:rsidR="00B23CCF" w:rsidRDefault="00B23CCF" w:rsidP="00B23CCF">
      <w:r>
        <w:t xml:space="preserve">MT_iCHOv1_final.mat </w:t>
      </w:r>
      <w:r>
        <w:sym w:font="Wingdings" w:char="F0E8"/>
      </w:r>
      <w:r>
        <w:t xml:space="preserve"> CHO_iCHOv1</w:t>
      </w:r>
    </w:p>
    <w:p w14:paraId="49E75A7C" w14:textId="77777777" w:rsidR="00B23CCF" w:rsidRDefault="00B23CCF" w:rsidP="00B23CCF">
      <w:proofErr w:type="spellStart"/>
      <w:r>
        <w:t>MT_iRno.mat</w:t>
      </w:r>
      <w:proofErr w:type="spellEnd"/>
      <w:r>
        <w:t xml:space="preserve"> </w:t>
      </w:r>
      <w:r>
        <w:sym w:font="Wingdings" w:char="F0E8"/>
      </w:r>
      <w:r>
        <w:t xml:space="preserve"> </w:t>
      </w:r>
      <w:proofErr w:type="spellStart"/>
      <w:r>
        <w:t>Rat_iRno</w:t>
      </w:r>
      <w:proofErr w:type="spellEnd"/>
    </w:p>
    <w:p w14:paraId="4B872A8D" w14:textId="77777777" w:rsidR="00B23CCF" w:rsidRDefault="00B23CCF" w:rsidP="00B23CCF">
      <w:r>
        <w:t xml:space="preserve">MT_iMM1415.mat </w:t>
      </w:r>
      <w:r>
        <w:sym w:font="Wingdings" w:char="F0E8"/>
      </w:r>
      <w:r>
        <w:t xml:space="preserve"> Mouse_iMM1415</w:t>
      </w:r>
    </w:p>
    <w:p w14:paraId="110686B9" w14:textId="77777777" w:rsidR="00C26C4B" w:rsidRDefault="00C26C4B"/>
    <w:p w14:paraId="10D5548E" w14:textId="5C62E1E2" w:rsidR="00014F19" w:rsidRPr="000234BB" w:rsidRDefault="00014F19" w:rsidP="00B23CCF">
      <w:pPr>
        <w:pStyle w:val="ListParagraph"/>
        <w:numPr>
          <w:ilvl w:val="0"/>
          <w:numId w:val="13"/>
        </w:numPr>
        <w:rPr>
          <w:b/>
          <w:sz w:val="28"/>
          <w:szCs w:val="28"/>
        </w:rPr>
      </w:pPr>
      <w:r w:rsidRPr="000234BB">
        <w:rPr>
          <w:b/>
          <w:sz w:val="28"/>
          <w:szCs w:val="28"/>
        </w:rPr>
        <w:t>TO Modify – Description of the files to submit a job</w:t>
      </w:r>
    </w:p>
    <w:p w14:paraId="4A9DAD15" w14:textId="77777777" w:rsidR="00014F19" w:rsidRDefault="00014F19">
      <w:r>
        <w:t xml:space="preserve">Currently, this is the </w:t>
      </w:r>
      <w:proofErr w:type="gramStart"/>
      <w:r>
        <w:t>description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75"/>
      </w:tblGrid>
      <w:tr w:rsidR="00014F19" w:rsidRPr="00014F19" w14:paraId="24DB0886" w14:textId="77777777" w:rsidTr="00014F19">
        <w:trPr>
          <w:tblCellSpacing w:w="15" w:type="dxa"/>
        </w:trPr>
        <w:tc>
          <w:tcPr>
            <w:tcW w:w="0" w:type="auto"/>
            <w:vAlign w:val="center"/>
            <w:hideMark/>
          </w:tcPr>
          <w:p w14:paraId="1E05C9C9" w14:textId="77777777" w:rsidR="00014F19" w:rsidRPr="00014F19" w:rsidRDefault="00014F19" w:rsidP="00014F19">
            <w:pPr>
              <w:rPr>
                <w:rFonts w:eastAsia="Times New Roman"/>
                <w:lang w:eastAsia="en-US"/>
              </w:rPr>
            </w:pPr>
          </w:p>
        </w:tc>
        <w:tc>
          <w:tcPr>
            <w:tcW w:w="0" w:type="auto"/>
            <w:vAlign w:val="center"/>
            <w:hideMark/>
          </w:tcPr>
          <w:p w14:paraId="78058D19" w14:textId="77777777" w:rsidR="00014F19" w:rsidRDefault="000234BB" w:rsidP="00014F19">
            <w:pPr>
              <w:rPr>
                <w:rFonts w:eastAsia="Times New Roman"/>
                <w:i/>
                <w:lang w:eastAsia="en-US"/>
              </w:rPr>
            </w:pPr>
            <w:r>
              <w:rPr>
                <w:rFonts w:eastAsia="Times New Roman"/>
                <w:lang w:eastAsia="en-US"/>
              </w:rPr>
              <w:t>“</w:t>
            </w:r>
            <w:proofErr w:type="gramStart"/>
            <w:r w:rsidR="00014F19" w:rsidRPr="00014F19">
              <w:rPr>
                <w:rFonts w:eastAsia="Times New Roman"/>
                <w:i/>
                <w:lang w:eastAsia="en-US"/>
              </w:rPr>
              <w:t>A .mat</w:t>
            </w:r>
            <w:proofErr w:type="gramEnd"/>
            <w:r w:rsidR="00014F19" w:rsidRPr="00014F19">
              <w:rPr>
                <w:rFonts w:eastAsia="Times New Roman"/>
                <w:i/>
                <w:lang w:eastAsia="en-US"/>
              </w:rPr>
              <w:t xml:space="preserve"> or .csv expression matrix with rows corresponding to genes and columns corresponding to samples. Should contain a header row starting with "genes" and containing all of the sample names.</w:t>
            </w:r>
            <w:r w:rsidRPr="000234BB">
              <w:rPr>
                <w:rFonts w:eastAsia="Times New Roman"/>
                <w:i/>
                <w:lang w:eastAsia="en-US"/>
              </w:rPr>
              <w:t>”</w:t>
            </w:r>
          </w:p>
          <w:p w14:paraId="2274E89C" w14:textId="77777777" w:rsidR="000234BB" w:rsidRDefault="000234BB" w:rsidP="00014F19">
            <w:pPr>
              <w:rPr>
                <w:rFonts w:eastAsia="Times New Roman"/>
                <w:lang w:eastAsia="en-US"/>
              </w:rPr>
            </w:pPr>
            <w:r w:rsidRPr="000234BB">
              <w:rPr>
                <w:rFonts w:eastAsia="Times New Roman"/>
                <w:lang w:eastAsia="en-US"/>
              </w:rPr>
              <w:t>Introduce the following instead</w:t>
            </w:r>
          </w:p>
          <w:p w14:paraId="17E5EB34" w14:textId="77777777" w:rsidR="00004419" w:rsidRDefault="006904CC" w:rsidP="006904CC">
            <w:pPr>
              <w:rPr>
                <w:rFonts w:eastAsia="Times New Roman"/>
                <w:i/>
                <w:lang w:eastAsia="en-US"/>
              </w:rPr>
            </w:pPr>
            <w:r>
              <w:rPr>
                <w:rFonts w:eastAsia="Times New Roman"/>
                <w:lang w:eastAsia="en-US"/>
              </w:rPr>
              <w:t>“</w:t>
            </w:r>
            <w:r>
              <w:rPr>
                <w:rFonts w:eastAsia="Times New Roman"/>
                <w:i/>
                <w:lang w:eastAsia="en-US"/>
              </w:rPr>
              <w:t>Gene</w:t>
            </w:r>
            <w:r w:rsidRPr="00014F19">
              <w:rPr>
                <w:rFonts w:eastAsia="Times New Roman"/>
                <w:i/>
                <w:lang w:eastAsia="en-US"/>
              </w:rPr>
              <w:t xml:space="preserve"> expression matrix </w:t>
            </w:r>
            <w:r>
              <w:rPr>
                <w:rFonts w:eastAsia="Times New Roman"/>
                <w:i/>
                <w:lang w:eastAsia="en-US"/>
              </w:rPr>
              <w:t xml:space="preserve">can be provide </w:t>
            </w:r>
            <w:proofErr w:type="gramStart"/>
            <w:r>
              <w:rPr>
                <w:rFonts w:eastAsia="Times New Roman"/>
                <w:i/>
                <w:lang w:eastAsia="en-US"/>
              </w:rPr>
              <w:t>in .mat</w:t>
            </w:r>
            <w:proofErr w:type="gramEnd"/>
            <w:r>
              <w:rPr>
                <w:rFonts w:eastAsia="Times New Roman"/>
                <w:i/>
                <w:lang w:eastAsia="en-US"/>
              </w:rPr>
              <w:t xml:space="preserve"> or .csv. </w:t>
            </w:r>
          </w:p>
          <w:p w14:paraId="1EF9E7B0" w14:textId="29B0DC46" w:rsidR="00004419" w:rsidRDefault="00FF04BF" w:rsidP="006904CC">
            <w:pPr>
              <w:rPr>
                <w:rFonts w:eastAsia="Times New Roman"/>
                <w:i/>
                <w:lang w:eastAsia="en-US"/>
              </w:rPr>
            </w:pPr>
            <w:proofErr w:type="gramStart"/>
            <w:r>
              <w:rPr>
                <w:rFonts w:eastAsia="Times New Roman"/>
                <w:i/>
                <w:lang w:eastAsia="en-US"/>
              </w:rPr>
              <w:t>For .mat</w:t>
            </w:r>
            <w:proofErr w:type="gramEnd"/>
            <w:r>
              <w:rPr>
                <w:rFonts w:eastAsia="Times New Roman"/>
                <w:i/>
                <w:lang w:eastAsia="en-US"/>
              </w:rPr>
              <w:t xml:space="preserve"> files, you need to </w:t>
            </w:r>
            <w:r w:rsidR="006904CC">
              <w:rPr>
                <w:rFonts w:eastAsia="Times New Roman"/>
                <w:i/>
                <w:lang w:eastAsia="en-US"/>
              </w:rPr>
              <w:t xml:space="preserve">provide a structure variable (named e.g. data) containing a </w:t>
            </w:r>
            <w:r w:rsidR="00004419">
              <w:rPr>
                <w:rFonts w:eastAsia="Times New Roman"/>
                <w:i/>
                <w:lang w:eastAsia="en-US"/>
              </w:rPr>
              <w:t xml:space="preserve">cell field named “genes” containing the </w:t>
            </w:r>
            <w:r>
              <w:rPr>
                <w:rFonts w:eastAsia="Times New Roman"/>
                <w:i/>
                <w:lang w:eastAsia="en-US"/>
              </w:rPr>
              <w:t xml:space="preserve">NCBI </w:t>
            </w:r>
            <w:r w:rsidR="00004419">
              <w:rPr>
                <w:rFonts w:eastAsia="Times New Roman"/>
                <w:i/>
                <w:lang w:eastAsia="en-US"/>
              </w:rPr>
              <w:t xml:space="preserve">Entrez gene ID (one gene by cell) and a double field named “value” containing a matrix with gene expression value for each of the sample you want to evaluate (i.e. with </w:t>
            </w:r>
            <w:r w:rsidR="006904CC" w:rsidRPr="00014F19">
              <w:rPr>
                <w:rFonts w:eastAsia="Times New Roman"/>
                <w:i/>
                <w:lang w:eastAsia="en-US"/>
              </w:rPr>
              <w:t>rows corresponding to genes and columns corresponding to samples</w:t>
            </w:r>
            <w:r w:rsidR="00004419">
              <w:rPr>
                <w:rFonts w:eastAsia="Times New Roman"/>
                <w:i/>
                <w:lang w:eastAsia="en-US"/>
              </w:rPr>
              <w:t>)</w:t>
            </w:r>
            <w:r w:rsidR="006904CC" w:rsidRPr="00014F19">
              <w:rPr>
                <w:rFonts w:eastAsia="Times New Roman"/>
                <w:i/>
                <w:lang w:eastAsia="en-US"/>
              </w:rPr>
              <w:t>.</w:t>
            </w:r>
            <w:r w:rsidR="00004419">
              <w:rPr>
                <w:rFonts w:eastAsia="Times New Roman"/>
                <w:i/>
                <w:lang w:eastAsia="en-US"/>
              </w:rPr>
              <w:t xml:space="preserve"> See available example </w:t>
            </w:r>
            <w:r w:rsidR="00004419" w:rsidRPr="00812FCA">
              <w:rPr>
                <w:rFonts w:eastAsia="Times New Roman"/>
                <w:i/>
                <w:u w:val="single"/>
                <w:lang w:eastAsia="en-US"/>
              </w:rPr>
              <w:t>dataTest.mat</w:t>
            </w:r>
            <w:r w:rsidR="00812FCA">
              <w:rPr>
                <w:rFonts w:eastAsia="Times New Roman"/>
                <w:i/>
                <w:u w:val="single"/>
                <w:lang w:eastAsia="en-US"/>
              </w:rPr>
              <w:t xml:space="preserve">. </w:t>
            </w:r>
            <w:r w:rsidR="00812FCA" w:rsidRPr="00812FCA">
              <w:rPr>
                <w:rFonts w:eastAsia="Times New Roman"/>
                <w:i/>
                <w:color w:val="0070C0"/>
                <w:lang w:eastAsia="en-US"/>
              </w:rPr>
              <w:t>(</w:t>
            </w:r>
            <w:r w:rsidR="00812FCA" w:rsidRPr="00812FCA">
              <w:rPr>
                <w:rFonts w:eastAsia="Times New Roman"/>
                <w:color w:val="0070C0"/>
                <w:lang w:eastAsia="en-US"/>
              </w:rPr>
              <w:t>attach a link for downloading the following document “</w:t>
            </w:r>
            <w:r w:rsidR="00812FCA" w:rsidRPr="00812FCA">
              <w:rPr>
                <w:rFonts w:eastAsia="Times New Roman"/>
                <w:i/>
                <w:color w:val="0070C0"/>
                <w:u w:val="single"/>
                <w:lang w:eastAsia="en-US"/>
              </w:rPr>
              <w:t>dataTest.mat</w:t>
            </w:r>
            <w:r w:rsidR="00812FCA" w:rsidRPr="00812FCA">
              <w:rPr>
                <w:rFonts w:eastAsia="Times New Roman"/>
                <w:color w:val="0070C0"/>
                <w:lang w:eastAsia="en-US"/>
              </w:rPr>
              <w:t>”)</w:t>
            </w:r>
          </w:p>
          <w:p w14:paraId="4ACF4630" w14:textId="292C75D3" w:rsidR="00FF04BF" w:rsidRDefault="00FF04BF" w:rsidP="006904CC">
            <w:pPr>
              <w:rPr>
                <w:rFonts w:eastAsia="Times New Roman"/>
                <w:i/>
                <w:lang w:eastAsia="en-US"/>
              </w:rPr>
            </w:pPr>
            <w:r w:rsidRPr="00812FCA">
              <w:rPr>
                <w:rFonts w:eastAsia="Times New Roman"/>
                <w:i/>
                <w:color w:val="000000" w:themeColor="text1"/>
                <w:lang w:eastAsia="en-US"/>
              </w:rPr>
              <w:t xml:space="preserve">For csv. </w:t>
            </w:r>
            <w:r w:rsidR="00812FCA" w:rsidRPr="00812FCA">
              <w:rPr>
                <w:rFonts w:eastAsia="Times New Roman"/>
                <w:i/>
                <w:color w:val="000000" w:themeColor="text1"/>
                <w:lang w:eastAsia="en-US"/>
              </w:rPr>
              <w:t>f</w:t>
            </w:r>
            <w:r w:rsidR="00004419" w:rsidRPr="00812FCA">
              <w:rPr>
                <w:rFonts w:eastAsia="Times New Roman"/>
                <w:i/>
                <w:color w:val="000000" w:themeColor="text1"/>
                <w:lang w:eastAsia="en-US"/>
              </w:rPr>
              <w:t>iles</w:t>
            </w:r>
            <w:r w:rsidRPr="00812FCA">
              <w:rPr>
                <w:rFonts w:eastAsia="Times New Roman"/>
                <w:i/>
                <w:color w:val="000000" w:themeColor="text1"/>
                <w:lang w:eastAsia="en-US"/>
              </w:rPr>
              <w:t>, you need to provide</w:t>
            </w:r>
            <w:r w:rsidR="00812FCA" w:rsidRPr="00812FCA">
              <w:rPr>
                <w:rFonts w:eastAsia="Times New Roman"/>
                <w:i/>
                <w:color w:val="000000" w:themeColor="text1"/>
                <w:lang w:eastAsia="en-US"/>
              </w:rPr>
              <w:t xml:space="preserve"> an </w:t>
            </w:r>
            <w:r w:rsidR="00812FCA" w:rsidRPr="00812FCA">
              <w:rPr>
                <w:rFonts w:eastAsia="Times New Roman"/>
                <w:i/>
                <w:color w:val="000000" w:themeColor="text1"/>
                <w:lang w:eastAsia="en-US"/>
              </w:rPr>
              <w:t>expression matrix with rows corresponding to genes and columns corresponding to samples</w:t>
            </w:r>
            <w:r w:rsidR="00812FCA" w:rsidRPr="00812FCA">
              <w:rPr>
                <w:rFonts w:eastAsia="Times New Roman"/>
                <w:i/>
                <w:color w:val="000000" w:themeColor="text1"/>
                <w:lang w:eastAsia="en-US"/>
              </w:rPr>
              <w:t xml:space="preserve">. The first column is </w:t>
            </w:r>
            <w:r w:rsidRPr="00812FCA">
              <w:rPr>
                <w:rFonts w:eastAsia="Times New Roman"/>
                <w:i/>
                <w:color w:val="000000" w:themeColor="text1"/>
                <w:lang w:eastAsia="en-US"/>
              </w:rPr>
              <w:t>the list of genes</w:t>
            </w:r>
            <w:r w:rsidR="00812FCA" w:rsidRPr="00812FCA">
              <w:rPr>
                <w:rFonts w:eastAsia="Times New Roman"/>
                <w:i/>
                <w:color w:val="000000" w:themeColor="text1"/>
                <w:lang w:eastAsia="en-US"/>
              </w:rPr>
              <w:t xml:space="preserve"> NCBI</w:t>
            </w:r>
            <w:r w:rsidRPr="00812FCA">
              <w:rPr>
                <w:rFonts w:eastAsia="Times New Roman"/>
                <w:i/>
                <w:color w:val="000000" w:themeColor="text1"/>
                <w:lang w:eastAsia="en-US"/>
              </w:rPr>
              <w:t xml:space="preserve"> </w:t>
            </w:r>
            <w:proofErr w:type="gramStart"/>
            <w:r w:rsidRPr="00812FCA">
              <w:rPr>
                <w:rFonts w:eastAsia="Times New Roman"/>
                <w:i/>
                <w:color w:val="000000" w:themeColor="text1"/>
                <w:lang w:eastAsia="en-US"/>
              </w:rPr>
              <w:t xml:space="preserve">Entrez </w:t>
            </w:r>
            <w:r w:rsidR="00812FCA" w:rsidRPr="00812FCA">
              <w:rPr>
                <w:rFonts w:eastAsia="Times New Roman"/>
                <w:i/>
                <w:color w:val="000000" w:themeColor="text1"/>
                <w:lang w:eastAsia="en-US"/>
              </w:rPr>
              <w:t xml:space="preserve"> gene</w:t>
            </w:r>
            <w:proofErr w:type="gramEnd"/>
            <w:r w:rsidR="00812FCA" w:rsidRPr="00812FCA">
              <w:rPr>
                <w:rFonts w:eastAsia="Times New Roman"/>
                <w:i/>
                <w:color w:val="000000" w:themeColor="text1"/>
                <w:lang w:eastAsia="en-US"/>
              </w:rPr>
              <w:t xml:space="preserve"> </w:t>
            </w:r>
            <w:r w:rsidRPr="00812FCA">
              <w:rPr>
                <w:rFonts w:eastAsia="Times New Roman"/>
                <w:i/>
                <w:color w:val="000000" w:themeColor="text1"/>
                <w:lang w:eastAsia="en-US"/>
              </w:rPr>
              <w:t>ID</w:t>
            </w:r>
            <w:r w:rsidR="00812FCA" w:rsidRPr="00812FCA">
              <w:rPr>
                <w:rFonts w:eastAsia="Times New Roman"/>
                <w:i/>
                <w:color w:val="000000" w:themeColor="text1"/>
                <w:lang w:eastAsia="en-US"/>
              </w:rPr>
              <w:t xml:space="preserve"> and the first header row should start with “genes” and be followed by the name of each sample present in your dataset. See available example dataTest.csv</w:t>
            </w:r>
            <w:r w:rsidR="00812FCA">
              <w:rPr>
                <w:rFonts w:eastAsia="Times New Roman"/>
                <w:i/>
                <w:color w:val="FF0000"/>
                <w:lang w:eastAsia="en-US"/>
              </w:rPr>
              <w:t>.</w:t>
            </w:r>
            <w:r w:rsidR="00812FCA" w:rsidRPr="00812FCA">
              <w:rPr>
                <w:rFonts w:eastAsia="Times New Roman"/>
                <w:i/>
                <w:color w:val="0070C0"/>
                <w:lang w:eastAsia="en-US"/>
              </w:rPr>
              <w:t>(</w:t>
            </w:r>
            <w:r w:rsidR="00812FCA" w:rsidRPr="00812FCA">
              <w:rPr>
                <w:rFonts w:eastAsia="Times New Roman"/>
                <w:color w:val="0070C0"/>
                <w:lang w:eastAsia="en-US"/>
              </w:rPr>
              <w:t>attach a link for downloading the following document “</w:t>
            </w:r>
            <w:r w:rsidR="00812FCA">
              <w:rPr>
                <w:rFonts w:eastAsia="Times New Roman"/>
                <w:i/>
                <w:color w:val="0070C0"/>
                <w:u w:val="single"/>
                <w:lang w:eastAsia="en-US"/>
              </w:rPr>
              <w:t>dataTest.csv</w:t>
            </w:r>
            <w:r w:rsidR="00812FCA" w:rsidRPr="00812FCA">
              <w:rPr>
                <w:rFonts w:eastAsia="Times New Roman"/>
                <w:color w:val="0070C0"/>
                <w:lang w:eastAsia="en-US"/>
              </w:rPr>
              <w:t>”)</w:t>
            </w:r>
          </w:p>
          <w:p w14:paraId="7A0C643D" w14:textId="57856C2A" w:rsidR="006904CC" w:rsidRDefault="00FF04BF" w:rsidP="006904CC">
            <w:pPr>
              <w:rPr>
                <w:rFonts w:eastAsia="Times New Roman"/>
                <w:i/>
                <w:lang w:eastAsia="en-US"/>
              </w:rPr>
            </w:pPr>
            <w:r>
              <w:rPr>
                <w:rFonts w:eastAsia="Times New Roman"/>
                <w:i/>
                <w:lang w:eastAsia="en-US"/>
              </w:rPr>
              <w:t xml:space="preserve">The list of genes and associated NCBI Entrez ID present in each reference model can be downloaded </w:t>
            </w:r>
            <w:r w:rsidRPr="00FF04BF">
              <w:rPr>
                <w:rFonts w:eastAsia="Times New Roman"/>
                <w:i/>
                <w:u w:val="single"/>
                <w:lang w:eastAsia="en-US"/>
              </w:rPr>
              <w:t>here</w:t>
            </w:r>
            <w:r w:rsidR="00812FCA">
              <w:rPr>
                <w:rFonts w:eastAsia="Times New Roman"/>
                <w:i/>
                <w:u w:val="single"/>
                <w:lang w:eastAsia="en-US"/>
              </w:rPr>
              <w:t xml:space="preserve"> </w:t>
            </w:r>
            <w:r w:rsidRPr="00812FCA">
              <w:rPr>
                <w:rFonts w:eastAsia="Times New Roman"/>
                <w:i/>
                <w:color w:val="0070C0"/>
                <w:lang w:eastAsia="en-US"/>
              </w:rPr>
              <w:t>(</w:t>
            </w:r>
            <w:r w:rsidRPr="00812FCA">
              <w:rPr>
                <w:rFonts w:eastAsia="Times New Roman"/>
                <w:color w:val="0070C0"/>
                <w:lang w:eastAsia="en-US"/>
              </w:rPr>
              <w:t>attach a link for downloading the following document “NCBI_Entrez_gene_ID_models.xls”)</w:t>
            </w:r>
            <w:r w:rsidR="006904CC" w:rsidRPr="00812FCA">
              <w:rPr>
                <w:rFonts w:eastAsia="Times New Roman"/>
                <w:i/>
                <w:color w:val="0070C0"/>
                <w:lang w:eastAsia="en-US"/>
              </w:rPr>
              <w:t>”</w:t>
            </w:r>
          </w:p>
          <w:p w14:paraId="5F1ADE9D" w14:textId="40269026" w:rsidR="006904CC" w:rsidRPr="00014F19" w:rsidRDefault="006904CC" w:rsidP="00014F19">
            <w:pPr>
              <w:rPr>
                <w:rFonts w:eastAsia="Times New Roman"/>
                <w:lang w:eastAsia="en-US"/>
              </w:rPr>
            </w:pPr>
          </w:p>
        </w:tc>
      </w:tr>
    </w:tbl>
    <w:p w14:paraId="58192F42" w14:textId="0D5CDA34" w:rsidR="00B23CCF" w:rsidRDefault="00B23CCF" w:rsidP="00B23CCF"/>
    <w:p w14:paraId="056AF372" w14:textId="77777777" w:rsidR="00B23CCF" w:rsidRDefault="00B23CCF" w:rsidP="00B23CCF"/>
    <w:p w14:paraId="426B2FAA" w14:textId="457CEC23" w:rsidR="00C26C4B" w:rsidRPr="000234BB" w:rsidRDefault="00541CAE" w:rsidP="00B23CCF">
      <w:pPr>
        <w:pStyle w:val="ListParagraph"/>
        <w:numPr>
          <w:ilvl w:val="0"/>
          <w:numId w:val="13"/>
        </w:numPr>
        <w:rPr>
          <w:b/>
          <w:sz w:val="28"/>
          <w:szCs w:val="28"/>
        </w:rPr>
      </w:pPr>
      <w:r w:rsidRPr="000234BB">
        <w:rPr>
          <w:b/>
          <w:sz w:val="28"/>
          <w:szCs w:val="28"/>
        </w:rPr>
        <w:t xml:space="preserve">To add at the level of the </w:t>
      </w:r>
      <w:r w:rsidR="00C26C4B" w:rsidRPr="000234BB">
        <w:rPr>
          <w:b/>
          <w:sz w:val="28"/>
          <w:szCs w:val="28"/>
        </w:rPr>
        <w:t>“Home Page”</w:t>
      </w:r>
    </w:p>
    <w:p w14:paraId="519A813B" w14:textId="231B4B73" w:rsidR="00C26C4B" w:rsidRDefault="00541CAE" w:rsidP="00C26C4B">
      <w:pPr>
        <w:pStyle w:val="ListParagraph"/>
        <w:numPr>
          <w:ilvl w:val="0"/>
          <w:numId w:val="2"/>
        </w:numPr>
      </w:pPr>
      <w:r>
        <w:t>Ideally the logo plus a short description of the tool</w:t>
      </w:r>
    </w:p>
    <w:p w14:paraId="4B07908D" w14:textId="7C414162" w:rsidR="00B330F2" w:rsidRDefault="00B330F2" w:rsidP="00C26C4B">
      <w:pPr>
        <w:pStyle w:val="ListParagraph"/>
        <w:numPr>
          <w:ilvl w:val="0"/>
          <w:numId w:val="2"/>
        </w:numPr>
      </w:pPr>
      <w:r>
        <w:t>text to add</w:t>
      </w:r>
    </w:p>
    <w:p w14:paraId="442CE956" w14:textId="77777777" w:rsidR="00324E6E" w:rsidRDefault="00324E6E" w:rsidP="00B330F2">
      <w:pPr>
        <w:ind w:left="360"/>
        <w:rPr>
          <w:i/>
        </w:rPr>
      </w:pPr>
    </w:p>
    <w:p w14:paraId="207A330F" w14:textId="5620D234" w:rsidR="00B330F2" w:rsidRPr="00A20BE9" w:rsidRDefault="00C26C4B" w:rsidP="00B330F2">
      <w:pPr>
        <w:ind w:left="360"/>
        <w:rPr>
          <w:rFonts w:ascii="Times" w:eastAsia="Calibri" w:hAnsi="Times"/>
          <w:i/>
          <w:color w:val="000000"/>
          <w:sz w:val="22"/>
          <w:szCs w:val="22"/>
          <w:lang w:eastAsia="en-US"/>
        </w:rPr>
      </w:pPr>
      <w:proofErr w:type="spellStart"/>
      <w:proofErr w:type="gramStart"/>
      <w:r w:rsidRPr="00A20BE9">
        <w:rPr>
          <w:i/>
        </w:rPr>
        <w:t>CellFie</w:t>
      </w:r>
      <w:proofErr w:type="spellEnd"/>
      <w:r w:rsidRPr="00A20BE9">
        <w:rPr>
          <w:i/>
        </w:rPr>
        <w:t xml:space="preserve"> :</w:t>
      </w:r>
      <w:proofErr w:type="gramEnd"/>
      <w:r w:rsidRPr="00A20BE9">
        <w:rPr>
          <w:i/>
        </w:rPr>
        <w:t xml:space="preserve"> Cellular Functions </w:t>
      </w:r>
      <w:proofErr w:type="spellStart"/>
      <w:r w:rsidRPr="00A20BE9">
        <w:rPr>
          <w:i/>
        </w:rPr>
        <w:t>InferencE</w:t>
      </w:r>
      <w:proofErr w:type="spellEnd"/>
      <w:r w:rsidR="00B330F2" w:rsidRPr="00A20BE9">
        <w:rPr>
          <w:i/>
        </w:rPr>
        <w:t xml:space="preserve"> </w:t>
      </w:r>
    </w:p>
    <w:p w14:paraId="045F905D" w14:textId="77777777" w:rsidR="00B330F2" w:rsidRPr="00A20BE9" w:rsidRDefault="00B330F2" w:rsidP="00B330F2">
      <w:pPr>
        <w:ind w:left="360"/>
        <w:rPr>
          <w:rFonts w:ascii="Times" w:hAnsi="Times"/>
          <w:i/>
          <w:color w:val="000000"/>
        </w:rPr>
      </w:pPr>
      <w:r w:rsidRPr="00A20BE9">
        <w:rPr>
          <w:rFonts w:ascii="Times" w:hAnsi="Times"/>
          <w:i/>
          <w:color w:val="000000"/>
        </w:rPr>
        <w:lastRenderedPageBreak/>
        <w:t xml:space="preserve">An alternative approach to capture the breadth of cellular functions by performing a functional analysis of existing biological networks. </w:t>
      </w:r>
    </w:p>
    <w:p w14:paraId="492A12BC" w14:textId="77777777" w:rsidR="00B330F2" w:rsidRPr="00A20BE9" w:rsidRDefault="00B330F2" w:rsidP="00B330F2">
      <w:pPr>
        <w:ind w:left="360"/>
        <w:rPr>
          <w:rFonts w:ascii="Times" w:hAnsi="Times"/>
          <w:i/>
          <w:color w:val="000000"/>
        </w:rPr>
      </w:pPr>
      <w:r w:rsidRPr="00A20BE9">
        <w:rPr>
          <w:rFonts w:ascii="Times" w:hAnsi="Times"/>
          <w:i/>
          <w:color w:val="000000"/>
        </w:rPr>
        <w:t xml:space="preserve">We curated hundreds of metabolic functions from literature and defined them </w:t>
      </w:r>
      <w:proofErr w:type="gramStart"/>
      <w:r w:rsidRPr="00A20BE9">
        <w:rPr>
          <w:rFonts w:ascii="Times" w:hAnsi="Times"/>
          <w:i/>
          <w:color w:val="000000"/>
        </w:rPr>
        <w:t>with regard to</w:t>
      </w:r>
      <w:proofErr w:type="gramEnd"/>
      <w:r w:rsidRPr="00A20BE9">
        <w:rPr>
          <w:rFonts w:ascii="Times" w:hAnsi="Times"/>
          <w:i/>
          <w:color w:val="000000"/>
        </w:rPr>
        <w:t xml:space="preserve"> their metabolic pathways usage in existing genome-scale models of mammalian metabolism. </w:t>
      </w:r>
    </w:p>
    <w:p w14:paraId="0950E6F7" w14:textId="0E832E73" w:rsidR="00B330F2" w:rsidRDefault="00B330F2" w:rsidP="00B330F2">
      <w:pPr>
        <w:ind w:left="360"/>
        <w:rPr>
          <w:rFonts w:ascii="Times" w:eastAsia="Times New Roman" w:hAnsi="Times"/>
          <w:i/>
        </w:rPr>
      </w:pPr>
      <w:r w:rsidRPr="00A20BE9">
        <w:rPr>
          <w:rFonts w:ascii="Times" w:hAnsi="Times"/>
          <w:i/>
          <w:color w:val="000000"/>
        </w:rPr>
        <w:t xml:space="preserve">This platform can be used to comprehensively quantify </w:t>
      </w:r>
      <w:r w:rsidRPr="00A20BE9">
        <w:rPr>
          <w:rFonts w:ascii="Times" w:eastAsia="Times New Roman" w:hAnsi="Times"/>
          <w:i/>
        </w:rPr>
        <w:t>the propensity of a cell line or tissue to be responsible for a metabolic function.</w:t>
      </w:r>
    </w:p>
    <w:p w14:paraId="5999AAA6" w14:textId="773476F8" w:rsidR="00324E6E" w:rsidRDefault="00324E6E" w:rsidP="00B330F2">
      <w:pPr>
        <w:ind w:left="360"/>
        <w:rPr>
          <w:rFonts w:ascii="Times" w:hAnsi="Times"/>
          <w:i/>
          <w:color w:val="000000"/>
        </w:rPr>
      </w:pPr>
    </w:p>
    <w:p w14:paraId="32C5120A" w14:textId="4D51CC8B" w:rsidR="00324E6E" w:rsidRPr="00324E6E" w:rsidRDefault="00324E6E" w:rsidP="00B330F2">
      <w:pPr>
        <w:ind w:left="360"/>
        <w:rPr>
          <w:rFonts w:ascii="Times" w:hAnsi="Times"/>
          <w:i/>
          <w:color w:val="000000"/>
        </w:rPr>
      </w:pPr>
      <w:r w:rsidRPr="00324E6E">
        <w:rPr>
          <w:rFonts w:eastAsia="Times New Roman"/>
          <w:i/>
        </w:rPr>
        <w:t xml:space="preserve">We welcome any comments, bug reports, and feature requests. Please send all feedback to </w:t>
      </w:r>
      <w:hyperlink r:id="rId5" w:history="1">
        <w:r w:rsidRPr="00324E6E">
          <w:rPr>
            <w:rStyle w:val="Hyperlink"/>
            <w:rFonts w:eastAsia="Times New Roman"/>
            <w:i/>
          </w:rPr>
          <w:t>arichelleres@gmail.com</w:t>
        </w:r>
      </w:hyperlink>
    </w:p>
    <w:p w14:paraId="31966BAD" w14:textId="77777777" w:rsidR="00C26C4B" w:rsidRDefault="00C26C4B" w:rsidP="00B330F2"/>
    <w:p w14:paraId="2A810AFB" w14:textId="54FAE37A" w:rsidR="000234BB" w:rsidRDefault="000234BB" w:rsidP="00B23CCF">
      <w:pPr>
        <w:pStyle w:val="ListParagraph"/>
        <w:numPr>
          <w:ilvl w:val="0"/>
          <w:numId w:val="13"/>
        </w:numPr>
        <w:rPr>
          <w:b/>
          <w:sz w:val="28"/>
          <w:szCs w:val="28"/>
        </w:rPr>
      </w:pPr>
      <w:r w:rsidRPr="000234BB">
        <w:rPr>
          <w:b/>
          <w:sz w:val="28"/>
          <w:szCs w:val="28"/>
        </w:rPr>
        <w:t>To add at the level of the “</w:t>
      </w:r>
      <w:r>
        <w:rPr>
          <w:b/>
          <w:sz w:val="28"/>
          <w:szCs w:val="28"/>
        </w:rPr>
        <w:t>results page</w:t>
      </w:r>
      <w:r w:rsidRPr="000234BB">
        <w:rPr>
          <w:b/>
          <w:sz w:val="28"/>
          <w:szCs w:val="28"/>
        </w:rPr>
        <w:t>”</w:t>
      </w:r>
      <w:r>
        <w:rPr>
          <w:b/>
          <w:sz w:val="28"/>
          <w:szCs w:val="28"/>
        </w:rPr>
        <w:t xml:space="preserve"> when a job is finished</w:t>
      </w:r>
    </w:p>
    <w:p w14:paraId="33EC2A2F" w14:textId="3DB00957" w:rsidR="00DD2B24" w:rsidRDefault="000234BB" w:rsidP="000234BB">
      <w:r w:rsidRPr="000234BB">
        <w:t>We need to provide explanation</w:t>
      </w:r>
      <w:r>
        <w:t>s</w:t>
      </w:r>
      <w:r w:rsidRPr="000234BB">
        <w:t xml:space="preserve"> on the outputs generated by </w:t>
      </w:r>
      <w:proofErr w:type="spellStart"/>
      <w:r w:rsidRPr="000234BB">
        <w:t>Cellfie</w:t>
      </w:r>
      <w:proofErr w:type="spellEnd"/>
      <w:r>
        <w:t>.</w:t>
      </w:r>
      <w:r w:rsidR="00DD2B24">
        <w:t xml:space="preserve"> The gene pattern tool provides 5 outputs. Add the following description:</w:t>
      </w:r>
    </w:p>
    <w:p w14:paraId="72D9FFE8" w14:textId="024B7A4B" w:rsidR="00DD2B24" w:rsidRDefault="00DD2B24" w:rsidP="000234BB"/>
    <w:p w14:paraId="0C293CB8" w14:textId="71B4470B" w:rsidR="00DD2B24" w:rsidRDefault="00DD2B24" w:rsidP="000234BB">
      <w:proofErr w:type="gramStart"/>
      <w:r>
        <w:t>Stdout.txt  -</w:t>
      </w:r>
      <w:proofErr w:type="gramEnd"/>
      <w:r>
        <w:t xml:space="preserve"> Text file containing the log information of the job submitted </w:t>
      </w:r>
    </w:p>
    <w:p w14:paraId="6D0DCD23" w14:textId="4E9994D7" w:rsidR="00DD2B24" w:rsidRDefault="00DD2B24" w:rsidP="000234BB">
      <w:r>
        <w:t>taskInfo.csv - File containing the descriptive information about the 195 tasks assessed</w:t>
      </w:r>
    </w:p>
    <w:p w14:paraId="02866058" w14:textId="13EDB440" w:rsidR="00DD2B24" w:rsidRDefault="00DD2B24" w:rsidP="000234BB">
      <w:r>
        <w:t>score.csv - File containing the matrix of relative quantifications of the activity of the 195 metabolic tasks (rows) for each sample (columns) of the input data set</w:t>
      </w:r>
      <w:r w:rsidR="00347CC3">
        <w:t>. Note that if the results present metabolic tasks associated with a negative score</w:t>
      </w:r>
      <w:r w:rsidR="00E84A77">
        <w:t>s</w:t>
      </w:r>
      <w:r w:rsidR="00347CC3">
        <w:t>, it means that they cannot be calculated either due to the lack of gene expression data or due to the lack of gene information in the reference model used</w:t>
      </w:r>
      <w:r w:rsidR="00E84A77">
        <w:t xml:space="preserve"> (see </w:t>
      </w:r>
      <w:hyperlink r:id="rId6" w:history="1">
        <w:r w:rsidR="00E84A77">
          <w:rPr>
            <w:rStyle w:val="Hyperlink"/>
          </w:rPr>
          <w:t>https://doi.org/10.1371/journal.pcbi.1006867.s006</w:t>
        </w:r>
      </w:hyperlink>
      <w:r w:rsidR="00E84A77">
        <w:t xml:space="preserve"> for the list of supported metabolic task for each reference model).</w:t>
      </w:r>
    </w:p>
    <w:p w14:paraId="1BEC452B" w14:textId="0B10B66F" w:rsidR="00DD2B24" w:rsidRDefault="00DD2B24" w:rsidP="000234BB">
      <w:r>
        <w:t>score_binary.csv – File containing the binary version of the metabolic</w:t>
      </w:r>
      <w:bookmarkStart w:id="0" w:name="_GoBack"/>
      <w:bookmarkEnd w:id="0"/>
      <w:r>
        <w:t xml:space="preserve"> task score matrix.</w:t>
      </w:r>
    </w:p>
    <w:p w14:paraId="249F3A08" w14:textId="26DD2AE4" w:rsidR="00DD2B24" w:rsidRDefault="00DD2B24" w:rsidP="000234BB">
      <w:proofErr w:type="spellStart"/>
      <w:proofErr w:type="gramStart"/>
      <w:r>
        <w:t>Cellfieout.mat</w:t>
      </w:r>
      <w:proofErr w:type="spellEnd"/>
      <w:r>
        <w:t xml:space="preserve">  -</w:t>
      </w:r>
      <w:proofErr w:type="gramEnd"/>
      <w:r>
        <w:t xml:space="preserve"> </w:t>
      </w:r>
      <w:proofErr w:type="spellStart"/>
      <w:r>
        <w:t>Matlab</w:t>
      </w:r>
      <w:proofErr w:type="spellEnd"/>
      <w:r>
        <w:t xml:space="preserve"> files containing the information related to the tasks (i.e., </w:t>
      </w:r>
      <w:proofErr w:type="spellStart"/>
      <w:r>
        <w:t>taskInfos</w:t>
      </w:r>
      <w:proofErr w:type="spellEnd"/>
      <w:r>
        <w:t xml:space="preserve">), and the two score matrices (score and </w:t>
      </w:r>
      <w:proofErr w:type="spellStart"/>
      <w:r>
        <w:t>score_binary</w:t>
      </w:r>
      <w:proofErr w:type="spellEnd"/>
      <w:r>
        <w:t>).</w:t>
      </w:r>
    </w:p>
    <w:p w14:paraId="16A66040" w14:textId="0DC32DDF" w:rsidR="00CE047B" w:rsidRDefault="00CE047B" w:rsidP="00CE047B"/>
    <w:p w14:paraId="13C36A9A" w14:textId="77777777" w:rsidR="00DD2B24" w:rsidRDefault="00DD2B24" w:rsidP="00CE047B"/>
    <w:p w14:paraId="65D6EA4A" w14:textId="6D51FC12" w:rsidR="001A5927" w:rsidRPr="000234BB" w:rsidRDefault="00541CAE" w:rsidP="00B23CCF">
      <w:pPr>
        <w:pStyle w:val="ListParagraph"/>
        <w:numPr>
          <w:ilvl w:val="0"/>
          <w:numId w:val="13"/>
        </w:numPr>
        <w:rPr>
          <w:b/>
          <w:sz w:val="28"/>
          <w:szCs w:val="28"/>
        </w:rPr>
      </w:pPr>
      <w:r w:rsidRPr="000234BB">
        <w:rPr>
          <w:b/>
          <w:sz w:val="28"/>
          <w:szCs w:val="28"/>
        </w:rPr>
        <w:t>Add a d</w:t>
      </w:r>
      <w:r w:rsidR="00CE047B" w:rsidRPr="000234BB">
        <w:rPr>
          <w:b/>
          <w:sz w:val="28"/>
          <w:szCs w:val="28"/>
        </w:rPr>
        <w:t>ocumentation page</w:t>
      </w:r>
      <w:r w:rsidRPr="000234BB">
        <w:rPr>
          <w:b/>
          <w:sz w:val="28"/>
          <w:szCs w:val="28"/>
        </w:rPr>
        <w:t xml:space="preserve"> link</w:t>
      </w:r>
      <w:r w:rsidR="00324E6E" w:rsidRPr="000234BB">
        <w:rPr>
          <w:b/>
          <w:sz w:val="28"/>
          <w:szCs w:val="28"/>
        </w:rPr>
        <w:t xml:space="preserve"> (see text below)</w:t>
      </w:r>
      <w:r w:rsidR="000234BB" w:rsidRPr="000234BB">
        <w:rPr>
          <w:b/>
          <w:sz w:val="28"/>
          <w:szCs w:val="28"/>
        </w:rPr>
        <w:t xml:space="preserve"> at the level of the </w:t>
      </w:r>
      <w:proofErr w:type="spellStart"/>
      <w:r w:rsidR="000234BB" w:rsidRPr="000234BB">
        <w:rPr>
          <w:b/>
          <w:sz w:val="28"/>
          <w:szCs w:val="28"/>
        </w:rPr>
        <w:t>homePage</w:t>
      </w:r>
      <w:proofErr w:type="spellEnd"/>
    </w:p>
    <w:p w14:paraId="747C6F84" w14:textId="77777777" w:rsidR="00541CAE" w:rsidRDefault="00541CAE" w:rsidP="001A5927">
      <w:pPr>
        <w:pStyle w:val="NormalWeb"/>
        <w:spacing w:before="0" w:beforeAutospacing="0" w:after="0" w:afterAutospacing="0"/>
        <w:ind w:left="360"/>
        <w:jc w:val="both"/>
        <w:rPr>
          <w:b/>
          <w:bCs/>
          <w:color w:val="000000"/>
          <w:sz w:val="26"/>
          <w:szCs w:val="26"/>
          <w:lang w:val="en-US"/>
        </w:rPr>
      </w:pPr>
    </w:p>
    <w:p w14:paraId="1FDF1AB9" w14:textId="1EDF3838" w:rsidR="00923C51" w:rsidRPr="003E2177" w:rsidRDefault="004012C1" w:rsidP="00B23CCF">
      <w:pPr>
        <w:pStyle w:val="NormalWeb"/>
        <w:spacing w:before="0" w:beforeAutospacing="0" w:after="0" w:afterAutospacing="0"/>
        <w:ind w:left="720"/>
        <w:jc w:val="both"/>
        <w:rPr>
          <w:lang w:val="en-US"/>
        </w:rPr>
      </w:pPr>
      <w:r>
        <w:rPr>
          <w:b/>
          <w:bCs/>
          <w:color w:val="000000"/>
          <w:sz w:val="26"/>
          <w:szCs w:val="26"/>
          <w:lang w:val="en-US"/>
        </w:rPr>
        <w:t>C</w:t>
      </w:r>
      <w:r w:rsidR="00923C51">
        <w:rPr>
          <w:b/>
          <w:bCs/>
          <w:color w:val="000000"/>
          <w:sz w:val="26"/>
          <w:szCs w:val="26"/>
          <w:lang w:val="en-US"/>
        </w:rPr>
        <w:t>omputation framework of the m</w:t>
      </w:r>
      <w:r w:rsidR="00923C51" w:rsidRPr="003E2177">
        <w:rPr>
          <w:b/>
          <w:bCs/>
          <w:color w:val="000000"/>
          <w:sz w:val="26"/>
          <w:szCs w:val="26"/>
          <w:lang w:val="en-US"/>
        </w:rPr>
        <w:t>etabolic task</w:t>
      </w:r>
      <w:r w:rsidR="00923C51">
        <w:rPr>
          <w:b/>
          <w:bCs/>
          <w:color w:val="000000"/>
          <w:sz w:val="26"/>
          <w:szCs w:val="26"/>
          <w:lang w:val="en-US"/>
        </w:rPr>
        <w:t>s</w:t>
      </w:r>
    </w:p>
    <w:p w14:paraId="5FFA765D" w14:textId="146A15A8" w:rsidR="00923C51" w:rsidRPr="00A20BE9" w:rsidRDefault="00923C51" w:rsidP="00B23CCF">
      <w:pPr>
        <w:widowControl w:val="0"/>
        <w:autoSpaceDE w:val="0"/>
        <w:autoSpaceDN w:val="0"/>
        <w:adjustRightInd w:val="0"/>
        <w:ind w:left="360"/>
        <w:jc w:val="both"/>
        <w:rPr>
          <w:rFonts w:ascii="Times" w:eastAsia="Times New Roman" w:hAnsi="Times"/>
        </w:rPr>
      </w:pPr>
      <w:r w:rsidRPr="007579AD">
        <w:rPr>
          <w:color w:val="000000"/>
        </w:rPr>
        <w:t xml:space="preserve">We define a metabolic task as the capacity of producing a defined list of output products when only a defined list of input substrates is available. </w:t>
      </w:r>
      <w:r w:rsidR="007579AD" w:rsidRPr="007579AD">
        <w:rPr>
          <w:color w:val="000000"/>
        </w:rPr>
        <w:t>For each available reference genome-scale model, we computed the list of task</w:t>
      </w:r>
      <w:r w:rsidR="00324E6E">
        <w:rPr>
          <w:color w:val="000000"/>
        </w:rPr>
        <w:t>s</w:t>
      </w:r>
      <w:r w:rsidR="007579AD" w:rsidRPr="007579AD">
        <w:rPr>
          <w:color w:val="000000"/>
        </w:rPr>
        <w:t xml:space="preserve"> the model successfully passed (i.e. list of functions the model </w:t>
      </w:r>
      <w:proofErr w:type="gramStart"/>
      <w:r w:rsidR="007579AD" w:rsidRPr="007579AD">
        <w:rPr>
          <w:color w:val="000000"/>
        </w:rPr>
        <w:t>is able to</w:t>
      </w:r>
      <w:proofErr w:type="gramEnd"/>
      <w:r w:rsidR="007579AD" w:rsidRPr="007579AD">
        <w:rPr>
          <w:color w:val="000000"/>
        </w:rPr>
        <w:t xml:space="preserve"> describe). </w:t>
      </w:r>
      <w:r w:rsidR="007579AD">
        <w:rPr>
          <w:rFonts w:ascii="Times" w:eastAsia="Times New Roman" w:hAnsi="Times"/>
        </w:rPr>
        <w:t>I</w:t>
      </w:r>
      <w:r w:rsidR="007579AD" w:rsidRPr="007579AD">
        <w:rPr>
          <w:rFonts w:ascii="Times" w:eastAsia="Times New Roman" w:hAnsi="Times"/>
        </w:rPr>
        <w:t xml:space="preserve">f a task successfully passes in a model, </w:t>
      </w:r>
      <w:r w:rsidR="007579AD">
        <w:rPr>
          <w:rFonts w:ascii="Times" w:eastAsia="Times New Roman" w:hAnsi="Times"/>
        </w:rPr>
        <w:t>we</w:t>
      </w:r>
      <w:r w:rsidR="007579AD" w:rsidRPr="007579AD">
        <w:rPr>
          <w:rFonts w:ascii="Times" w:eastAsia="Times New Roman" w:hAnsi="Times"/>
        </w:rPr>
        <w:t xml:space="preserve"> </w:t>
      </w:r>
      <w:r w:rsidR="007579AD">
        <w:rPr>
          <w:rFonts w:ascii="Times" w:eastAsia="Times New Roman" w:hAnsi="Times"/>
        </w:rPr>
        <w:t>determined the set</w:t>
      </w:r>
      <w:r w:rsidR="007579AD" w:rsidRPr="007579AD">
        <w:rPr>
          <w:rFonts w:ascii="Times" w:eastAsia="Times New Roman" w:hAnsi="Times"/>
        </w:rPr>
        <w:t xml:space="preserve"> of reactions associated to this task</w:t>
      </w:r>
      <w:r w:rsidR="00643145">
        <w:rPr>
          <w:rFonts w:ascii="Times" w:eastAsia="Times New Roman" w:hAnsi="Times"/>
        </w:rPr>
        <w:t xml:space="preserve">. Therefore, based on the GPR rules, we can enumerate </w:t>
      </w:r>
      <w:r w:rsidR="007579AD" w:rsidRPr="007579AD">
        <w:rPr>
          <w:rFonts w:ascii="Times" w:eastAsia="Times New Roman" w:hAnsi="Times"/>
        </w:rPr>
        <w:t xml:space="preserve">the </w:t>
      </w:r>
      <w:r w:rsidR="007579AD" w:rsidRPr="00A20BE9">
        <w:rPr>
          <w:rFonts w:ascii="Times" w:eastAsia="Times New Roman" w:hAnsi="Times"/>
        </w:rPr>
        <w:t>gene</w:t>
      </w:r>
      <w:r w:rsidR="00643145" w:rsidRPr="00A20BE9">
        <w:rPr>
          <w:rFonts w:ascii="Times" w:eastAsia="Times New Roman" w:hAnsi="Times"/>
        </w:rPr>
        <w:t>s</w:t>
      </w:r>
      <w:r w:rsidR="007579AD" w:rsidRPr="00A20BE9">
        <w:rPr>
          <w:rFonts w:ascii="Times" w:eastAsia="Times New Roman" w:hAnsi="Times"/>
        </w:rPr>
        <w:t xml:space="preserve"> that may contribute to the acquisition of this metabolic function</w:t>
      </w:r>
      <w:r w:rsidR="00643145" w:rsidRPr="00A20BE9">
        <w:rPr>
          <w:rFonts w:ascii="Times" w:eastAsia="Times New Roman" w:hAnsi="Times"/>
        </w:rPr>
        <w:t>.</w:t>
      </w:r>
    </w:p>
    <w:p w14:paraId="4ADAE2B5" w14:textId="77777777" w:rsidR="00643145" w:rsidRPr="00A20BE9" w:rsidRDefault="00643145" w:rsidP="00B23CCF">
      <w:pPr>
        <w:widowControl w:val="0"/>
        <w:autoSpaceDE w:val="0"/>
        <w:autoSpaceDN w:val="0"/>
        <w:adjustRightInd w:val="0"/>
        <w:ind w:left="360"/>
        <w:jc w:val="both"/>
        <w:rPr>
          <w:rFonts w:ascii="Times" w:eastAsia="Times New Roman" w:hAnsi="Times"/>
        </w:rPr>
      </w:pPr>
    </w:p>
    <w:p w14:paraId="78ACC619" w14:textId="7D11D233" w:rsidR="00A20BE9" w:rsidRDefault="00643145" w:rsidP="00B23CCF">
      <w:pPr>
        <w:pStyle w:val="NoSpacing"/>
        <w:ind w:left="360"/>
        <w:jc w:val="both"/>
        <w:outlineLvl w:val="0"/>
        <w:rPr>
          <w:rFonts w:ascii="Times" w:eastAsia="Times New Roman" w:hAnsi="Times"/>
          <w:sz w:val="24"/>
          <w:szCs w:val="24"/>
          <w:lang w:val="en-US"/>
        </w:rPr>
      </w:pPr>
      <w:r w:rsidRPr="00A20BE9">
        <w:rPr>
          <w:rFonts w:ascii="Times" w:eastAsia="Times New Roman" w:hAnsi="Times"/>
          <w:sz w:val="24"/>
          <w:szCs w:val="24"/>
          <w:lang w:val="en-US"/>
        </w:rPr>
        <w:t>W</w:t>
      </w:r>
      <w:r w:rsidR="00923C51" w:rsidRPr="00A20BE9">
        <w:rPr>
          <w:rFonts w:ascii="Times" w:eastAsia="Times New Roman" w:hAnsi="Times"/>
          <w:sz w:val="24"/>
          <w:szCs w:val="24"/>
          <w:lang w:val="en-US"/>
        </w:rPr>
        <w:t xml:space="preserve">e developed a computation framework for attributing a score to each metabolic task </w:t>
      </w:r>
      <w:r w:rsidRPr="00A20BE9">
        <w:rPr>
          <w:rFonts w:ascii="Times" w:eastAsia="Times New Roman" w:hAnsi="Times"/>
          <w:sz w:val="24"/>
          <w:szCs w:val="24"/>
          <w:lang w:val="en-US"/>
        </w:rPr>
        <w:t>based on the availability of transcriptomic data.</w:t>
      </w:r>
      <w:r w:rsidR="00923C51" w:rsidRPr="00A20BE9">
        <w:rPr>
          <w:rFonts w:ascii="Times" w:eastAsia="Times New Roman" w:hAnsi="Times"/>
          <w:sz w:val="24"/>
          <w:szCs w:val="24"/>
          <w:lang w:val="en-US"/>
        </w:rPr>
        <w:t xml:space="preserve"> </w:t>
      </w:r>
      <w:r w:rsidR="00A20BE9">
        <w:rPr>
          <w:rFonts w:ascii="Times" w:eastAsia="Times New Roman" w:hAnsi="Times"/>
          <w:sz w:val="24"/>
          <w:szCs w:val="24"/>
          <w:lang w:val="en-US"/>
        </w:rPr>
        <w:t xml:space="preserve">To this end, we first attribute </w:t>
      </w:r>
      <w:r w:rsidR="00A20BE9" w:rsidRPr="00A20BE9">
        <w:rPr>
          <w:rFonts w:ascii="Times" w:eastAsia="Times New Roman" w:hAnsi="Times"/>
          <w:sz w:val="24"/>
          <w:szCs w:val="24"/>
          <w:lang w:val="en-US"/>
        </w:rPr>
        <w:t>a gene activity level (GAL) for each gene</w:t>
      </w:r>
      <w:r w:rsidR="00A20BE9">
        <w:rPr>
          <w:rFonts w:ascii="Times" w:eastAsia="Times New Roman" w:hAnsi="Times"/>
          <w:sz w:val="24"/>
          <w:szCs w:val="24"/>
          <w:lang w:val="en-US"/>
        </w:rPr>
        <w:t xml:space="preserve"> present in the model and for which expression data have been provided. </w:t>
      </w:r>
    </w:p>
    <w:p w14:paraId="68EAF2E9" w14:textId="77777777" w:rsidR="00A20BE9" w:rsidRPr="00A20BE9" w:rsidRDefault="00A20BE9" w:rsidP="00B23CCF">
      <w:pPr>
        <w:pStyle w:val="NoSpacing"/>
        <w:ind w:left="1080" w:firstLine="696"/>
        <w:outlineLvl w:val="0"/>
        <w:rPr>
          <w:rFonts w:ascii="Times" w:eastAsia="Times New Roman" w:hAnsi="Times"/>
          <w:sz w:val="24"/>
          <w:szCs w:val="24"/>
          <w:lang w:val="en-US"/>
        </w:rPr>
      </w:pPr>
      <w:r w:rsidRPr="00A20BE9">
        <w:rPr>
          <w:rFonts w:ascii="Times" w:eastAsia="Times New Roman" w:hAnsi="Times"/>
          <w:sz w:val="24"/>
          <w:szCs w:val="24"/>
          <w:lang w:val="en-US"/>
        </w:rPr>
        <w:t>GAL=5*</w:t>
      </w:r>
      <w:proofErr w:type="gramStart"/>
      <w:r w:rsidRPr="00A20BE9">
        <w:rPr>
          <w:rFonts w:ascii="Times" w:eastAsia="Times New Roman" w:hAnsi="Times"/>
          <w:sz w:val="24"/>
          <w:szCs w:val="24"/>
          <w:lang w:val="en-US"/>
        </w:rPr>
        <w:t>log(</w:t>
      </w:r>
      <w:proofErr w:type="gramEnd"/>
      <w:r w:rsidRPr="00A20BE9">
        <w:rPr>
          <w:rFonts w:ascii="Times" w:eastAsia="Times New Roman" w:hAnsi="Times"/>
          <w:sz w:val="24"/>
          <w:szCs w:val="24"/>
          <w:lang w:val="en-US"/>
        </w:rPr>
        <w:t>1+ gene expression value / threshold)</w:t>
      </w:r>
    </w:p>
    <w:p w14:paraId="72FDEB0B" w14:textId="6CF5D095" w:rsidR="00A20BE9" w:rsidRDefault="00A20BE9" w:rsidP="00B23CCF">
      <w:pPr>
        <w:pStyle w:val="NoSpacing"/>
        <w:ind w:left="360"/>
        <w:jc w:val="both"/>
        <w:outlineLvl w:val="0"/>
        <w:rPr>
          <w:rFonts w:ascii="Times" w:eastAsia="Times New Roman" w:hAnsi="Times"/>
          <w:sz w:val="24"/>
          <w:szCs w:val="24"/>
          <w:lang w:val="en-US"/>
        </w:rPr>
      </w:pPr>
      <w:r>
        <w:rPr>
          <w:rFonts w:ascii="Times" w:eastAsia="Times New Roman" w:hAnsi="Times"/>
          <w:sz w:val="24"/>
          <w:szCs w:val="24"/>
          <w:lang w:val="en-US"/>
        </w:rPr>
        <w:t xml:space="preserve">We propose multiple options to define the threshold (see section </w:t>
      </w:r>
      <w:r w:rsidRPr="00A20BE9">
        <w:rPr>
          <w:rFonts w:ascii="Times" w:eastAsia="Times New Roman" w:hAnsi="Times"/>
          <w:i/>
          <w:sz w:val="24"/>
          <w:szCs w:val="24"/>
          <w:lang w:val="en-US"/>
        </w:rPr>
        <w:t>Threshold Definition</w:t>
      </w:r>
      <w:r>
        <w:rPr>
          <w:rFonts w:ascii="Times" w:eastAsia="Times New Roman" w:hAnsi="Times"/>
          <w:sz w:val="24"/>
          <w:szCs w:val="24"/>
          <w:lang w:val="en-US"/>
        </w:rPr>
        <w:t xml:space="preserve"> for more details).</w:t>
      </w:r>
    </w:p>
    <w:p w14:paraId="501B64A9" w14:textId="77777777" w:rsidR="00A20BE9" w:rsidRDefault="00A20BE9" w:rsidP="00B23CCF">
      <w:pPr>
        <w:pStyle w:val="NoSpacing"/>
        <w:ind w:left="360"/>
        <w:jc w:val="both"/>
        <w:outlineLvl w:val="0"/>
        <w:rPr>
          <w:rFonts w:ascii="Times" w:eastAsia="Times New Roman" w:hAnsi="Times"/>
          <w:sz w:val="24"/>
          <w:szCs w:val="24"/>
          <w:lang w:val="en-US"/>
        </w:rPr>
      </w:pPr>
    </w:p>
    <w:p w14:paraId="60A0C24F" w14:textId="77777777" w:rsidR="00A20BE9" w:rsidRDefault="00923C51" w:rsidP="00B23CCF">
      <w:pPr>
        <w:pStyle w:val="NoSpacing"/>
        <w:ind w:left="360"/>
        <w:jc w:val="both"/>
        <w:outlineLvl w:val="0"/>
        <w:rPr>
          <w:rFonts w:ascii="Times" w:eastAsia="Times New Roman" w:hAnsi="Times"/>
          <w:sz w:val="24"/>
          <w:szCs w:val="24"/>
          <w:lang w:val="en-US"/>
        </w:rPr>
      </w:pPr>
      <w:r w:rsidRPr="00A20BE9">
        <w:rPr>
          <w:rFonts w:ascii="Times" w:eastAsia="Times New Roman" w:hAnsi="Times"/>
          <w:sz w:val="24"/>
          <w:szCs w:val="24"/>
          <w:lang w:val="en-US"/>
        </w:rPr>
        <w:t xml:space="preserve">We further used the GPR rule associated to each reaction required for a task to decide which gene will be the main determinant of the enzyme abundance associated to this </w:t>
      </w:r>
      <w:r w:rsidRPr="00A20BE9">
        <w:rPr>
          <w:rFonts w:ascii="Times" w:eastAsia="Times New Roman" w:hAnsi="Times"/>
          <w:sz w:val="24"/>
          <w:szCs w:val="24"/>
          <w:lang w:val="en-US"/>
        </w:rPr>
        <w:lastRenderedPageBreak/>
        <w:t>reaction and attribute the corresponding gene activity level. Therefore, each reaction involved in a task is associated to a reaction activity level (RAL) that corresponds to the preprocessed gene expression value of the gene selected as the main determinant for this reaction</w:t>
      </w:r>
      <w:r w:rsidR="00A20BE9">
        <w:rPr>
          <w:rFonts w:ascii="Times" w:eastAsia="Times New Roman" w:hAnsi="Times"/>
          <w:sz w:val="24"/>
          <w:szCs w:val="24"/>
          <w:lang w:val="en-US"/>
        </w:rPr>
        <w:t>.</w:t>
      </w:r>
    </w:p>
    <w:p w14:paraId="687DC3DF" w14:textId="77777777" w:rsidR="00A20BE9" w:rsidRDefault="00A20BE9" w:rsidP="00B23CCF">
      <w:pPr>
        <w:pStyle w:val="NoSpacing"/>
        <w:ind w:left="360"/>
        <w:jc w:val="both"/>
        <w:outlineLvl w:val="0"/>
        <w:rPr>
          <w:rFonts w:ascii="Times" w:eastAsia="Times New Roman" w:hAnsi="Times"/>
          <w:sz w:val="24"/>
          <w:szCs w:val="24"/>
          <w:lang w:val="en-US"/>
        </w:rPr>
      </w:pPr>
    </w:p>
    <w:p w14:paraId="3BD036FA" w14:textId="77777777" w:rsidR="00A20BE9" w:rsidRDefault="00923C51" w:rsidP="00B23CCF">
      <w:pPr>
        <w:pStyle w:val="NoSpacing"/>
        <w:ind w:left="360"/>
        <w:jc w:val="both"/>
        <w:outlineLvl w:val="0"/>
        <w:rPr>
          <w:rFonts w:ascii="Times" w:eastAsia="Times New Roman" w:hAnsi="Times"/>
          <w:sz w:val="24"/>
          <w:szCs w:val="24"/>
          <w:lang w:val="en-US"/>
        </w:rPr>
      </w:pPr>
      <w:r w:rsidRPr="00A20BE9">
        <w:rPr>
          <w:rFonts w:ascii="Times" w:eastAsia="Times New Roman" w:hAnsi="Times"/>
          <w:sz w:val="24"/>
          <w:szCs w:val="24"/>
          <w:lang w:val="en-US"/>
        </w:rPr>
        <w:t xml:space="preserve">We also computed the significance of each gene selected with regard of its overall use in the observed condition. </w:t>
      </w:r>
      <w:proofErr w:type="gramStart"/>
      <w:r w:rsidRPr="00A20BE9">
        <w:rPr>
          <w:rFonts w:ascii="Times" w:eastAsia="Times New Roman" w:hAnsi="Times"/>
          <w:sz w:val="24"/>
          <w:szCs w:val="24"/>
          <w:lang w:val="en-US"/>
        </w:rPr>
        <w:t>Actually, some</w:t>
      </w:r>
      <w:proofErr w:type="gramEnd"/>
      <w:r w:rsidRPr="00A20BE9">
        <w:rPr>
          <w:rFonts w:ascii="Times" w:eastAsia="Times New Roman" w:hAnsi="Times"/>
          <w:sz w:val="24"/>
          <w:szCs w:val="24"/>
          <w:lang w:val="en-US"/>
        </w:rPr>
        <w:t xml:space="preserve"> genes will be mapped to multiples reactions (e.g. promiscuous enzyme). Therefore, we assume that it may exist some competition between the reactions using this gene.  We define the significance of a gene (S) by its specificity for a reaction by the inverse of the number reactions in which this gene is used as main determinant. </w:t>
      </w:r>
    </w:p>
    <w:p w14:paraId="6A021975" w14:textId="77777777" w:rsidR="00A20BE9" w:rsidRDefault="00A20BE9" w:rsidP="00B23CCF">
      <w:pPr>
        <w:pStyle w:val="NoSpacing"/>
        <w:ind w:left="360"/>
        <w:jc w:val="both"/>
        <w:outlineLvl w:val="0"/>
        <w:rPr>
          <w:rFonts w:ascii="Times" w:eastAsia="Times New Roman" w:hAnsi="Times"/>
          <w:sz w:val="24"/>
          <w:szCs w:val="24"/>
          <w:lang w:val="en-US"/>
        </w:rPr>
      </w:pPr>
    </w:p>
    <w:p w14:paraId="6631E226" w14:textId="3DD9DD0D" w:rsidR="00923C51" w:rsidRPr="00A20BE9" w:rsidRDefault="00923C51" w:rsidP="00B23CCF">
      <w:pPr>
        <w:pStyle w:val="NoSpacing"/>
        <w:ind w:left="360"/>
        <w:jc w:val="both"/>
        <w:outlineLvl w:val="0"/>
        <w:rPr>
          <w:rFonts w:ascii="Times" w:eastAsia="Times New Roman" w:hAnsi="Times"/>
          <w:sz w:val="24"/>
          <w:szCs w:val="24"/>
          <w:lang w:val="en-US"/>
        </w:rPr>
      </w:pPr>
      <w:r w:rsidRPr="00A20BE9">
        <w:rPr>
          <w:rFonts w:ascii="Times" w:eastAsia="Times New Roman" w:hAnsi="Times"/>
          <w:sz w:val="24"/>
          <w:szCs w:val="24"/>
          <w:lang w:val="en-US"/>
        </w:rPr>
        <w:t>Finally, the metabolic score can be compute as the mean of the product of the activity level of each reaction with the significance of its associated gene:</w:t>
      </w:r>
    </w:p>
    <w:p w14:paraId="22BDAD37" w14:textId="77777777" w:rsidR="00923C51" w:rsidRDefault="00923C51" w:rsidP="00B23CCF">
      <w:pPr>
        <w:pStyle w:val="NoSpacing"/>
        <w:ind w:left="1080"/>
        <w:outlineLvl w:val="0"/>
        <w:rPr>
          <w:rFonts w:ascii="Times" w:eastAsia="Times New Roman" w:hAnsi="Times"/>
          <w:sz w:val="24"/>
          <w:szCs w:val="24"/>
          <w:lang w:val="en-US"/>
        </w:rPr>
      </w:pPr>
      <w:r w:rsidRPr="00A20BE9">
        <w:rPr>
          <w:rFonts w:ascii="Times" w:eastAsia="Times New Roman" w:hAnsi="Times"/>
          <w:sz w:val="24"/>
          <w:szCs w:val="24"/>
          <w:lang w:val="en-US"/>
        </w:rPr>
        <w:t>MT score= sum(RAL*S)/number of reactions involved in the task</w:t>
      </w:r>
    </w:p>
    <w:p w14:paraId="6D978042" w14:textId="77777777" w:rsidR="00A20BE9" w:rsidRPr="00A20BE9" w:rsidRDefault="00A20BE9" w:rsidP="00B23CCF">
      <w:pPr>
        <w:pStyle w:val="NoSpacing"/>
        <w:ind w:left="1080"/>
        <w:outlineLvl w:val="0"/>
        <w:rPr>
          <w:rFonts w:ascii="Times" w:eastAsia="Times New Roman" w:hAnsi="Times"/>
          <w:sz w:val="24"/>
          <w:szCs w:val="24"/>
          <w:lang w:val="en-US"/>
        </w:rPr>
      </w:pPr>
    </w:p>
    <w:p w14:paraId="61AACF8D" w14:textId="77777777" w:rsidR="00923C51" w:rsidRDefault="00923C51" w:rsidP="00B23CCF">
      <w:pPr>
        <w:pStyle w:val="NoSpacing"/>
        <w:ind w:left="360"/>
        <w:jc w:val="both"/>
        <w:outlineLvl w:val="0"/>
        <w:rPr>
          <w:rFonts w:ascii="Times" w:eastAsia="Times New Roman" w:hAnsi="Times"/>
          <w:sz w:val="24"/>
          <w:szCs w:val="24"/>
          <w:lang w:val="en-US"/>
        </w:rPr>
      </w:pPr>
      <w:r w:rsidRPr="00A20BE9">
        <w:rPr>
          <w:rFonts w:ascii="Times" w:eastAsia="Times New Roman" w:hAnsi="Times"/>
          <w:sz w:val="24"/>
          <w:szCs w:val="24"/>
          <w:lang w:val="en-US"/>
        </w:rPr>
        <w:t xml:space="preserve">MT score provides a relative quantification of the activity of a metabolic task in a specific condition based on the availability of data for multiple conditions. Indeed, it has been shown that some important housekeeping genes always present very low expression value. Therefore, a metabolic function that will completely rely on this set of gene will </w:t>
      </w:r>
      <w:proofErr w:type="gramStart"/>
      <w:r w:rsidRPr="00A20BE9">
        <w:rPr>
          <w:rFonts w:ascii="Times" w:eastAsia="Times New Roman" w:hAnsi="Times"/>
          <w:sz w:val="24"/>
          <w:szCs w:val="24"/>
          <w:lang w:val="en-US"/>
        </w:rPr>
        <w:t>actually always</w:t>
      </w:r>
      <w:proofErr w:type="gramEnd"/>
      <w:r w:rsidRPr="00A20BE9">
        <w:rPr>
          <w:rFonts w:ascii="Times" w:eastAsia="Times New Roman" w:hAnsi="Times"/>
          <w:sz w:val="24"/>
          <w:szCs w:val="24"/>
          <w:lang w:val="en-US"/>
        </w:rPr>
        <w:t xml:space="preserve"> present very low MT score. Contrarily, some tasks can be associated with gene presenting very high expression levels. Therefore, MT scores cannot be compared across tasks but only across samples. To partly overcome this problem, we also propose this scoring approach in its binary version to determine whether a metabolic task is active or not based on a gene expression profile. To this end, the MT score no longer </w:t>
      </w:r>
      <w:proofErr w:type="gramStart"/>
      <w:r w:rsidRPr="00A20BE9">
        <w:rPr>
          <w:rFonts w:ascii="Times" w:eastAsia="Times New Roman" w:hAnsi="Times"/>
          <w:sz w:val="24"/>
          <w:szCs w:val="24"/>
          <w:lang w:val="en-US"/>
        </w:rPr>
        <w:t>take into account</w:t>
      </w:r>
      <w:proofErr w:type="gramEnd"/>
      <w:r w:rsidRPr="00A20BE9">
        <w:rPr>
          <w:rFonts w:ascii="Times" w:eastAsia="Times New Roman" w:hAnsi="Times"/>
          <w:sz w:val="24"/>
          <w:szCs w:val="24"/>
          <w:lang w:val="en-US"/>
        </w:rPr>
        <w:t xml:space="preserve"> the significance of gene determinant for each reaction but is just computed as the mean of the reaction activity levels. Doing so, a metabolic task will be considered as active if its MT score in its binary version has a value superior to 5</w:t>
      </w:r>
      <w:proofErr w:type="gramStart"/>
      <w:r w:rsidRPr="00A20BE9">
        <w:rPr>
          <w:rFonts w:ascii="Times" w:eastAsia="Times New Roman" w:hAnsi="Times"/>
          <w:sz w:val="24"/>
          <w:szCs w:val="24"/>
          <w:lang w:val="en-US"/>
        </w:rPr>
        <w:t>log(</w:t>
      </w:r>
      <w:proofErr w:type="gramEnd"/>
      <w:r w:rsidRPr="00A20BE9">
        <w:rPr>
          <w:rFonts w:ascii="Times" w:eastAsia="Times New Roman" w:hAnsi="Times"/>
          <w:sz w:val="24"/>
          <w:szCs w:val="24"/>
          <w:lang w:val="en-US"/>
        </w:rPr>
        <w:t xml:space="preserve">2). </w:t>
      </w:r>
    </w:p>
    <w:p w14:paraId="50F39424" w14:textId="77777777" w:rsidR="00A20BE9" w:rsidRDefault="00A20BE9" w:rsidP="00B23CCF">
      <w:pPr>
        <w:pStyle w:val="NoSpacing"/>
        <w:ind w:left="360"/>
        <w:jc w:val="both"/>
        <w:outlineLvl w:val="0"/>
        <w:rPr>
          <w:rFonts w:ascii="Times" w:eastAsia="Times New Roman" w:hAnsi="Times"/>
          <w:sz w:val="24"/>
          <w:szCs w:val="24"/>
          <w:lang w:val="en-US"/>
        </w:rPr>
      </w:pPr>
    </w:p>
    <w:p w14:paraId="0FAD7DED" w14:textId="220871CA" w:rsidR="00A20BE9" w:rsidRPr="003E2177" w:rsidRDefault="00A20BE9" w:rsidP="00B23CCF">
      <w:pPr>
        <w:pStyle w:val="NormalWeb"/>
        <w:spacing w:before="0" w:beforeAutospacing="0" w:after="0" w:afterAutospacing="0"/>
        <w:ind w:left="1080"/>
        <w:jc w:val="both"/>
        <w:rPr>
          <w:b/>
          <w:bCs/>
          <w:color w:val="000000"/>
          <w:sz w:val="26"/>
          <w:szCs w:val="26"/>
          <w:lang w:val="en-US"/>
        </w:rPr>
      </w:pPr>
      <w:r>
        <w:rPr>
          <w:b/>
          <w:bCs/>
          <w:color w:val="000000"/>
          <w:sz w:val="26"/>
          <w:szCs w:val="26"/>
          <w:lang w:val="en-US"/>
        </w:rPr>
        <w:t>Threshold definition</w:t>
      </w:r>
    </w:p>
    <w:p w14:paraId="23CDD0C9" w14:textId="752461FB" w:rsidR="00C150F2" w:rsidRDefault="00C91FA5" w:rsidP="00B23CCF">
      <w:pPr>
        <w:widowControl w:val="0"/>
        <w:autoSpaceDE w:val="0"/>
        <w:autoSpaceDN w:val="0"/>
        <w:adjustRightInd w:val="0"/>
        <w:ind w:left="360"/>
        <w:jc w:val="both"/>
        <w:rPr>
          <w:color w:val="000000"/>
          <w:lang w:eastAsia="ja-JP"/>
        </w:rPr>
      </w:pPr>
      <w:r>
        <w:rPr>
          <w:color w:val="000000"/>
          <w:lang w:eastAsia="ja-JP"/>
        </w:rPr>
        <w:t>We propose t</w:t>
      </w:r>
      <w:r w:rsidR="00EB2A5E">
        <w:rPr>
          <w:color w:val="000000"/>
          <w:lang w:eastAsia="ja-JP"/>
        </w:rPr>
        <w:t>w</w:t>
      </w:r>
      <w:r>
        <w:rPr>
          <w:color w:val="000000"/>
          <w:lang w:eastAsia="ja-JP"/>
        </w:rPr>
        <w:t>o approach</w:t>
      </w:r>
      <w:r w:rsidR="00EB2A5E">
        <w:rPr>
          <w:color w:val="000000"/>
          <w:lang w:eastAsia="ja-JP"/>
        </w:rPr>
        <w:t>es</w:t>
      </w:r>
      <w:r>
        <w:rPr>
          <w:color w:val="000000"/>
          <w:lang w:eastAsia="ja-JP"/>
        </w:rPr>
        <w:t xml:space="preserve"> to describe</w:t>
      </w:r>
      <w:r w:rsidR="00C150F2">
        <w:rPr>
          <w:color w:val="000000"/>
          <w:lang w:eastAsia="ja-JP"/>
        </w:rPr>
        <w:t xml:space="preserve"> the scheme of threshold imposition</w:t>
      </w:r>
      <w:r w:rsidR="00C150F2" w:rsidRPr="001B1F91">
        <w:rPr>
          <w:color w:val="000000"/>
          <w:lang w:eastAsia="ja-JP"/>
        </w:rPr>
        <w:t xml:space="preserve"> on expression value for gene and/or reaction to be considered as “active”. </w:t>
      </w:r>
    </w:p>
    <w:p w14:paraId="4C7896DB" w14:textId="27EA8CD8" w:rsidR="00CF3383" w:rsidRDefault="00C150F2" w:rsidP="00B23CCF">
      <w:pPr>
        <w:pStyle w:val="ListParagraph"/>
        <w:widowControl w:val="0"/>
        <w:numPr>
          <w:ilvl w:val="0"/>
          <w:numId w:val="4"/>
        </w:numPr>
        <w:autoSpaceDE w:val="0"/>
        <w:autoSpaceDN w:val="0"/>
        <w:adjustRightInd w:val="0"/>
        <w:ind w:left="1080"/>
        <w:jc w:val="both"/>
        <w:textAlignment w:val="baseline"/>
        <w:rPr>
          <w:color w:val="000000"/>
          <w:lang w:eastAsia="ja-JP"/>
        </w:rPr>
      </w:pPr>
      <w:r w:rsidRPr="00125B67">
        <w:rPr>
          <w:i/>
          <w:noProof/>
          <w:color w:val="000000"/>
          <w:lang w:eastAsia="ja-JP"/>
        </w:rPr>
        <w:t>Global</w:t>
      </w:r>
      <w:r w:rsidRPr="00125B67">
        <w:rPr>
          <w:i/>
          <w:color w:val="000000"/>
          <w:lang w:eastAsia="ja-JP"/>
        </w:rPr>
        <w:t xml:space="preserve"> approach</w:t>
      </w:r>
      <w:r w:rsidRPr="00125B67">
        <w:rPr>
          <w:color w:val="000000"/>
          <w:lang w:eastAsia="ja-JP"/>
        </w:rPr>
        <w:t xml:space="preserve">, the </w:t>
      </w:r>
      <w:r w:rsidRPr="00125B67">
        <w:rPr>
          <w:noProof/>
          <w:color w:val="000000"/>
          <w:lang w:eastAsia="ja-JP"/>
        </w:rPr>
        <w:t>threshold</w:t>
      </w:r>
      <w:r w:rsidRPr="00125B67">
        <w:rPr>
          <w:color w:val="000000"/>
          <w:lang w:eastAsia="ja-JP"/>
        </w:rPr>
        <w:t xml:space="preserve"> valu</w:t>
      </w:r>
      <w:r>
        <w:rPr>
          <w:color w:val="000000"/>
          <w:lang w:eastAsia="ja-JP"/>
        </w:rPr>
        <w:t>e is the same for all the genes.</w:t>
      </w:r>
      <w:r w:rsidRPr="00125B67">
        <w:rPr>
          <w:color w:val="000000"/>
          <w:lang w:eastAsia="ja-JP"/>
        </w:rPr>
        <w:t xml:space="preserve"> The global approach is mainly applied when only one sample is available (i.e. sample could be</w:t>
      </w:r>
      <w:r>
        <w:rPr>
          <w:color w:val="000000"/>
          <w:lang w:eastAsia="ja-JP"/>
        </w:rPr>
        <w:t xml:space="preserve"> associated to</w:t>
      </w:r>
      <w:r w:rsidRPr="00125B67">
        <w:rPr>
          <w:color w:val="000000"/>
          <w:lang w:eastAsia="ja-JP"/>
        </w:rPr>
        <w:t xml:space="preserve"> a condition, a cell-type or a tissue) and/or no information is available in the </w:t>
      </w:r>
      <w:r w:rsidRPr="00125B67">
        <w:rPr>
          <w:noProof/>
          <w:color w:val="000000"/>
          <w:lang w:eastAsia="ja-JP"/>
        </w:rPr>
        <w:t>literature</w:t>
      </w:r>
      <w:r w:rsidRPr="00125B67">
        <w:rPr>
          <w:color w:val="000000"/>
          <w:lang w:eastAsia="ja-JP"/>
        </w:rPr>
        <w:t xml:space="preserve"> to define expression threshold for a </w:t>
      </w:r>
      <w:r w:rsidRPr="00125B67">
        <w:rPr>
          <w:noProof/>
          <w:color w:val="000000"/>
          <w:lang w:eastAsia="ja-JP"/>
        </w:rPr>
        <w:t>single</w:t>
      </w:r>
      <w:r w:rsidR="008A222C">
        <w:rPr>
          <w:color w:val="000000"/>
          <w:lang w:eastAsia="ja-JP"/>
        </w:rPr>
        <w:t xml:space="preserve"> gene. The user</w:t>
      </w:r>
      <w:r w:rsidR="00CF3383">
        <w:rPr>
          <w:color w:val="000000"/>
          <w:lang w:eastAsia="ja-JP"/>
        </w:rPr>
        <w:t xml:space="preserve"> can </w:t>
      </w:r>
      <w:r w:rsidR="00CF3383" w:rsidRPr="00CF3383">
        <w:rPr>
          <w:color w:val="000000"/>
          <w:lang w:eastAsia="ja-JP"/>
        </w:rPr>
        <w:t>define the global threshold using a value or a percentile</w:t>
      </w:r>
    </w:p>
    <w:p w14:paraId="1F5C4F52" w14:textId="0CBA3603" w:rsidR="00CF3383" w:rsidRDefault="00CF3383" w:rsidP="00B23CCF">
      <w:pPr>
        <w:pStyle w:val="ListParagraph"/>
        <w:widowControl w:val="0"/>
        <w:numPr>
          <w:ilvl w:val="1"/>
          <w:numId w:val="2"/>
        </w:numPr>
        <w:autoSpaceDE w:val="0"/>
        <w:autoSpaceDN w:val="0"/>
        <w:adjustRightInd w:val="0"/>
        <w:ind w:left="1800"/>
        <w:jc w:val="both"/>
        <w:textAlignment w:val="baseline"/>
        <w:rPr>
          <w:noProof/>
          <w:color w:val="000000"/>
          <w:lang w:eastAsia="ja-JP"/>
        </w:rPr>
      </w:pPr>
      <w:r w:rsidRPr="00373394">
        <w:rPr>
          <w:i/>
          <w:noProof/>
          <w:color w:val="000000"/>
          <w:lang w:eastAsia="ja-JP"/>
        </w:rPr>
        <w:t>value</w:t>
      </w:r>
      <w:r w:rsidRPr="00CF3383">
        <w:rPr>
          <w:noProof/>
          <w:color w:val="000000"/>
          <w:lang w:eastAsia="ja-JP"/>
        </w:rPr>
        <w:t xml:space="preserve"> : </w:t>
      </w:r>
      <w:r w:rsidR="008A222C">
        <w:rPr>
          <w:noProof/>
          <w:color w:val="000000"/>
          <w:lang w:eastAsia="ja-JP"/>
        </w:rPr>
        <w:t>the user</w:t>
      </w:r>
      <w:r w:rsidRPr="00CF3383">
        <w:rPr>
          <w:noProof/>
          <w:color w:val="000000"/>
          <w:lang w:eastAsia="ja-JP"/>
        </w:rPr>
        <w:t xml:space="preserve"> provide</w:t>
      </w:r>
      <w:r w:rsidR="008A222C">
        <w:rPr>
          <w:noProof/>
          <w:color w:val="000000"/>
          <w:lang w:eastAsia="ja-JP"/>
        </w:rPr>
        <w:t>s</w:t>
      </w:r>
      <w:r w:rsidRPr="00CF3383">
        <w:rPr>
          <w:noProof/>
          <w:color w:val="000000"/>
          <w:lang w:eastAsia="ja-JP"/>
        </w:rPr>
        <w:t xml:space="preserve"> the gene expression value </w:t>
      </w:r>
      <w:r>
        <w:rPr>
          <w:noProof/>
          <w:color w:val="000000"/>
          <w:lang w:eastAsia="ja-JP"/>
        </w:rPr>
        <w:t>for which a gene will be considered as active</w:t>
      </w:r>
      <w:r w:rsidR="008A222C">
        <w:rPr>
          <w:noProof/>
          <w:color w:val="000000"/>
          <w:lang w:eastAsia="ja-JP"/>
        </w:rPr>
        <w:t>;</w:t>
      </w:r>
    </w:p>
    <w:p w14:paraId="56CB4A8D" w14:textId="05CDF2D9" w:rsidR="00CF3383" w:rsidRPr="00CF3383" w:rsidRDefault="00CF3383" w:rsidP="00B23CCF">
      <w:pPr>
        <w:pStyle w:val="ListParagraph"/>
        <w:widowControl w:val="0"/>
        <w:numPr>
          <w:ilvl w:val="1"/>
          <w:numId w:val="2"/>
        </w:numPr>
        <w:autoSpaceDE w:val="0"/>
        <w:autoSpaceDN w:val="0"/>
        <w:adjustRightInd w:val="0"/>
        <w:ind w:left="1800"/>
        <w:jc w:val="both"/>
        <w:textAlignment w:val="baseline"/>
        <w:rPr>
          <w:color w:val="000000"/>
          <w:lang w:eastAsia="ja-JP"/>
        </w:rPr>
      </w:pPr>
      <w:r w:rsidRPr="00373394">
        <w:rPr>
          <w:i/>
          <w:color w:val="000000"/>
          <w:lang w:eastAsia="ja-JP"/>
        </w:rPr>
        <w:t>percentile</w:t>
      </w:r>
      <w:r>
        <w:rPr>
          <w:color w:val="000000"/>
          <w:lang w:eastAsia="ja-JP"/>
        </w:rPr>
        <w:t xml:space="preserve">: the threshold value will be defined based on a percentile </w:t>
      </w:r>
      <w:r w:rsidR="008A222C">
        <w:rPr>
          <w:color w:val="000000"/>
          <w:lang w:eastAsia="ja-JP"/>
        </w:rPr>
        <w:t xml:space="preserve">(defined by the user) </w:t>
      </w:r>
      <w:r>
        <w:rPr>
          <w:color w:val="000000"/>
          <w:lang w:eastAsia="ja-JP"/>
        </w:rPr>
        <w:t xml:space="preserve">of the </w:t>
      </w:r>
      <w:r w:rsidRPr="00125B67">
        <w:rPr>
          <w:color w:val="000000"/>
          <w:lang w:eastAsia="ja-JP"/>
        </w:rPr>
        <w:t>distribution of expression value for all the genes</w:t>
      </w:r>
      <w:r>
        <w:rPr>
          <w:color w:val="000000"/>
          <w:lang w:eastAsia="ja-JP"/>
        </w:rPr>
        <w:t xml:space="preserve"> and</w:t>
      </w:r>
      <w:r w:rsidRPr="00125B67">
        <w:rPr>
          <w:color w:val="000000"/>
          <w:lang w:eastAsia="ja-JP"/>
        </w:rPr>
        <w:t xml:space="preserve"> across all samples </w:t>
      </w:r>
      <w:r>
        <w:rPr>
          <w:color w:val="000000"/>
          <w:lang w:eastAsia="ja-JP"/>
        </w:rPr>
        <w:t xml:space="preserve">of </w:t>
      </w:r>
      <w:r w:rsidR="006006B4">
        <w:rPr>
          <w:color w:val="000000"/>
          <w:lang w:eastAsia="ja-JP"/>
        </w:rPr>
        <w:t>the user</w:t>
      </w:r>
      <w:r>
        <w:rPr>
          <w:color w:val="000000"/>
          <w:lang w:eastAsia="ja-JP"/>
        </w:rPr>
        <w:t xml:space="preserve"> dataset</w:t>
      </w:r>
    </w:p>
    <w:p w14:paraId="1EC0686B" w14:textId="77777777" w:rsidR="00373394" w:rsidRDefault="00C150F2" w:rsidP="00B23CCF">
      <w:pPr>
        <w:pStyle w:val="ListParagraph"/>
        <w:widowControl w:val="0"/>
        <w:numPr>
          <w:ilvl w:val="0"/>
          <w:numId w:val="4"/>
        </w:numPr>
        <w:autoSpaceDE w:val="0"/>
        <w:autoSpaceDN w:val="0"/>
        <w:adjustRightInd w:val="0"/>
        <w:ind w:left="1080"/>
        <w:jc w:val="both"/>
        <w:textAlignment w:val="baseline"/>
        <w:rPr>
          <w:color w:val="000000"/>
          <w:lang w:eastAsia="ja-JP"/>
        </w:rPr>
      </w:pPr>
      <w:r w:rsidRPr="00125B67">
        <w:rPr>
          <w:i/>
          <w:noProof/>
          <w:color w:val="000000"/>
          <w:lang w:eastAsia="ja-JP"/>
        </w:rPr>
        <w:t>L</w:t>
      </w:r>
      <w:r w:rsidRPr="00125B67">
        <w:rPr>
          <w:i/>
          <w:noProof/>
        </w:rPr>
        <w:t>ocal</w:t>
      </w:r>
      <w:r w:rsidRPr="00125B67">
        <w:rPr>
          <w:i/>
        </w:rPr>
        <w:t xml:space="preserve"> approach,</w:t>
      </w:r>
      <w:r>
        <w:t xml:space="preserve"> the </w:t>
      </w:r>
      <w:r w:rsidRPr="004E5900">
        <w:rPr>
          <w:noProof/>
        </w:rPr>
        <w:t>threshold</w:t>
      </w:r>
      <w:r>
        <w:t xml:space="preserve"> value is different for all the genes. </w:t>
      </w:r>
      <w:r w:rsidRPr="00125B67">
        <w:rPr>
          <w:color w:val="000000"/>
          <w:lang w:eastAsia="ja-JP"/>
        </w:rPr>
        <w:t xml:space="preserve">The local approach is often applied when multiple samples are available as it allows having a relative assessment of the activity of a gene across samples. </w:t>
      </w:r>
      <w:r w:rsidR="00373394">
        <w:rPr>
          <w:color w:val="000000"/>
          <w:lang w:eastAsia="ja-JP"/>
        </w:rPr>
        <w:t>Multiple options are available to compute the local thresholds:</w:t>
      </w:r>
    </w:p>
    <w:p w14:paraId="14501052" w14:textId="5C585E6D" w:rsidR="00C150F2" w:rsidRDefault="00B47AD6" w:rsidP="00B23CCF">
      <w:pPr>
        <w:pStyle w:val="ListParagraph"/>
        <w:widowControl w:val="0"/>
        <w:numPr>
          <w:ilvl w:val="1"/>
          <w:numId w:val="2"/>
        </w:numPr>
        <w:autoSpaceDE w:val="0"/>
        <w:autoSpaceDN w:val="0"/>
        <w:adjustRightInd w:val="0"/>
        <w:ind w:left="1800"/>
        <w:jc w:val="both"/>
        <w:textAlignment w:val="baseline"/>
        <w:rPr>
          <w:color w:val="000000"/>
          <w:lang w:eastAsia="ja-JP"/>
        </w:rPr>
      </w:pPr>
      <w:r w:rsidRPr="00B47AD6">
        <w:rPr>
          <w:i/>
          <w:color w:val="000000"/>
          <w:lang w:eastAsia="ja-JP"/>
        </w:rPr>
        <w:t>Mean</w:t>
      </w:r>
      <w:r>
        <w:rPr>
          <w:color w:val="000000"/>
          <w:lang w:eastAsia="ja-JP"/>
        </w:rPr>
        <w:t xml:space="preserve"> - the threshold for a gene is</w:t>
      </w:r>
      <w:r w:rsidR="00C150F2" w:rsidRPr="00125B67">
        <w:rPr>
          <w:color w:val="000000"/>
          <w:lang w:eastAsia="ja-JP"/>
        </w:rPr>
        <w:t xml:space="preserve"> defined as the mean expression value of this gene across all the samples, tissues, or conditions</w:t>
      </w:r>
      <w:r>
        <w:rPr>
          <w:color w:val="000000"/>
          <w:lang w:eastAsia="ja-JP"/>
        </w:rPr>
        <w:t xml:space="preserve"> (option only available if more than 3 samples are provided by the user)</w:t>
      </w:r>
      <w:r w:rsidR="00C91FA5">
        <w:rPr>
          <w:color w:val="000000"/>
          <w:lang w:eastAsia="ja-JP"/>
        </w:rPr>
        <w:t>.</w:t>
      </w:r>
    </w:p>
    <w:p w14:paraId="015038C9" w14:textId="2DE3540C" w:rsidR="00B47AD6" w:rsidRPr="00B47AD6" w:rsidRDefault="00B47AD6" w:rsidP="00B23CCF">
      <w:pPr>
        <w:pStyle w:val="ListParagraph"/>
        <w:widowControl w:val="0"/>
        <w:numPr>
          <w:ilvl w:val="1"/>
          <w:numId w:val="2"/>
        </w:numPr>
        <w:autoSpaceDE w:val="0"/>
        <w:autoSpaceDN w:val="0"/>
        <w:adjustRightInd w:val="0"/>
        <w:ind w:left="1800"/>
        <w:jc w:val="both"/>
        <w:textAlignment w:val="baseline"/>
        <w:rPr>
          <w:color w:val="000000"/>
          <w:lang w:eastAsia="ja-JP"/>
        </w:rPr>
      </w:pPr>
      <w:proofErr w:type="spellStart"/>
      <w:r w:rsidRPr="00B47AD6">
        <w:rPr>
          <w:i/>
          <w:color w:val="000000"/>
          <w:lang w:eastAsia="ja-JP"/>
        </w:rPr>
        <w:t>MinMaxMean</w:t>
      </w:r>
      <w:proofErr w:type="spellEnd"/>
      <w:r>
        <w:rPr>
          <w:color w:val="000000"/>
          <w:lang w:eastAsia="ja-JP"/>
        </w:rPr>
        <w:t xml:space="preserve"> - </w:t>
      </w:r>
      <w:r w:rsidRPr="00B47AD6">
        <w:rPr>
          <w:rFonts w:eastAsia="Times New Roman"/>
          <w:color w:val="000000" w:themeColor="text1"/>
        </w:rPr>
        <w:t xml:space="preserve">the threshold for a gene is determined by the mean of </w:t>
      </w:r>
      <w:r w:rsidRPr="00B47AD6">
        <w:rPr>
          <w:rFonts w:eastAsia="Times New Roman"/>
          <w:color w:val="000000" w:themeColor="text1"/>
        </w:rPr>
        <w:lastRenderedPageBreak/>
        <w:t xml:space="preserve">expression values observed for that gene among </w:t>
      </w:r>
      <w:r w:rsidRPr="00125B67">
        <w:rPr>
          <w:color w:val="000000"/>
          <w:lang w:eastAsia="ja-JP"/>
        </w:rPr>
        <w:t>all the samples, tissues, or conditions</w:t>
      </w:r>
      <w:r>
        <w:rPr>
          <w:color w:val="000000"/>
          <w:lang w:eastAsia="ja-JP"/>
        </w:rPr>
        <w:t xml:space="preserve"> </w:t>
      </w:r>
      <w:r w:rsidRPr="00B47AD6">
        <w:rPr>
          <w:rFonts w:eastAsia="Times New Roman"/>
          <w:color w:val="000000" w:themeColor="text1"/>
        </w:rPr>
        <w:t>BUT the threshold :(</w:t>
      </w:r>
      <w:proofErr w:type="spellStart"/>
      <w:r w:rsidRPr="00B47AD6">
        <w:rPr>
          <w:rFonts w:eastAsia="Times New Roman"/>
          <w:color w:val="000000" w:themeColor="text1"/>
        </w:rPr>
        <w:t>i</w:t>
      </w:r>
      <w:proofErr w:type="spellEnd"/>
      <w:r w:rsidRPr="00B47AD6">
        <w:rPr>
          <w:rFonts w:eastAsia="Times New Roman"/>
          <w:color w:val="000000" w:themeColor="text1"/>
        </w:rPr>
        <w:t>) must be higher or equal to a lower bound and (ii) must be lower or equal to an upper bound</w:t>
      </w:r>
      <w:r>
        <w:rPr>
          <w:rFonts w:eastAsia="Times New Roman"/>
          <w:color w:val="000000" w:themeColor="text1"/>
        </w:rPr>
        <w:t>. The lower an upper bound can be defined using a value introduced by the user or based</w:t>
      </w:r>
      <w:r w:rsidRPr="00B47AD6">
        <w:rPr>
          <w:color w:val="000000"/>
          <w:lang w:eastAsia="ja-JP"/>
        </w:rPr>
        <w:t xml:space="preserve"> </w:t>
      </w:r>
      <w:r>
        <w:rPr>
          <w:color w:val="000000"/>
          <w:lang w:eastAsia="ja-JP"/>
        </w:rPr>
        <w:t xml:space="preserve">on a percentile of the </w:t>
      </w:r>
      <w:r w:rsidRPr="00125B67">
        <w:rPr>
          <w:color w:val="000000"/>
          <w:lang w:eastAsia="ja-JP"/>
        </w:rPr>
        <w:t>distribution of expression value for all the genes</w:t>
      </w:r>
      <w:r>
        <w:rPr>
          <w:color w:val="000000"/>
          <w:lang w:eastAsia="ja-JP"/>
        </w:rPr>
        <w:t xml:space="preserve"> and</w:t>
      </w:r>
      <w:r w:rsidRPr="00125B67">
        <w:rPr>
          <w:color w:val="000000"/>
          <w:lang w:eastAsia="ja-JP"/>
        </w:rPr>
        <w:t xml:space="preserve"> across all samples </w:t>
      </w:r>
      <w:r>
        <w:rPr>
          <w:color w:val="000000"/>
          <w:lang w:eastAsia="ja-JP"/>
        </w:rPr>
        <w:t xml:space="preserve">of your dataset. The </w:t>
      </w:r>
      <w:proofErr w:type="spellStart"/>
      <w:r w:rsidRPr="00B47AD6">
        <w:rPr>
          <w:i/>
          <w:color w:val="000000"/>
          <w:lang w:eastAsia="ja-JP"/>
        </w:rPr>
        <w:t>MinMaxMean</w:t>
      </w:r>
      <w:proofErr w:type="spellEnd"/>
      <w:r>
        <w:rPr>
          <w:color w:val="000000"/>
          <w:lang w:eastAsia="ja-JP"/>
        </w:rPr>
        <w:t xml:space="preserve"> option</w:t>
      </w:r>
      <w:r w:rsidRPr="00B47AD6">
        <w:t xml:space="preserve"> </w:t>
      </w:r>
      <w:r>
        <w:t xml:space="preserve">ensures that genes with very low expression values across all the samples will never be considered as active and </w:t>
      </w:r>
      <w:r>
        <w:rPr>
          <w:iCs/>
          <w:color w:val="000000" w:themeColor="text1"/>
          <w:shd w:val="clear" w:color="auto" w:fill="FFFFFF"/>
        </w:rPr>
        <w:t xml:space="preserve">genes with very high expression across samples are always considered as active </w:t>
      </w:r>
      <w:r>
        <w:rPr>
          <w:color w:val="000000"/>
          <w:lang w:eastAsia="ja-JP"/>
        </w:rPr>
        <w:t>(option only available if more than 3 samples are provided by the user).</w:t>
      </w:r>
    </w:p>
    <w:p w14:paraId="2B870B76" w14:textId="77777777" w:rsidR="00A20BE9" w:rsidRDefault="00A20BE9" w:rsidP="00B23CCF">
      <w:pPr>
        <w:pStyle w:val="NoSpacing"/>
        <w:ind w:left="360"/>
        <w:jc w:val="both"/>
        <w:outlineLvl w:val="0"/>
        <w:rPr>
          <w:rFonts w:ascii="Times" w:eastAsia="Times New Roman" w:hAnsi="Times"/>
          <w:sz w:val="24"/>
          <w:szCs w:val="24"/>
          <w:lang w:val="en-US"/>
        </w:rPr>
      </w:pPr>
    </w:p>
    <w:p w14:paraId="640BAC57" w14:textId="77777777" w:rsidR="00A20BE9" w:rsidRPr="00A20BE9" w:rsidRDefault="00A20BE9" w:rsidP="00B23CCF">
      <w:pPr>
        <w:pStyle w:val="NoSpacing"/>
        <w:ind w:left="360"/>
        <w:jc w:val="both"/>
        <w:outlineLvl w:val="0"/>
        <w:rPr>
          <w:rFonts w:ascii="Times" w:eastAsia="Times New Roman" w:hAnsi="Times"/>
          <w:sz w:val="24"/>
          <w:szCs w:val="24"/>
          <w:lang w:val="en-US"/>
        </w:rPr>
      </w:pPr>
    </w:p>
    <w:p w14:paraId="4E935997" w14:textId="1ADAA4DE" w:rsidR="00A20BE9" w:rsidRPr="003E2177" w:rsidRDefault="00A20BE9" w:rsidP="00B23CCF">
      <w:pPr>
        <w:pStyle w:val="NormalWeb"/>
        <w:spacing w:before="0" w:beforeAutospacing="0" w:after="0" w:afterAutospacing="0"/>
        <w:ind w:left="1080"/>
        <w:jc w:val="both"/>
        <w:rPr>
          <w:b/>
          <w:bCs/>
          <w:color w:val="000000"/>
          <w:sz w:val="26"/>
          <w:szCs w:val="26"/>
          <w:lang w:val="en-US"/>
        </w:rPr>
      </w:pPr>
      <w:r>
        <w:rPr>
          <w:b/>
          <w:bCs/>
          <w:color w:val="000000"/>
          <w:sz w:val="26"/>
          <w:szCs w:val="26"/>
          <w:lang w:val="en-US"/>
        </w:rPr>
        <w:t>List of available genome-scale models</w:t>
      </w:r>
    </w:p>
    <w:p w14:paraId="70E93361" w14:textId="52C628D3" w:rsidR="00923C51" w:rsidRPr="00F653C6" w:rsidRDefault="00C91FA5" w:rsidP="00B23CCF">
      <w:pPr>
        <w:pStyle w:val="NormalWeb"/>
        <w:spacing w:before="0" w:beforeAutospacing="0" w:after="0" w:afterAutospacing="0"/>
        <w:ind w:left="360"/>
        <w:jc w:val="both"/>
        <w:rPr>
          <w:rFonts w:ascii="Times New Roman" w:hAnsi="Times New Roman"/>
          <w:bCs/>
          <w:color w:val="000000"/>
          <w:sz w:val="24"/>
          <w:szCs w:val="24"/>
          <w:lang w:val="en-US"/>
        </w:rPr>
      </w:pPr>
      <w:r w:rsidRPr="00F653C6">
        <w:rPr>
          <w:rFonts w:ascii="Times New Roman" w:hAnsi="Times New Roman"/>
          <w:bCs/>
          <w:color w:val="000000"/>
          <w:sz w:val="24"/>
          <w:szCs w:val="24"/>
          <w:lang w:val="en-US"/>
        </w:rPr>
        <w:t>Human models</w:t>
      </w:r>
    </w:p>
    <w:p w14:paraId="443F7DB4" w14:textId="0FC8FFD6" w:rsidR="00C91FA5" w:rsidRPr="009B5357" w:rsidRDefault="00A20E49" w:rsidP="00B23CCF">
      <w:pPr>
        <w:pStyle w:val="ListParagraph"/>
        <w:numPr>
          <w:ilvl w:val="0"/>
          <w:numId w:val="7"/>
        </w:numPr>
        <w:ind w:left="1080"/>
        <w:jc w:val="both"/>
        <w:rPr>
          <w:rFonts w:eastAsia="Times New Roman"/>
        </w:rPr>
      </w:pPr>
      <w:r w:rsidRPr="00FF04BF">
        <w:rPr>
          <w:bCs/>
          <w:color w:val="000000"/>
        </w:rPr>
        <w:t>Human_</w:t>
      </w:r>
      <w:r w:rsidR="00B23CCF" w:rsidRPr="00FF04BF">
        <w:rPr>
          <w:bCs/>
          <w:color w:val="000000"/>
        </w:rPr>
        <w:t>r</w:t>
      </w:r>
      <w:r w:rsidR="00C91FA5" w:rsidRPr="00FF04BF">
        <w:rPr>
          <w:bCs/>
          <w:color w:val="000000"/>
        </w:rPr>
        <w:t>econ</w:t>
      </w:r>
      <w:r w:rsidR="00B23CCF" w:rsidRPr="00FF04BF">
        <w:rPr>
          <w:bCs/>
          <w:color w:val="000000"/>
        </w:rPr>
        <w:t>_2_</w:t>
      </w:r>
      <w:r w:rsidR="00C91FA5" w:rsidRPr="00FF04BF">
        <w:rPr>
          <w:bCs/>
          <w:color w:val="000000"/>
        </w:rPr>
        <w:t>2</w:t>
      </w:r>
      <w:r w:rsidR="00F653C6" w:rsidRPr="00FF04BF">
        <w:rPr>
          <w:bCs/>
          <w:color w:val="000000"/>
        </w:rPr>
        <w:t xml:space="preserve"> -</w:t>
      </w:r>
      <w:r w:rsidR="00B518DC" w:rsidRPr="00FF04BF">
        <w:rPr>
          <w:rFonts w:eastAsia="Times New Roman"/>
        </w:rPr>
        <w:t xml:space="preserve"> </w:t>
      </w:r>
      <w:proofErr w:type="spellStart"/>
      <w:r w:rsidR="00B518DC" w:rsidRPr="00FF04BF">
        <w:rPr>
          <w:rFonts w:eastAsia="Times New Roman"/>
        </w:rPr>
        <w:t>Swainston</w:t>
      </w:r>
      <w:proofErr w:type="spellEnd"/>
      <w:r w:rsidR="00B518DC" w:rsidRPr="00FF04BF">
        <w:rPr>
          <w:rFonts w:eastAsia="Times New Roman"/>
        </w:rPr>
        <w:t xml:space="preserve">, N. et al. </w:t>
      </w:r>
      <w:r w:rsidR="00B518DC" w:rsidRPr="00F653C6">
        <w:rPr>
          <w:rFonts w:eastAsia="Times New Roman"/>
        </w:rPr>
        <w:t xml:space="preserve">(2016) Recon 2.2: from reconstruction to model of human metabolism. </w:t>
      </w:r>
      <w:r w:rsidR="00B518DC" w:rsidRPr="009B5357">
        <w:rPr>
          <w:rFonts w:eastAsia="Times New Roman"/>
        </w:rPr>
        <w:t>Metabolomics, 12, 109.</w:t>
      </w:r>
    </w:p>
    <w:p w14:paraId="34B18DCF" w14:textId="662345E3" w:rsidR="00C91FA5" w:rsidRPr="00F653C6" w:rsidRDefault="00B23CCF" w:rsidP="00B23CCF">
      <w:pPr>
        <w:pStyle w:val="NoSpacing"/>
        <w:numPr>
          <w:ilvl w:val="0"/>
          <w:numId w:val="8"/>
        </w:numPr>
        <w:ind w:left="1080"/>
        <w:jc w:val="both"/>
        <w:outlineLvl w:val="0"/>
        <w:rPr>
          <w:rFonts w:ascii="Times New Roman" w:hAnsi="Times New Roman"/>
          <w:sz w:val="24"/>
          <w:szCs w:val="24"/>
          <w:lang w:val="en-US"/>
        </w:rPr>
      </w:pPr>
      <w:proofErr w:type="spellStart"/>
      <w:r w:rsidRPr="00B23CCF">
        <w:rPr>
          <w:rFonts w:ascii="Times New Roman" w:hAnsi="Times New Roman"/>
          <w:bCs/>
          <w:color w:val="000000"/>
          <w:sz w:val="24"/>
          <w:szCs w:val="24"/>
          <w:lang w:val="fr-BE"/>
        </w:rPr>
        <w:t>Human_</w:t>
      </w:r>
      <w:r w:rsidR="00C91FA5" w:rsidRPr="00B23CCF">
        <w:rPr>
          <w:rFonts w:ascii="Times New Roman" w:hAnsi="Times New Roman"/>
          <w:bCs/>
          <w:color w:val="000000"/>
          <w:sz w:val="24"/>
          <w:szCs w:val="24"/>
          <w:lang w:val="fr-BE"/>
        </w:rPr>
        <w:t>iHsa</w:t>
      </w:r>
      <w:proofErr w:type="spellEnd"/>
      <w:r w:rsidR="00B518DC" w:rsidRPr="00B23CCF">
        <w:rPr>
          <w:rFonts w:ascii="Times New Roman" w:hAnsi="Times New Roman"/>
          <w:bCs/>
          <w:color w:val="000000"/>
          <w:sz w:val="24"/>
          <w:szCs w:val="24"/>
          <w:lang w:val="fr-BE"/>
        </w:rPr>
        <w:t xml:space="preserve"> :</w:t>
      </w:r>
      <w:r w:rsidR="00B518DC" w:rsidRPr="00B23CCF">
        <w:rPr>
          <w:rFonts w:ascii="Times New Roman" w:hAnsi="Times New Roman"/>
          <w:sz w:val="24"/>
          <w:szCs w:val="24"/>
          <w:lang w:val="fr-BE"/>
        </w:rPr>
        <w:t xml:space="preserve"> Blais et al</w:t>
      </w:r>
      <w:r w:rsidR="00F653C6" w:rsidRPr="00B23CCF">
        <w:rPr>
          <w:rFonts w:ascii="Times New Roman" w:hAnsi="Times New Roman"/>
          <w:sz w:val="24"/>
          <w:szCs w:val="24"/>
          <w:lang w:val="fr-BE"/>
        </w:rPr>
        <w:t xml:space="preserve">. </w:t>
      </w:r>
      <w:r w:rsidR="00F653C6">
        <w:rPr>
          <w:rFonts w:ascii="Times New Roman" w:hAnsi="Times New Roman"/>
          <w:sz w:val="24"/>
          <w:szCs w:val="24"/>
          <w:lang w:val="en-US"/>
        </w:rPr>
        <w:t>(</w:t>
      </w:r>
      <w:r w:rsidR="00F653C6" w:rsidRPr="00F653C6">
        <w:rPr>
          <w:rFonts w:ascii="Times New Roman" w:hAnsi="Times New Roman"/>
          <w:sz w:val="24"/>
          <w:szCs w:val="24"/>
          <w:lang w:val="en-US"/>
        </w:rPr>
        <w:t>2017</w:t>
      </w:r>
      <w:r w:rsidR="00F653C6">
        <w:rPr>
          <w:rFonts w:ascii="Times New Roman" w:hAnsi="Times New Roman"/>
          <w:sz w:val="24"/>
          <w:szCs w:val="24"/>
          <w:lang w:val="en-US"/>
        </w:rPr>
        <w:t>)</w:t>
      </w:r>
      <w:r w:rsidR="00F653C6" w:rsidRPr="00F653C6">
        <w:rPr>
          <w:rFonts w:ascii="Times New Roman" w:hAnsi="Times New Roman"/>
          <w:sz w:val="24"/>
          <w:szCs w:val="24"/>
          <w:lang w:val="en-US"/>
        </w:rPr>
        <w:t xml:space="preserve"> </w:t>
      </w:r>
      <w:r w:rsidR="00B518DC" w:rsidRPr="00F653C6">
        <w:rPr>
          <w:rFonts w:ascii="Times New Roman" w:hAnsi="Times New Roman"/>
          <w:sz w:val="24"/>
          <w:szCs w:val="24"/>
          <w:lang w:val="en-US"/>
        </w:rPr>
        <w:t xml:space="preserve">Reconciled rat and human metabolic networks for comparative </w:t>
      </w:r>
      <w:proofErr w:type="spellStart"/>
      <w:r w:rsidR="00B518DC" w:rsidRPr="00F653C6">
        <w:rPr>
          <w:rFonts w:ascii="Times New Roman" w:hAnsi="Times New Roman"/>
          <w:sz w:val="24"/>
          <w:szCs w:val="24"/>
          <w:lang w:val="en-US"/>
        </w:rPr>
        <w:t>toxigenomics</w:t>
      </w:r>
      <w:proofErr w:type="spellEnd"/>
      <w:r w:rsidR="00B518DC" w:rsidRPr="00F653C6">
        <w:rPr>
          <w:rFonts w:ascii="Times New Roman" w:hAnsi="Times New Roman"/>
          <w:sz w:val="24"/>
          <w:szCs w:val="24"/>
          <w:lang w:val="en-US"/>
        </w:rPr>
        <w:t xml:space="preserve"> and biomarker predictions. Nature Communications</w:t>
      </w:r>
      <w:r w:rsidR="009B5357">
        <w:rPr>
          <w:rFonts w:ascii="Times New Roman" w:hAnsi="Times New Roman"/>
          <w:sz w:val="24"/>
          <w:szCs w:val="24"/>
          <w:lang w:val="en-US"/>
        </w:rPr>
        <w:t>, 8:14250</w:t>
      </w:r>
    </w:p>
    <w:p w14:paraId="56B43069" w14:textId="77777777" w:rsidR="00C91FA5" w:rsidRPr="00F653C6" w:rsidRDefault="00C91FA5" w:rsidP="00B23CCF">
      <w:pPr>
        <w:pStyle w:val="NormalWeb"/>
        <w:spacing w:before="0" w:beforeAutospacing="0" w:after="0" w:afterAutospacing="0"/>
        <w:ind w:left="360"/>
        <w:jc w:val="both"/>
        <w:rPr>
          <w:rFonts w:ascii="Times New Roman" w:hAnsi="Times New Roman"/>
          <w:bCs/>
          <w:color w:val="000000"/>
          <w:sz w:val="24"/>
          <w:szCs w:val="24"/>
          <w:lang w:val="en-US"/>
        </w:rPr>
      </w:pPr>
    </w:p>
    <w:p w14:paraId="1A9A1E09" w14:textId="0E0E9405" w:rsidR="00C91FA5" w:rsidRPr="00F653C6" w:rsidRDefault="00C91FA5" w:rsidP="00B23CCF">
      <w:pPr>
        <w:pStyle w:val="NormalWeb"/>
        <w:spacing w:before="0" w:beforeAutospacing="0" w:after="0" w:afterAutospacing="0"/>
        <w:ind w:left="360"/>
        <w:jc w:val="both"/>
        <w:rPr>
          <w:rFonts w:ascii="Times New Roman" w:hAnsi="Times New Roman"/>
          <w:bCs/>
          <w:color w:val="000000"/>
          <w:sz w:val="24"/>
          <w:szCs w:val="24"/>
          <w:lang w:val="en-US"/>
        </w:rPr>
      </w:pPr>
      <w:r w:rsidRPr="00F653C6">
        <w:rPr>
          <w:rFonts w:ascii="Times New Roman" w:hAnsi="Times New Roman"/>
          <w:bCs/>
          <w:color w:val="000000"/>
          <w:sz w:val="24"/>
          <w:szCs w:val="24"/>
          <w:lang w:val="en-US"/>
        </w:rPr>
        <w:t>Rat model</w:t>
      </w:r>
    </w:p>
    <w:p w14:paraId="352612A9" w14:textId="0F172B15" w:rsidR="00C91FA5" w:rsidRPr="00F653C6" w:rsidRDefault="00B23CCF" w:rsidP="00B23CCF">
      <w:pPr>
        <w:pStyle w:val="NoSpacing"/>
        <w:numPr>
          <w:ilvl w:val="0"/>
          <w:numId w:val="8"/>
        </w:numPr>
        <w:ind w:left="1080"/>
        <w:jc w:val="both"/>
        <w:outlineLvl w:val="0"/>
        <w:rPr>
          <w:rFonts w:ascii="Times New Roman" w:hAnsi="Times New Roman"/>
          <w:sz w:val="24"/>
          <w:szCs w:val="24"/>
          <w:lang w:val="en-US"/>
        </w:rPr>
      </w:pPr>
      <w:proofErr w:type="spellStart"/>
      <w:r w:rsidRPr="00B23CCF">
        <w:rPr>
          <w:rFonts w:ascii="Times New Roman" w:hAnsi="Times New Roman"/>
          <w:bCs/>
          <w:color w:val="000000"/>
          <w:sz w:val="24"/>
          <w:szCs w:val="24"/>
          <w:lang w:val="fr-BE"/>
        </w:rPr>
        <w:t>Rat_</w:t>
      </w:r>
      <w:r w:rsidR="00B518DC" w:rsidRPr="00B23CCF">
        <w:rPr>
          <w:rFonts w:ascii="Times New Roman" w:hAnsi="Times New Roman"/>
          <w:bCs/>
          <w:color w:val="000000"/>
          <w:sz w:val="24"/>
          <w:szCs w:val="24"/>
          <w:lang w:val="fr-BE"/>
        </w:rPr>
        <w:t>iRno</w:t>
      </w:r>
      <w:proofErr w:type="spellEnd"/>
      <w:r w:rsidR="00B518DC" w:rsidRPr="00B23CCF">
        <w:rPr>
          <w:rFonts w:ascii="Times New Roman" w:hAnsi="Times New Roman"/>
          <w:bCs/>
          <w:color w:val="000000"/>
          <w:sz w:val="24"/>
          <w:szCs w:val="24"/>
          <w:lang w:val="fr-BE"/>
        </w:rPr>
        <w:t xml:space="preserve"> :</w:t>
      </w:r>
      <w:r w:rsidR="00B518DC" w:rsidRPr="00B23CCF">
        <w:rPr>
          <w:rFonts w:ascii="Times New Roman" w:hAnsi="Times New Roman"/>
          <w:sz w:val="24"/>
          <w:szCs w:val="24"/>
          <w:lang w:val="fr-BE"/>
        </w:rPr>
        <w:t xml:space="preserve"> </w:t>
      </w:r>
      <w:r w:rsidR="00F653C6" w:rsidRPr="00B23CCF">
        <w:rPr>
          <w:rFonts w:ascii="Times New Roman" w:hAnsi="Times New Roman"/>
          <w:sz w:val="24"/>
          <w:szCs w:val="24"/>
          <w:lang w:val="fr-BE"/>
        </w:rPr>
        <w:t xml:space="preserve">Blais et al. </w:t>
      </w:r>
      <w:r w:rsidR="00F653C6">
        <w:rPr>
          <w:rFonts w:ascii="Times New Roman" w:hAnsi="Times New Roman"/>
          <w:sz w:val="24"/>
          <w:szCs w:val="24"/>
          <w:lang w:val="en-US"/>
        </w:rPr>
        <w:t>(</w:t>
      </w:r>
      <w:r w:rsidR="00B518DC" w:rsidRPr="00F653C6">
        <w:rPr>
          <w:rFonts w:ascii="Times New Roman" w:hAnsi="Times New Roman"/>
          <w:sz w:val="24"/>
          <w:szCs w:val="24"/>
          <w:lang w:val="en-US"/>
        </w:rPr>
        <w:t>2017</w:t>
      </w:r>
      <w:r w:rsidR="00F653C6">
        <w:rPr>
          <w:rFonts w:ascii="Times New Roman" w:hAnsi="Times New Roman"/>
          <w:sz w:val="24"/>
          <w:szCs w:val="24"/>
          <w:lang w:val="en-US"/>
        </w:rPr>
        <w:t>)</w:t>
      </w:r>
      <w:r w:rsidR="00B518DC" w:rsidRPr="00F653C6">
        <w:rPr>
          <w:rFonts w:ascii="Times New Roman" w:hAnsi="Times New Roman"/>
          <w:sz w:val="24"/>
          <w:szCs w:val="24"/>
          <w:lang w:val="en-US"/>
        </w:rPr>
        <w:t xml:space="preserve"> Reconciled rat and human metabolic networks for comparative </w:t>
      </w:r>
      <w:proofErr w:type="spellStart"/>
      <w:r w:rsidR="00B518DC" w:rsidRPr="00F653C6">
        <w:rPr>
          <w:rFonts w:ascii="Times New Roman" w:hAnsi="Times New Roman"/>
          <w:sz w:val="24"/>
          <w:szCs w:val="24"/>
          <w:lang w:val="en-US"/>
        </w:rPr>
        <w:t>toxigenomics</w:t>
      </w:r>
      <w:proofErr w:type="spellEnd"/>
      <w:r w:rsidR="00B518DC" w:rsidRPr="00F653C6">
        <w:rPr>
          <w:rFonts w:ascii="Times New Roman" w:hAnsi="Times New Roman"/>
          <w:sz w:val="24"/>
          <w:szCs w:val="24"/>
          <w:lang w:val="en-US"/>
        </w:rPr>
        <w:t xml:space="preserve"> and biomarker predictions. Nature Communications</w:t>
      </w:r>
      <w:r w:rsidR="009B5357">
        <w:rPr>
          <w:rFonts w:ascii="Times New Roman" w:hAnsi="Times New Roman"/>
          <w:sz w:val="24"/>
          <w:szCs w:val="24"/>
          <w:lang w:val="en-US"/>
        </w:rPr>
        <w:t>, 8:14250</w:t>
      </w:r>
    </w:p>
    <w:p w14:paraId="205F5CF7" w14:textId="77777777" w:rsidR="00C91FA5" w:rsidRPr="00F653C6" w:rsidRDefault="00C91FA5" w:rsidP="00B23CCF">
      <w:pPr>
        <w:pStyle w:val="NormalWeb"/>
        <w:spacing w:before="0" w:beforeAutospacing="0" w:after="0" w:afterAutospacing="0"/>
        <w:ind w:left="1080"/>
        <w:jc w:val="both"/>
        <w:rPr>
          <w:rFonts w:ascii="Times New Roman" w:hAnsi="Times New Roman"/>
          <w:bCs/>
          <w:color w:val="000000"/>
          <w:sz w:val="24"/>
          <w:szCs w:val="24"/>
          <w:lang w:val="en-US"/>
        </w:rPr>
      </w:pPr>
    </w:p>
    <w:p w14:paraId="1407E5FB" w14:textId="286C76C8" w:rsidR="00C91FA5" w:rsidRPr="00F653C6" w:rsidRDefault="00C91FA5" w:rsidP="00B23CCF">
      <w:pPr>
        <w:pStyle w:val="NormalWeb"/>
        <w:spacing w:before="0" w:beforeAutospacing="0" w:after="0" w:afterAutospacing="0"/>
        <w:ind w:left="360"/>
        <w:jc w:val="both"/>
        <w:rPr>
          <w:rFonts w:ascii="Times New Roman" w:hAnsi="Times New Roman"/>
          <w:bCs/>
          <w:color w:val="000000"/>
          <w:sz w:val="24"/>
          <w:szCs w:val="24"/>
          <w:lang w:val="en-US"/>
        </w:rPr>
      </w:pPr>
      <w:r w:rsidRPr="00F653C6">
        <w:rPr>
          <w:rFonts w:ascii="Times New Roman" w:hAnsi="Times New Roman"/>
          <w:bCs/>
          <w:color w:val="000000"/>
          <w:sz w:val="24"/>
          <w:szCs w:val="24"/>
          <w:lang w:val="en-US"/>
        </w:rPr>
        <w:t>Mouse model</w:t>
      </w:r>
    </w:p>
    <w:p w14:paraId="632174E3" w14:textId="17A75048" w:rsidR="00C91FA5" w:rsidRPr="00F653C6" w:rsidRDefault="00B23CCF" w:rsidP="00B23CCF">
      <w:pPr>
        <w:pStyle w:val="NormalWeb"/>
        <w:numPr>
          <w:ilvl w:val="0"/>
          <w:numId w:val="2"/>
        </w:numPr>
        <w:spacing w:before="0" w:beforeAutospacing="0" w:after="0" w:afterAutospacing="0"/>
        <w:ind w:left="1080"/>
        <w:jc w:val="both"/>
        <w:rPr>
          <w:rFonts w:ascii="Times New Roman" w:hAnsi="Times New Roman"/>
          <w:bCs/>
          <w:color w:val="000000"/>
          <w:sz w:val="24"/>
          <w:szCs w:val="24"/>
          <w:lang w:val="en-US"/>
        </w:rPr>
      </w:pPr>
      <w:r w:rsidRPr="00B23CCF">
        <w:rPr>
          <w:rFonts w:ascii="Times New Roman" w:hAnsi="Times New Roman"/>
          <w:bCs/>
          <w:color w:val="000000"/>
          <w:sz w:val="24"/>
          <w:szCs w:val="24"/>
          <w:lang w:val="fr-BE"/>
        </w:rPr>
        <w:t>Mouse_</w:t>
      </w:r>
      <w:r w:rsidR="00C91FA5" w:rsidRPr="00B23CCF">
        <w:rPr>
          <w:rFonts w:ascii="Times New Roman" w:hAnsi="Times New Roman"/>
          <w:bCs/>
          <w:color w:val="000000"/>
          <w:sz w:val="24"/>
          <w:szCs w:val="24"/>
          <w:lang w:val="fr-BE"/>
        </w:rPr>
        <w:t>iMM1415</w:t>
      </w:r>
      <w:r w:rsidR="000B4E8B" w:rsidRPr="00B23CCF">
        <w:rPr>
          <w:rFonts w:ascii="Times New Roman" w:hAnsi="Times New Roman"/>
          <w:bCs/>
          <w:color w:val="000000"/>
          <w:sz w:val="24"/>
          <w:szCs w:val="24"/>
          <w:lang w:val="fr-BE"/>
        </w:rPr>
        <w:t xml:space="preserve"> </w:t>
      </w:r>
      <w:r w:rsidR="00F653C6" w:rsidRPr="00B23CCF">
        <w:rPr>
          <w:rFonts w:ascii="Times New Roman" w:hAnsi="Times New Roman"/>
          <w:bCs/>
          <w:color w:val="000000"/>
          <w:sz w:val="24"/>
          <w:szCs w:val="24"/>
          <w:lang w:val="fr-BE"/>
        </w:rPr>
        <w:t xml:space="preserve">: </w:t>
      </w:r>
      <w:proofErr w:type="spellStart"/>
      <w:r w:rsidR="00F653C6" w:rsidRPr="00B23CCF">
        <w:rPr>
          <w:rFonts w:ascii="Times New Roman" w:hAnsi="Times New Roman"/>
          <w:bCs/>
          <w:color w:val="000000"/>
          <w:sz w:val="24"/>
          <w:szCs w:val="24"/>
          <w:lang w:val="fr-BE"/>
        </w:rPr>
        <w:t>Sigurdsson</w:t>
      </w:r>
      <w:proofErr w:type="spellEnd"/>
      <w:r w:rsidR="00F653C6" w:rsidRPr="00B23CCF">
        <w:rPr>
          <w:rFonts w:ascii="Times New Roman" w:hAnsi="Times New Roman"/>
          <w:bCs/>
          <w:color w:val="000000"/>
          <w:sz w:val="24"/>
          <w:szCs w:val="24"/>
          <w:lang w:val="fr-BE"/>
        </w:rPr>
        <w:t xml:space="preserve"> et al. </w:t>
      </w:r>
      <w:r w:rsidR="00F653C6">
        <w:rPr>
          <w:rFonts w:ascii="Times New Roman" w:hAnsi="Times New Roman"/>
          <w:bCs/>
          <w:color w:val="000000"/>
          <w:sz w:val="24"/>
          <w:szCs w:val="24"/>
          <w:lang w:val="en-US"/>
        </w:rPr>
        <w:t>(2010)</w:t>
      </w:r>
      <w:r w:rsidR="009F2116" w:rsidRPr="00F653C6">
        <w:rPr>
          <w:rFonts w:ascii="Times New Roman" w:hAnsi="Times New Roman"/>
          <w:bCs/>
          <w:color w:val="000000"/>
          <w:sz w:val="24"/>
          <w:szCs w:val="24"/>
          <w:lang w:val="en-US"/>
        </w:rPr>
        <w:t xml:space="preserve"> A detailed genome-wide reconstruction of mouse metabolism based on human Recon1. BMC Systems Biology,</w:t>
      </w:r>
      <w:r w:rsidR="000A102D">
        <w:rPr>
          <w:rFonts w:ascii="Times New Roman" w:hAnsi="Times New Roman"/>
          <w:bCs/>
          <w:color w:val="000000"/>
          <w:sz w:val="24"/>
          <w:szCs w:val="24"/>
          <w:lang w:val="en-US"/>
        </w:rPr>
        <w:t xml:space="preserve"> </w:t>
      </w:r>
      <w:r w:rsidR="009F2116" w:rsidRPr="00F653C6">
        <w:rPr>
          <w:rFonts w:ascii="Times New Roman" w:hAnsi="Times New Roman"/>
          <w:bCs/>
          <w:color w:val="000000"/>
          <w:sz w:val="24"/>
          <w:szCs w:val="24"/>
          <w:lang w:val="en-US"/>
        </w:rPr>
        <w:t>4:140.</w:t>
      </w:r>
    </w:p>
    <w:p w14:paraId="59B21964" w14:textId="77777777" w:rsidR="00C91FA5" w:rsidRPr="00F653C6" w:rsidRDefault="00C91FA5" w:rsidP="00B23CCF">
      <w:pPr>
        <w:pStyle w:val="NormalWeb"/>
        <w:spacing w:before="0" w:beforeAutospacing="0" w:after="0" w:afterAutospacing="0"/>
        <w:ind w:left="1080"/>
        <w:jc w:val="both"/>
        <w:rPr>
          <w:rFonts w:ascii="Times New Roman" w:hAnsi="Times New Roman"/>
          <w:bCs/>
          <w:color w:val="000000"/>
          <w:sz w:val="24"/>
          <w:szCs w:val="24"/>
          <w:lang w:val="en-US"/>
        </w:rPr>
      </w:pPr>
    </w:p>
    <w:p w14:paraId="60514261" w14:textId="29E54613" w:rsidR="00C91FA5" w:rsidRPr="00F653C6" w:rsidRDefault="00C91FA5" w:rsidP="00B23CCF">
      <w:pPr>
        <w:pStyle w:val="NormalWeb"/>
        <w:spacing w:before="0" w:beforeAutospacing="0" w:after="0" w:afterAutospacing="0"/>
        <w:ind w:left="360"/>
        <w:jc w:val="both"/>
        <w:rPr>
          <w:rFonts w:ascii="Times New Roman" w:hAnsi="Times New Roman"/>
          <w:bCs/>
          <w:color w:val="000000"/>
          <w:sz w:val="24"/>
          <w:szCs w:val="24"/>
          <w:lang w:val="en-US"/>
        </w:rPr>
      </w:pPr>
      <w:r w:rsidRPr="00F653C6">
        <w:rPr>
          <w:rFonts w:ascii="Times New Roman" w:hAnsi="Times New Roman"/>
          <w:bCs/>
          <w:color w:val="000000"/>
          <w:sz w:val="24"/>
          <w:szCs w:val="24"/>
          <w:lang w:val="en-US"/>
        </w:rPr>
        <w:t>CHO model</w:t>
      </w:r>
    </w:p>
    <w:p w14:paraId="739519A6" w14:textId="4C3F14A1" w:rsidR="00C91FA5" w:rsidRPr="00F653C6" w:rsidRDefault="00B23CCF" w:rsidP="00B23CCF">
      <w:pPr>
        <w:pStyle w:val="NormalWeb"/>
        <w:numPr>
          <w:ilvl w:val="0"/>
          <w:numId w:val="2"/>
        </w:numPr>
        <w:spacing w:before="0" w:beforeAutospacing="0" w:after="0" w:afterAutospacing="0"/>
        <w:ind w:left="1080"/>
        <w:jc w:val="both"/>
        <w:rPr>
          <w:rFonts w:ascii="Times New Roman" w:hAnsi="Times New Roman"/>
          <w:bCs/>
          <w:color w:val="000000"/>
          <w:sz w:val="24"/>
          <w:szCs w:val="24"/>
          <w:lang w:val="en-US"/>
        </w:rPr>
      </w:pPr>
      <w:proofErr w:type="spellStart"/>
      <w:r w:rsidRPr="00B23CCF">
        <w:rPr>
          <w:rFonts w:ascii="Times New Roman" w:hAnsi="Times New Roman"/>
          <w:bCs/>
          <w:color w:val="000000"/>
          <w:sz w:val="24"/>
          <w:szCs w:val="24"/>
          <w:lang w:val="fr-BE"/>
        </w:rPr>
        <w:t>CHO_</w:t>
      </w:r>
      <w:r w:rsidR="00C91FA5" w:rsidRPr="00B23CCF">
        <w:rPr>
          <w:rFonts w:ascii="Times New Roman" w:hAnsi="Times New Roman"/>
          <w:bCs/>
          <w:color w:val="000000"/>
          <w:sz w:val="24"/>
          <w:szCs w:val="24"/>
          <w:lang w:val="fr-BE"/>
        </w:rPr>
        <w:t>iCHOv</w:t>
      </w:r>
      <w:proofErr w:type="spellEnd"/>
      <w:r w:rsidR="000B4E8B" w:rsidRPr="00B23CCF">
        <w:rPr>
          <w:rFonts w:ascii="Times New Roman" w:hAnsi="Times New Roman"/>
          <w:bCs/>
          <w:color w:val="000000"/>
          <w:sz w:val="24"/>
          <w:szCs w:val="24"/>
          <w:lang w:val="fr-BE"/>
        </w:rPr>
        <w:t xml:space="preserve"> </w:t>
      </w:r>
      <w:r w:rsidR="00F653C6" w:rsidRPr="00B23CCF">
        <w:rPr>
          <w:rFonts w:ascii="Times New Roman" w:hAnsi="Times New Roman"/>
          <w:bCs/>
          <w:color w:val="000000"/>
          <w:sz w:val="24"/>
          <w:szCs w:val="24"/>
          <w:lang w:val="fr-BE"/>
        </w:rPr>
        <w:t xml:space="preserve">: </w:t>
      </w:r>
      <w:proofErr w:type="spellStart"/>
      <w:r w:rsidR="00F653C6" w:rsidRPr="00B23CCF">
        <w:rPr>
          <w:rFonts w:ascii="Times New Roman" w:hAnsi="Times New Roman"/>
          <w:bCs/>
          <w:color w:val="000000"/>
          <w:sz w:val="24"/>
          <w:szCs w:val="24"/>
          <w:lang w:val="fr-BE"/>
        </w:rPr>
        <w:t>Hefzi</w:t>
      </w:r>
      <w:proofErr w:type="spellEnd"/>
      <w:r w:rsidR="00F653C6" w:rsidRPr="00B23CCF">
        <w:rPr>
          <w:rFonts w:ascii="Times New Roman" w:hAnsi="Times New Roman"/>
          <w:bCs/>
          <w:color w:val="000000"/>
          <w:sz w:val="24"/>
          <w:szCs w:val="24"/>
          <w:lang w:val="fr-BE"/>
        </w:rPr>
        <w:t xml:space="preserve"> et al.</w:t>
      </w:r>
      <w:r w:rsidR="00B7037D" w:rsidRPr="00B23CCF">
        <w:rPr>
          <w:rFonts w:ascii="Times New Roman" w:hAnsi="Times New Roman"/>
          <w:bCs/>
          <w:color w:val="000000"/>
          <w:sz w:val="24"/>
          <w:szCs w:val="24"/>
          <w:lang w:val="fr-BE"/>
        </w:rPr>
        <w:t xml:space="preserve"> </w:t>
      </w:r>
      <w:r w:rsidR="00F653C6">
        <w:rPr>
          <w:rFonts w:ascii="Times New Roman" w:hAnsi="Times New Roman"/>
          <w:bCs/>
          <w:color w:val="000000"/>
          <w:sz w:val="24"/>
          <w:szCs w:val="24"/>
          <w:lang w:val="en-US"/>
        </w:rPr>
        <w:t>(</w:t>
      </w:r>
      <w:r w:rsidR="00B7037D" w:rsidRPr="00F653C6">
        <w:rPr>
          <w:rFonts w:ascii="Times New Roman" w:hAnsi="Times New Roman"/>
          <w:bCs/>
          <w:color w:val="000000"/>
          <w:sz w:val="24"/>
          <w:szCs w:val="24"/>
          <w:lang w:val="en-US"/>
        </w:rPr>
        <w:t>2016</w:t>
      </w:r>
      <w:r w:rsidR="00F653C6">
        <w:rPr>
          <w:rFonts w:ascii="Times New Roman" w:hAnsi="Times New Roman"/>
          <w:bCs/>
          <w:color w:val="000000"/>
          <w:sz w:val="24"/>
          <w:szCs w:val="24"/>
          <w:lang w:val="en-US"/>
        </w:rPr>
        <w:t>)</w:t>
      </w:r>
      <w:r w:rsidR="00B7037D" w:rsidRPr="00F653C6">
        <w:rPr>
          <w:rFonts w:ascii="Times New Roman" w:hAnsi="Times New Roman"/>
          <w:bCs/>
          <w:color w:val="000000"/>
          <w:sz w:val="24"/>
          <w:szCs w:val="24"/>
          <w:lang w:val="en-US"/>
        </w:rPr>
        <w:t xml:space="preserve"> A consensus Genome-scale reconstruction of Chinese Hamster Ovary cell metabolism. Cell Systems, 3(5):434-443.</w:t>
      </w:r>
    </w:p>
    <w:p w14:paraId="25476D6B" w14:textId="77777777" w:rsidR="00C91FA5" w:rsidRDefault="00C91FA5" w:rsidP="00B23CCF">
      <w:pPr>
        <w:pStyle w:val="NormalWeb"/>
        <w:spacing w:before="0" w:beforeAutospacing="0" w:after="0" w:afterAutospacing="0"/>
        <w:ind w:left="1080"/>
        <w:jc w:val="both"/>
        <w:rPr>
          <w:bCs/>
          <w:color w:val="000000"/>
          <w:sz w:val="24"/>
          <w:szCs w:val="24"/>
          <w:lang w:val="en-US"/>
        </w:rPr>
      </w:pPr>
    </w:p>
    <w:p w14:paraId="64158D94" w14:textId="77777777" w:rsidR="00C91FA5" w:rsidRPr="00C150F2" w:rsidRDefault="00C91FA5" w:rsidP="00B23CCF">
      <w:pPr>
        <w:pStyle w:val="NormalWeb"/>
        <w:spacing w:before="0" w:beforeAutospacing="0" w:after="0" w:afterAutospacing="0"/>
        <w:ind w:left="360"/>
        <w:jc w:val="both"/>
        <w:rPr>
          <w:bCs/>
          <w:color w:val="000000"/>
          <w:sz w:val="24"/>
          <w:szCs w:val="24"/>
          <w:lang w:val="en-US"/>
        </w:rPr>
      </w:pPr>
    </w:p>
    <w:p w14:paraId="4403A118" w14:textId="77777777" w:rsidR="00C150F2" w:rsidRDefault="00C150F2" w:rsidP="00B23CCF">
      <w:pPr>
        <w:pStyle w:val="NormalWeb"/>
        <w:spacing w:before="0" w:beforeAutospacing="0" w:after="0" w:afterAutospacing="0"/>
        <w:ind w:left="360"/>
        <w:jc w:val="both"/>
        <w:rPr>
          <w:b/>
          <w:bCs/>
          <w:color w:val="000000"/>
          <w:sz w:val="26"/>
          <w:szCs w:val="26"/>
          <w:lang w:val="en-US"/>
        </w:rPr>
      </w:pPr>
    </w:p>
    <w:p w14:paraId="3D65044D" w14:textId="25E63FBA" w:rsidR="00923C51" w:rsidRPr="003E2177" w:rsidRDefault="00B23CCF" w:rsidP="00B23CCF">
      <w:pPr>
        <w:pStyle w:val="NormalWeb"/>
        <w:spacing w:before="0" w:beforeAutospacing="0" w:after="0" w:afterAutospacing="0"/>
        <w:ind w:left="1080"/>
        <w:jc w:val="both"/>
        <w:rPr>
          <w:b/>
          <w:bCs/>
          <w:color w:val="000000"/>
          <w:sz w:val="26"/>
          <w:szCs w:val="26"/>
          <w:lang w:val="en-US"/>
        </w:rPr>
      </w:pPr>
      <w:r>
        <w:rPr>
          <w:b/>
          <w:bCs/>
          <w:color w:val="000000"/>
          <w:sz w:val="26"/>
          <w:szCs w:val="26"/>
          <w:lang w:val="en-US"/>
        </w:rPr>
        <w:t>Info</w:t>
      </w:r>
      <w:r w:rsidR="000234BB">
        <w:rPr>
          <w:b/>
          <w:bCs/>
          <w:color w:val="000000"/>
          <w:sz w:val="26"/>
          <w:szCs w:val="26"/>
          <w:lang w:val="en-US"/>
        </w:rPr>
        <w:t>r</w:t>
      </w:r>
      <w:r>
        <w:rPr>
          <w:b/>
          <w:bCs/>
          <w:color w:val="000000"/>
          <w:sz w:val="26"/>
          <w:szCs w:val="26"/>
          <w:lang w:val="en-US"/>
        </w:rPr>
        <w:t>m</w:t>
      </w:r>
      <w:r w:rsidR="000234BB">
        <w:rPr>
          <w:b/>
          <w:bCs/>
          <w:color w:val="000000"/>
          <w:sz w:val="26"/>
          <w:szCs w:val="26"/>
          <w:lang w:val="en-US"/>
        </w:rPr>
        <w:t>ation about the c</w:t>
      </w:r>
      <w:r w:rsidR="00923C51" w:rsidRPr="003E2177">
        <w:rPr>
          <w:b/>
          <w:bCs/>
          <w:color w:val="000000"/>
          <w:sz w:val="26"/>
          <w:szCs w:val="26"/>
          <w:lang w:val="en-US"/>
        </w:rPr>
        <w:t>uration of metabolic tasks</w:t>
      </w:r>
    </w:p>
    <w:p w14:paraId="6762E5BF" w14:textId="13DF6A24" w:rsidR="00923C51" w:rsidRPr="00A20BE9" w:rsidRDefault="00923C51" w:rsidP="00B23CCF">
      <w:pPr>
        <w:pStyle w:val="NormalWeb"/>
        <w:spacing w:before="0" w:beforeAutospacing="0" w:after="0" w:afterAutospacing="0"/>
        <w:ind w:left="360"/>
        <w:jc w:val="both"/>
        <w:rPr>
          <w:sz w:val="24"/>
          <w:szCs w:val="24"/>
          <w:lang w:val="en-US"/>
        </w:rPr>
      </w:pPr>
      <w:r w:rsidRPr="00A20BE9">
        <w:rPr>
          <w:color w:val="000000"/>
          <w:sz w:val="24"/>
          <w:szCs w:val="24"/>
          <w:lang w:val="en-US"/>
        </w:rPr>
        <w:t xml:space="preserve">The curation has been done by first taking the union of previously published lists of metabolic </w:t>
      </w:r>
      <w:proofErr w:type="gramStart"/>
      <w:r w:rsidRPr="00A20BE9">
        <w:rPr>
          <w:color w:val="000000"/>
          <w:sz w:val="24"/>
          <w:szCs w:val="24"/>
          <w:lang w:val="en-US"/>
        </w:rPr>
        <w:t>task</w:t>
      </w:r>
      <w:proofErr w:type="gramEnd"/>
      <w:r w:rsidRPr="00A20BE9">
        <w:rPr>
          <w:color w:val="000000"/>
          <w:sz w:val="24"/>
          <w:szCs w:val="24"/>
          <w:lang w:val="en-US"/>
        </w:rPr>
        <w:t xml:space="preserve"> (Recon2 and </w:t>
      </w:r>
      <w:proofErr w:type="spellStart"/>
      <w:r w:rsidRPr="00A20BE9">
        <w:rPr>
          <w:color w:val="000000"/>
          <w:sz w:val="24"/>
          <w:szCs w:val="24"/>
          <w:lang w:val="en-US"/>
        </w:rPr>
        <w:t>iHsa</w:t>
      </w:r>
      <w:proofErr w:type="spellEnd"/>
      <w:r w:rsidRPr="00A20BE9">
        <w:rPr>
          <w:color w:val="000000"/>
          <w:sz w:val="24"/>
          <w:szCs w:val="24"/>
          <w:lang w:val="en-US"/>
        </w:rPr>
        <w:t>). We removed duplicated tasks or lumped the ones that were relying on the description of similar metabolic functions. Each remaining task for which we didn’t found significant biological evidence has been removed. We also created 9 new tasks that were essential for the acquisition of already described metabolic function (i.e. intermediary biosynthetic steps for the acquisition of a task). Doing so, we obtained a collection of 195 tasks associated to 7 systems (energy, nucleotide, carbohydrates, amino acid, lipid, vitamin &amp; cofactor and glycan metabolism)</w:t>
      </w:r>
      <w:r w:rsidR="001A5927" w:rsidRPr="00A20BE9">
        <w:rPr>
          <w:color w:val="000000"/>
          <w:sz w:val="24"/>
          <w:szCs w:val="24"/>
          <w:lang w:val="en-US"/>
        </w:rPr>
        <w:t>.</w:t>
      </w:r>
    </w:p>
    <w:p w14:paraId="44F2A80B" w14:textId="4DD6FD3B" w:rsidR="00CE047B" w:rsidRDefault="00CE047B" w:rsidP="00CE047B">
      <w:pPr>
        <w:ind w:left="360"/>
      </w:pPr>
    </w:p>
    <w:p w14:paraId="4BBDA01E" w14:textId="44B47704" w:rsidR="00541CAE" w:rsidRDefault="00541CAE" w:rsidP="00CE047B">
      <w:pPr>
        <w:ind w:left="360"/>
      </w:pPr>
    </w:p>
    <w:p w14:paraId="5A469F4E" w14:textId="77777777" w:rsidR="00541CAE" w:rsidRPr="00832056" w:rsidRDefault="00541CAE" w:rsidP="00CE047B">
      <w:pPr>
        <w:ind w:left="360"/>
      </w:pPr>
    </w:p>
    <w:sectPr w:rsidR="00541CAE" w:rsidRPr="00832056" w:rsidSect="009B2141">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2F0E"/>
    <w:multiLevelType w:val="hybridMultilevel"/>
    <w:tmpl w:val="B3181770"/>
    <w:lvl w:ilvl="0" w:tplc="86F26808">
      <w:start w:val="1"/>
      <w:numFmt w:val="bullet"/>
      <w:lvlText w:val="-"/>
      <w:lvlJc w:val="left"/>
      <w:pPr>
        <w:ind w:left="1068" w:hanging="360"/>
      </w:pPr>
      <w:rPr>
        <w:rFonts w:ascii="Times New Roman" w:eastAsiaTheme="minorEastAsia" w:hAnsi="Times New Roman" w:cs="Times New Roman"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FCA0EE0"/>
    <w:multiLevelType w:val="hybridMultilevel"/>
    <w:tmpl w:val="CD3058A8"/>
    <w:lvl w:ilvl="0" w:tplc="040C000F">
      <w:start w:val="1"/>
      <w:numFmt w:val="decimal"/>
      <w:lvlText w:val="%1."/>
      <w:lvlJc w:val="left"/>
      <w:pPr>
        <w:ind w:left="720" w:hanging="360"/>
      </w:pPr>
      <w:rPr>
        <w:rFonts w:hint="default"/>
        <w:i/>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C0577"/>
    <w:multiLevelType w:val="hybridMultilevel"/>
    <w:tmpl w:val="5188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A2FC7"/>
    <w:multiLevelType w:val="hybridMultilevel"/>
    <w:tmpl w:val="5DA28394"/>
    <w:lvl w:ilvl="0" w:tplc="86F26808">
      <w:start w:val="1"/>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135F9C"/>
    <w:multiLevelType w:val="hybridMultilevel"/>
    <w:tmpl w:val="D5F6F498"/>
    <w:lvl w:ilvl="0" w:tplc="EEFCF92E">
      <w:start w:val="1"/>
      <w:numFmt w:val="lowerRoman"/>
      <w:lvlText w:val="%1."/>
      <w:lvlJc w:val="left"/>
      <w:pPr>
        <w:ind w:left="1080" w:hanging="720"/>
      </w:pPr>
      <w:rPr>
        <w:rFonts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10635"/>
    <w:multiLevelType w:val="hybridMultilevel"/>
    <w:tmpl w:val="8CF4F3E4"/>
    <w:lvl w:ilvl="0" w:tplc="86F26808">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7F53A5"/>
    <w:multiLevelType w:val="hybridMultilevel"/>
    <w:tmpl w:val="21D6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658DD"/>
    <w:multiLevelType w:val="hybridMultilevel"/>
    <w:tmpl w:val="D38C37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A80397"/>
    <w:multiLevelType w:val="hybridMultilevel"/>
    <w:tmpl w:val="613A7E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E9045F"/>
    <w:multiLevelType w:val="multilevel"/>
    <w:tmpl w:val="DF7AC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E2DAD"/>
    <w:multiLevelType w:val="hybridMultilevel"/>
    <w:tmpl w:val="0F64AB20"/>
    <w:lvl w:ilvl="0" w:tplc="86F26808">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593141"/>
    <w:multiLevelType w:val="hybridMultilevel"/>
    <w:tmpl w:val="9F447CAC"/>
    <w:lvl w:ilvl="0" w:tplc="86F26808">
      <w:start w:val="1"/>
      <w:numFmt w:val="bullet"/>
      <w:lvlText w:val="-"/>
      <w:lvlJc w:val="left"/>
      <w:pPr>
        <w:ind w:left="1068" w:hanging="360"/>
      </w:pPr>
      <w:rPr>
        <w:rFonts w:ascii="Times New Roman" w:eastAsiaTheme="minorEastAsia" w:hAnsi="Times New Roman" w:cs="Times New Roman"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7D621DD"/>
    <w:multiLevelType w:val="hybridMultilevel"/>
    <w:tmpl w:val="36F0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2"/>
  </w:num>
  <w:num w:numId="6">
    <w:abstractNumId w:val="7"/>
  </w:num>
  <w:num w:numId="7">
    <w:abstractNumId w:val="10"/>
  </w:num>
  <w:num w:numId="8">
    <w:abstractNumId w:val="5"/>
  </w:num>
  <w:num w:numId="9">
    <w:abstractNumId w:val="11"/>
  </w:num>
  <w:num w:numId="10">
    <w:abstractNumId w:val="0"/>
  </w:num>
  <w:num w:numId="11">
    <w:abstractNumId w:val="9"/>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56"/>
    <w:rsid w:val="00004419"/>
    <w:rsid w:val="00014F19"/>
    <w:rsid w:val="0002068F"/>
    <w:rsid w:val="000234BB"/>
    <w:rsid w:val="000A102D"/>
    <w:rsid w:val="000B4E8B"/>
    <w:rsid w:val="001A5927"/>
    <w:rsid w:val="001B3B9C"/>
    <w:rsid w:val="002427DA"/>
    <w:rsid w:val="002A1411"/>
    <w:rsid w:val="002A479C"/>
    <w:rsid w:val="002C08AC"/>
    <w:rsid w:val="00324E6E"/>
    <w:rsid w:val="00347CC3"/>
    <w:rsid w:val="00373394"/>
    <w:rsid w:val="003B56C0"/>
    <w:rsid w:val="003F7898"/>
    <w:rsid w:val="004012C1"/>
    <w:rsid w:val="0051391F"/>
    <w:rsid w:val="00541CAE"/>
    <w:rsid w:val="006006B4"/>
    <w:rsid w:val="00643145"/>
    <w:rsid w:val="006904CC"/>
    <w:rsid w:val="007579AD"/>
    <w:rsid w:val="00812FCA"/>
    <w:rsid w:val="00832056"/>
    <w:rsid w:val="008A222C"/>
    <w:rsid w:val="00923C51"/>
    <w:rsid w:val="009B2141"/>
    <w:rsid w:val="009B5357"/>
    <w:rsid w:val="009F2116"/>
    <w:rsid w:val="00A20BE9"/>
    <w:rsid w:val="00A20E49"/>
    <w:rsid w:val="00B23CCF"/>
    <w:rsid w:val="00B330F2"/>
    <w:rsid w:val="00B47AD6"/>
    <w:rsid w:val="00B518DC"/>
    <w:rsid w:val="00B7037D"/>
    <w:rsid w:val="00C150F2"/>
    <w:rsid w:val="00C26C4B"/>
    <w:rsid w:val="00C91FA5"/>
    <w:rsid w:val="00CE047B"/>
    <w:rsid w:val="00CF3383"/>
    <w:rsid w:val="00DD2B24"/>
    <w:rsid w:val="00E45501"/>
    <w:rsid w:val="00E75652"/>
    <w:rsid w:val="00E84A77"/>
    <w:rsid w:val="00EB2A5E"/>
    <w:rsid w:val="00F653C6"/>
    <w:rsid w:val="00FF04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22237AE"/>
  <w14:defaultImageDpi w14:val="300"/>
  <w15:docId w15:val="{40807FB4-3CB9-4DBD-9216-40ACE68D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056"/>
    <w:pPr>
      <w:ind w:left="720"/>
      <w:contextualSpacing/>
    </w:pPr>
  </w:style>
  <w:style w:type="character" w:styleId="Hyperlink">
    <w:name w:val="Hyperlink"/>
    <w:basedOn w:val="DefaultParagraphFont"/>
    <w:uiPriority w:val="99"/>
    <w:unhideWhenUsed/>
    <w:rsid w:val="00CE047B"/>
    <w:rPr>
      <w:color w:val="0000FF"/>
      <w:u w:val="single"/>
    </w:rPr>
  </w:style>
  <w:style w:type="character" w:styleId="FollowedHyperlink">
    <w:name w:val="FollowedHyperlink"/>
    <w:basedOn w:val="DefaultParagraphFont"/>
    <w:uiPriority w:val="99"/>
    <w:semiHidden/>
    <w:unhideWhenUsed/>
    <w:rsid w:val="00CE047B"/>
    <w:rPr>
      <w:color w:val="800080" w:themeColor="followedHyperlink"/>
      <w:u w:val="single"/>
    </w:rPr>
  </w:style>
  <w:style w:type="paragraph" w:styleId="NoSpacing">
    <w:name w:val="No Spacing"/>
    <w:uiPriority w:val="1"/>
    <w:qFormat/>
    <w:rsid w:val="00B330F2"/>
    <w:rPr>
      <w:rFonts w:ascii="Calibri" w:eastAsia="Calibri" w:hAnsi="Calibri"/>
      <w:sz w:val="22"/>
      <w:szCs w:val="22"/>
      <w:lang w:eastAsia="en-US"/>
    </w:rPr>
  </w:style>
  <w:style w:type="paragraph" w:styleId="NormalWeb">
    <w:name w:val="Normal (Web)"/>
    <w:basedOn w:val="Normal"/>
    <w:uiPriority w:val="99"/>
    <w:unhideWhenUsed/>
    <w:rsid w:val="00923C51"/>
    <w:pPr>
      <w:spacing w:before="100" w:beforeAutospacing="1" w:after="100" w:afterAutospacing="1"/>
    </w:pPr>
    <w:rPr>
      <w:rFonts w:ascii="Times" w:hAnsi="Times"/>
      <w:sz w:val="20"/>
      <w:szCs w:val="20"/>
      <w:lang w:val="fr-FR"/>
    </w:rPr>
  </w:style>
  <w:style w:type="character" w:styleId="UnresolvedMention">
    <w:name w:val="Unresolved Mention"/>
    <w:basedOn w:val="DefaultParagraphFont"/>
    <w:uiPriority w:val="99"/>
    <w:semiHidden/>
    <w:unhideWhenUsed/>
    <w:rsid w:val="00541CAE"/>
    <w:rPr>
      <w:color w:val="808080"/>
      <w:shd w:val="clear" w:color="auto" w:fill="E6E6E6"/>
    </w:rPr>
  </w:style>
  <w:style w:type="paragraph" w:styleId="z-TopofForm">
    <w:name w:val="HTML Top of Form"/>
    <w:basedOn w:val="Normal"/>
    <w:next w:val="Normal"/>
    <w:link w:val="z-TopofFormChar"/>
    <w:hidden/>
    <w:uiPriority w:val="99"/>
    <w:semiHidden/>
    <w:unhideWhenUsed/>
    <w:rsid w:val="000234BB"/>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0234BB"/>
    <w:rPr>
      <w:rFonts w:ascii="Arial" w:eastAsia="Times New Roman" w:hAnsi="Arial" w:cs="Arial"/>
      <w:vanish/>
      <w:sz w:val="16"/>
      <w:szCs w:val="16"/>
      <w:lang w:val="en-US" w:eastAsia="en-US"/>
    </w:rPr>
  </w:style>
  <w:style w:type="paragraph" w:customStyle="1" w:styleId="narrow">
    <w:name w:val="narrow"/>
    <w:basedOn w:val="Normal"/>
    <w:rsid w:val="000234BB"/>
    <w:pPr>
      <w:spacing w:before="100" w:beforeAutospacing="1" w:after="100" w:afterAutospacing="1"/>
    </w:pPr>
    <w:rPr>
      <w:rFonts w:eastAsia="Times New Roman"/>
      <w:lang w:eastAsia="en-US"/>
    </w:rPr>
  </w:style>
  <w:style w:type="paragraph" w:styleId="z-BottomofForm">
    <w:name w:val="HTML Bottom of Form"/>
    <w:basedOn w:val="Normal"/>
    <w:next w:val="Normal"/>
    <w:link w:val="z-BottomofFormChar"/>
    <w:hidden/>
    <w:uiPriority w:val="99"/>
    <w:semiHidden/>
    <w:unhideWhenUsed/>
    <w:rsid w:val="000234BB"/>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0234BB"/>
    <w:rPr>
      <w:rFonts w:ascii="Arial" w:eastAsia="Times New Roman"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8508">
      <w:bodyDiv w:val="1"/>
      <w:marLeft w:val="0"/>
      <w:marRight w:val="0"/>
      <w:marTop w:val="0"/>
      <w:marBottom w:val="0"/>
      <w:divBdr>
        <w:top w:val="none" w:sz="0" w:space="0" w:color="auto"/>
        <w:left w:val="none" w:sz="0" w:space="0" w:color="auto"/>
        <w:bottom w:val="none" w:sz="0" w:space="0" w:color="auto"/>
        <w:right w:val="none" w:sz="0" w:space="0" w:color="auto"/>
      </w:divBdr>
      <w:divsChild>
        <w:div w:id="818498559">
          <w:marLeft w:val="0"/>
          <w:marRight w:val="0"/>
          <w:marTop w:val="0"/>
          <w:marBottom w:val="0"/>
          <w:divBdr>
            <w:top w:val="none" w:sz="0" w:space="0" w:color="auto"/>
            <w:left w:val="none" w:sz="0" w:space="0" w:color="auto"/>
            <w:bottom w:val="none" w:sz="0" w:space="0" w:color="auto"/>
            <w:right w:val="none" w:sz="0" w:space="0" w:color="auto"/>
          </w:divBdr>
          <w:divsChild>
            <w:div w:id="1116679839">
              <w:marLeft w:val="0"/>
              <w:marRight w:val="0"/>
              <w:marTop w:val="0"/>
              <w:marBottom w:val="0"/>
              <w:divBdr>
                <w:top w:val="none" w:sz="0" w:space="0" w:color="auto"/>
                <w:left w:val="none" w:sz="0" w:space="0" w:color="auto"/>
                <w:bottom w:val="none" w:sz="0" w:space="0" w:color="auto"/>
                <w:right w:val="none" w:sz="0" w:space="0" w:color="auto"/>
              </w:divBdr>
              <w:divsChild>
                <w:div w:id="6746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22463">
      <w:bodyDiv w:val="1"/>
      <w:marLeft w:val="0"/>
      <w:marRight w:val="0"/>
      <w:marTop w:val="0"/>
      <w:marBottom w:val="0"/>
      <w:divBdr>
        <w:top w:val="none" w:sz="0" w:space="0" w:color="auto"/>
        <w:left w:val="none" w:sz="0" w:space="0" w:color="auto"/>
        <w:bottom w:val="none" w:sz="0" w:space="0" w:color="auto"/>
        <w:right w:val="none" w:sz="0" w:space="0" w:color="auto"/>
      </w:divBdr>
    </w:div>
    <w:div w:id="1842162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cbi.1006867.s006" TargetMode="External"/><Relationship Id="rId5" Type="http://schemas.openxmlformats.org/officeDocument/2006/relationships/hyperlink" Target="mailto:aricheller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Richelle</dc:creator>
  <cp:keywords/>
  <dc:description/>
  <cp:lastModifiedBy>Anne Richelle</cp:lastModifiedBy>
  <cp:revision>2</cp:revision>
  <dcterms:created xsi:type="dcterms:W3CDTF">2020-02-20T15:00:00Z</dcterms:created>
  <dcterms:modified xsi:type="dcterms:W3CDTF">2020-02-20T15:00:00Z</dcterms:modified>
</cp:coreProperties>
</file>