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820CF" w14:textId="139CE6B0" w:rsidR="00203AB5" w:rsidRDefault="00FF4B0E">
      <w:r>
        <w:t>Translocation:</w:t>
      </w:r>
    </w:p>
    <w:p w14:paraId="30D22DB1" w14:textId="407BCC51" w:rsidR="00FF4B0E" w:rsidRDefault="00FF4B0E" w:rsidP="00FF4B0E">
      <w:pPr>
        <w:pStyle w:val="ListParagraph"/>
        <w:numPr>
          <w:ilvl w:val="0"/>
          <w:numId w:val="1"/>
        </w:numPr>
      </w:pPr>
      <w:r w:rsidRPr="00FF4B0E">
        <w:t>Targeting signals to the endoplasmic reticulum consist of two categories: signal recognition particle (SRP)-dependent, co-translational targeting (reviewed in [</w:t>
      </w:r>
      <w:hyperlink r:id="rId5" w:anchor="B2-ijms-22-06284" w:history="1">
        <w:r w:rsidRPr="00FF4B0E">
          <w:rPr>
            <w:rStyle w:val="Hyperlink"/>
          </w:rPr>
          <w:t>2</w:t>
        </w:r>
      </w:hyperlink>
      <w:r w:rsidRPr="00FF4B0E">
        <w:t>]) and SRP-independent, post-translational targeting. SRP-independent targeting in mammals includes small secretory proteins [</w:t>
      </w:r>
      <w:hyperlink r:id="rId6" w:anchor="B20-ijms-22-06284" w:history="1">
        <w:r w:rsidRPr="00FF4B0E">
          <w:rPr>
            <w:rStyle w:val="Hyperlink"/>
          </w:rPr>
          <w:t>20</w:t>
        </w:r>
      </w:hyperlink>
      <w:r w:rsidRPr="00FF4B0E">
        <w:t>,</w:t>
      </w:r>
      <w:hyperlink r:id="rId7" w:anchor="B21-ijms-22-06284" w:history="1">
        <w:r w:rsidRPr="00FF4B0E">
          <w:rPr>
            <w:rStyle w:val="Hyperlink"/>
          </w:rPr>
          <w:t>21</w:t>
        </w:r>
      </w:hyperlink>
      <w:r w:rsidRPr="00FF4B0E">
        <w:t>,</w:t>
      </w:r>
      <w:hyperlink r:id="rId8" w:anchor="B22-ijms-22-06284" w:history="1">
        <w:r w:rsidRPr="00FF4B0E">
          <w:rPr>
            <w:rStyle w:val="Hyperlink"/>
          </w:rPr>
          <w:t>22</w:t>
        </w:r>
      </w:hyperlink>
      <w:r w:rsidRPr="00FF4B0E">
        <w:t>], tail-anchored proteins [</w:t>
      </w:r>
      <w:hyperlink r:id="rId9" w:anchor="B23-ijms-22-06284" w:history="1">
        <w:r w:rsidRPr="00FF4B0E">
          <w:rPr>
            <w:rStyle w:val="Hyperlink"/>
          </w:rPr>
          <w:t>23</w:t>
        </w:r>
      </w:hyperlink>
      <w:r w:rsidRPr="00FF4B0E">
        <w:t>,</w:t>
      </w:r>
      <w:hyperlink r:id="rId10" w:anchor="B24-ijms-22-06284" w:history="1">
        <w:r w:rsidRPr="00FF4B0E">
          <w:rPr>
            <w:rStyle w:val="Hyperlink"/>
          </w:rPr>
          <w:t>24</w:t>
        </w:r>
      </w:hyperlink>
      <w:r w:rsidRPr="00FF4B0E">
        <w:t>], and other proteins not efficiently recognized by SRP [</w:t>
      </w:r>
      <w:hyperlink r:id="rId11" w:anchor="B25-ijms-22-06284" w:history="1">
        <w:r w:rsidRPr="00FF4B0E">
          <w:rPr>
            <w:rStyle w:val="Hyperlink"/>
          </w:rPr>
          <w:t>25</w:t>
        </w:r>
      </w:hyperlink>
      <w:r w:rsidRPr="00FF4B0E">
        <w:t>,</w:t>
      </w:r>
      <w:hyperlink r:id="rId12" w:anchor="B26-ijms-22-06284" w:history="1">
        <w:r w:rsidRPr="00FF4B0E">
          <w:rPr>
            <w:rStyle w:val="Hyperlink"/>
          </w:rPr>
          <w:t>26</w:t>
        </w:r>
      </w:hyperlink>
      <w:r w:rsidRPr="00FF4B0E">
        <w:t>]. </w:t>
      </w:r>
      <w:r>
        <w:t>[</w:t>
      </w:r>
      <w:hyperlink r:id="rId13" w:tgtFrame="_blank" w:history="1">
        <w:r w:rsidRPr="00FF4B0E">
          <w:rPr>
            <w:rStyle w:val="Hyperlink"/>
          </w:rPr>
          <w:t>10.3390/ijms22126284</w:t>
        </w:r>
      </w:hyperlink>
      <w:r>
        <w:t>]</w:t>
      </w:r>
    </w:p>
    <w:p w14:paraId="685A1478" w14:textId="1C4D95E0" w:rsidR="00667419" w:rsidRDefault="00667419" w:rsidP="00667419"/>
    <w:p w14:paraId="677B6AF2" w14:textId="18BB1D77" w:rsidR="00667419" w:rsidRDefault="00667419" w:rsidP="00667419">
      <w:r>
        <w:t>ERAD</w:t>
      </w:r>
    </w:p>
    <w:p w14:paraId="5D662509" w14:textId="0F777AD4" w:rsidR="00667419" w:rsidRDefault="00667419" w:rsidP="00667419">
      <w:pPr>
        <w:pStyle w:val="ListParagraph"/>
        <w:numPr>
          <w:ilvl w:val="0"/>
          <w:numId w:val="1"/>
        </w:numPr>
      </w:pPr>
      <w:r>
        <w:t>Recognition</w:t>
      </w:r>
    </w:p>
    <w:p w14:paraId="75AFDA13" w14:textId="3165715B" w:rsidR="00667419" w:rsidRDefault="00667419" w:rsidP="00667419">
      <w:pPr>
        <w:pStyle w:val="ListParagraph"/>
        <w:numPr>
          <w:ilvl w:val="1"/>
          <w:numId w:val="1"/>
        </w:numPr>
      </w:pPr>
      <w:r w:rsidRPr="00667419">
        <w:t>The HRD1 E3 ubiquitin ligase, which is embedded in the ER membrane, is involved in translocating ERAD substrates across the ER membrane and catalyzing substrate ubiquitination via its cytosolic RING finger domain</w:t>
      </w:r>
      <w:hyperlink r:id="rId14" w:anchor="ref-CR10" w:tooltip="Gardner, R. G. et al. Endoplasmic reticulum degradation requires lumen to cytosol signaling transmembrane control of Hrd1p by Hrd3p. J Cell Biol 151, 69–82 (2000)." w:history="1">
        <w:r w:rsidRPr="00667419">
          <w:rPr>
            <w:rStyle w:val="Hyperlink"/>
          </w:rPr>
          <w:t>10</w:t>
        </w:r>
      </w:hyperlink>
      <w:r w:rsidRPr="00667419">
        <w:t>. SEL1L, the mammalian homolog of Hrd3p, associates with HRD1, mediates HRD1 interactions with the ER luminal lectin OS9 and recognizes substrates to be degraded</w:t>
      </w:r>
      <w:hyperlink r:id="rId15" w:anchor="ref-CR6" w:tooltip="Christianson, J. C., Shaler, T. A., Tyler, R. E. &amp; Kopito, R. R. OS-9 and GRP94 deliver mutant α1-antitrypsin to the Hrd1–SEL1L ubiquitin ligase complex for ERAD. Nat Cell Biol 10, 272–282 (2008)." w:history="1">
        <w:r w:rsidRPr="00667419">
          <w:rPr>
            <w:rStyle w:val="Hyperlink"/>
          </w:rPr>
          <w:t>6</w:t>
        </w:r>
      </w:hyperlink>
      <w:r w:rsidRPr="00667419">
        <w:rPr>
          <w:vertAlign w:val="superscript"/>
        </w:rPr>
        <w:t>,</w:t>
      </w:r>
      <w:hyperlink r:id="rId16" w:anchor="ref-CR11" w:tooltip="Bernasconi, R., Galli, C., Calanca, V., Nakajima, T. &amp; Molinari, M. Stringent requirement for HRD1, SEL1L and OS-9/XTP3-B for disposal of ERAD-LS substrates. J Cell Biol 188, 223–235 (2010)." w:history="1">
        <w:r w:rsidRPr="00667419">
          <w:rPr>
            <w:rStyle w:val="Hyperlink"/>
          </w:rPr>
          <w:t>11</w:t>
        </w:r>
      </w:hyperlink>
      <w:r w:rsidRPr="00667419">
        <w:rPr>
          <w:vertAlign w:val="superscript"/>
        </w:rPr>
        <w:t>,</w:t>
      </w:r>
      <w:hyperlink r:id="rId17" w:anchor="ref-CR12" w:tooltip="Gauss, R., Jarosch, E., Sommer, T. &amp; Hirsch, C. A complex of Yos9p and the HRD ligase integrates endoplasmic reticulum quality control into the degradation machinery. Nat Cell Biol 8, 849–854 (2006)." w:history="1">
        <w:r w:rsidRPr="00667419">
          <w:rPr>
            <w:rStyle w:val="Hyperlink"/>
          </w:rPr>
          <w:t>12</w:t>
        </w:r>
      </w:hyperlink>
      <w:r w:rsidRPr="00667419">
        <w:rPr>
          <w:vertAlign w:val="superscript"/>
        </w:rPr>
        <w:t>,</w:t>
      </w:r>
      <w:hyperlink r:id="rId18" w:anchor="ref-CR13" w:tooltip="Lilley, B. N. &amp; Ploegh, H. L. Multiprotein complexes that link dislocation, ubiquitination and extraction of misfolded proteins from the endoplasmic reticulum membrane. Proc Natl Acad Sci USA 102, 14296–14301 (2005)." w:history="1">
        <w:r w:rsidRPr="00667419">
          <w:rPr>
            <w:rStyle w:val="Hyperlink"/>
          </w:rPr>
          <w:t>13</w:t>
        </w:r>
      </w:hyperlink>
      <w:r w:rsidRPr="00667419">
        <w:rPr>
          <w:vertAlign w:val="superscript"/>
        </w:rPr>
        <w:t>,</w:t>
      </w:r>
      <w:hyperlink r:id="rId19" w:anchor="ref-CR14" w:tooltip="Mueller, B., Klemm, E. J., Spooner, E., Claessen, J. H. &amp; Ploegh, H. L. SEL1L nucleates a protein complex required for dislocation of misfolded glycoproteins. Proc Natl Acad Sci USA 105, 12325–12330 (2008)." w:history="1">
        <w:r w:rsidRPr="00667419">
          <w:rPr>
            <w:rStyle w:val="Hyperlink"/>
          </w:rPr>
          <w:t>14</w:t>
        </w:r>
      </w:hyperlink>
      <w:r w:rsidRPr="00667419">
        <w:rPr>
          <w:vertAlign w:val="superscript"/>
        </w:rPr>
        <w:t>,</w:t>
      </w:r>
      <w:hyperlink r:id="rId20" w:anchor="ref-CR15" w:tooltip="Mueller, B., Lilley, B. N. &amp; Ploegh, H. L. SEL1L, the homologue of yeast Hrd3p, is involved in protein dislocation from the mammalian ER. J Cell Biol 175, 261–270 (2006)." w:history="1">
        <w:r w:rsidRPr="00667419">
          <w:rPr>
            <w:rStyle w:val="Hyperlink"/>
          </w:rPr>
          <w:t>15</w:t>
        </w:r>
      </w:hyperlink>
      <w:r w:rsidRPr="00667419">
        <w:t>. </w:t>
      </w:r>
      <w:r>
        <w:t>[</w:t>
      </w:r>
      <w:r w:rsidRPr="00667419">
        <w:t>10.1038/srep20261</w:t>
      </w:r>
      <w:r>
        <w:t>]</w:t>
      </w:r>
    </w:p>
    <w:p w14:paraId="107EAE75" w14:textId="5F3B87D2" w:rsidR="00572170" w:rsidRDefault="00572170" w:rsidP="00572170"/>
    <w:p w14:paraId="09D66706" w14:textId="134BA478" w:rsidR="00572170" w:rsidRDefault="00572170" w:rsidP="00572170">
      <w:r>
        <w:t>Golgi Processing</w:t>
      </w:r>
    </w:p>
    <w:p w14:paraId="57F1519B" w14:textId="7F6B5D07" w:rsidR="00572170" w:rsidRDefault="00572170" w:rsidP="00572170">
      <w:pPr>
        <w:pStyle w:val="ListParagraph"/>
        <w:numPr>
          <w:ilvl w:val="0"/>
          <w:numId w:val="1"/>
        </w:numPr>
      </w:pPr>
      <w:r>
        <w:t>N-glycan processing in the Golgi</w:t>
      </w:r>
    </w:p>
    <w:p w14:paraId="5DEC1CBA" w14:textId="168A7D63" w:rsidR="00572170" w:rsidRDefault="00572170" w:rsidP="00572170">
      <w:pPr>
        <w:pStyle w:val="ListParagraph"/>
        <w:numPr>
          <w:ilvl w:val="1"/>
          <w:numId w:val="1"/>
        </w:numPr>
      </w:pPr>
      <w:r w:rsidRPr="00572170">
        <w:rPr>
          <w:i/>
          <w:iCs/>
        </w:rPr>
        <w:t>N</w:t>
      </w:r>
      <w:r w:rsidRPr="00572170">
        <w:t>-linked oligosaccharides are processed within the </w:t>
      </w:r>
      <w:hyperlink r:id="rId21" w:history="1">
        <w:r w:rsidRPr="00572170">
          <w:rPr>
            <w:rStyle w:val="Hyperlink"/>
          </w:rPr>
          <w:t>Golgi apparatus</w:t>
        </w:r>
      </w:hyperlink>
      <w:r w:rsidRPr="00572170">
        <w:t> in an ordered sequence of reactions (</w:t>
      </w:r>
      <w:hyperlink r:id="rId22" w:tgtFrame="object" w:history="1">
        <w:r w:rsidRPr="00572170">
          <w:rPr>
            <w:rStyle w:val="Hyperlink"/>
          </w:rPr>
          <w:t>Figure 9.24</w:t>
        </w:r>
      </w:hyperlink>
      <w:r w:rsidRPr="00572170">
        <w:t>). The first modification of </w:t>
      </w:r>
      <w:hyperlink r:id="rId23" w:history="1">
        <w:r w:rsidRPr="00572170">
          <w:rPr>
            <w:rStyle w:val="Hyperlink"/>
          </w:rPr>
          <w:t>proteins</w:t>
        </w:r>
      </w:hyperlink>
      <w:r w:rsidRPr="00572170">
        <w:t> destined for secretion or for the </w:t>
      </w:r>
      <w:hyperlink r:id="rId24" w:history="1">
        <w:r w:rsidRPr="00572170">
          <w:rPr>
            <w:rStyle w:val="Hyperlink"/>
          </w:rPr>
          <w:t>plasma membrane</w:t>
        </w:r>
      </w:hyperlink>
      <w:r w:rsidRPr="00572170">
        <w:t> is the removal of three additional mannose residues. This is followed by the sequential addition of an </w:t>
      </w:r>
      <w:r w:rsidRPr="00572170">
        <w:rPr>
          <w:i/>
          <w:iCs/>
        </w:rPr>
        <w:t>N</w:t>
      </w:r>
      <w:r w:rsidRPr="00572170">
        <w:t>-acetylglucosamine, the removal of two more mannoses, and the addition of a fucose and two more </w:t>
      </w:r>
      <w:r w:rsidRPr="00572170">
        <w:rPr>
          <w:i/>
          <w:iCs/>
        </w:rPr>
        <w:t>N</w:t>
      </w:r>
      <w:r w:rsidRPr="00572170">
        <w:t>-acetylglucosamines. Finally, three galactose and three sialic acid residues are added. As noted in Chapter 7, different glycoproteins are modified to different extents during their passage through the Golgi, depending on both the structure of the protein and on the amount of processing </w:t>
      </w:r>
      <w:hyperlink r:id="rId25" w:history="1">
        <w:r w:rsidRPr="00572170">
          <w:rPr>
            <w:rStyle w:val="Hyperlink"/>
          </w:rPr>
          <w:t>enzymes</w:t>
        </w:r>
      </w:hyperlink>
      <w:r w:rsidRPr="00572170">
        <w:t> that are present within the Golgi complexes of different types of cells. Consequently, proteins can emerge from the Golgi with a variety of different </w:t>
      </w:r>
      <w:r w:rsidRPr="00572170">
        <w:rPr>
          <w:i/>
          <w:iCs/>
        </w:rPr>
        <w:t>N</w:t>
      </w:r>
      <w:r w:rsidRPr="00572170">
        <w:t>-linked oligosaccharides.</w:t>
      </w:r>
      <w:r>
        <w:t xml:space="preserve"> [</w:t>
      </w:r>
      <w:r w:rsidRPr="00572170">
        <w:t>https://www.ncbi.nlm.nih.gov/books/NBK9838/#:~:text=Protein%20processing%20within%20the%20Golgi,to%20proteins%20in%20the%20ER.</w:t>
      </w:r>
      <w:r>
        <w:t>]</w:t>
      </w:r>
    </w:p>
    <w:p w14:paraId="59F8F789" w14:textId="28557CBF" w:rsidR="006F7D42" w:rsidRDefault="006F7D42" w:rsidP="00D576CF">
      <w:pPr>
        <w:pStyle w:val="ListParagraph"/>
        <w:numPr>
          <w:ilvl w:val="1"/>
          <w:numId w:val="1"/>
        </w:numPr>
      </w:pPr>
      <w:r w:rsidRPr="006F7D42">
        <w:rPr>
          <w:rFonts w:asciiTheme="minorHAnsi" w:eastAsiaTheme="minorHAnsi" w:hAnsiTheme="minorHAnsi" w:cstheme="minorBidi"/>
        </w:rPr>
        <w:t>About half of all human proteins are glycoproteins, and most of them are </w:t>
      </w:r>
      <w:r w:rsidRPr="006F7D42">
        <w:rPr>
          <w:rFonts w:asciiTheme="minorHAnsi" w:eastAsiaTheme="minorHAnsi" w:hAnsiTheme="minorHAnsi" w:cstheme="minorBidi"/>
          <w:i/>
          <w:iCs/>
        </w:rPr>
        <w:t>N</w:t>
      </w:r>
      <w:r w:rsidRPr="006F7D42">
        <w:rPr>
          <w:rFonts w:asciiTheme="minorHAnsi" w:eastAsiaTheme="minorHAnsi" w:hAnsiTheme="minorHAnsi" w:cstheme="minorBidi"/>
        </w:rPr>
        <w:t>-glycosylated (</w:t>
      </w:r>
      <w:proofErr w:type="spellStart"/>
      <w:r w:rsidRPr="006F7D42">
        <w:rPr>
          <w:rFonts w:asciiTheme="minorHAnsi" w:eastAsiaTheme="minorHAnsi" w:hAnsiTheme="minorHAnsi" w:cstheme="minorBidi"/>
        </w:rPr>
        <w:fldChar w:fldCharType="begin"/>
      </w:r>
      <w:r w:rsidRPr="006F7D42">
        <w:rPr>
          <w:rFonts w:asciiTheme="minorHAnsi" w:eastAsiaTheme="minorHAnsi" w:hAnsiTheme="minorHAnsi" w:cstheme="minorBidi"/>
        </w:rPr>
        <w:instrText xml:space="preserve"> HYPERLINK "https://www.frontiersin.org/articles/10.3389/fcell.2021.665289/full" \l "B2" </w:instrText>
      </w:r>
      <w:r w:rsidRPr="006F7D42">
        <w:rPr>
          <w:rFonts w:asciiTheme="minorHAnsi" w:eastAsiaTheme="minorHAnsi" w:hAnsiTheme="minorHAnsi" w:cstheme="minorBidi"/>
        </w:rPr>
        <w:fldChar w:fldCharType="separate"/>
      </w:r>
      <w:r w:rsidRPr="006F7D42">
        <w:rPr>
          <w:rStyle w:val="Hyperlink"/>
        </w:rPr>
        <w:t>Apweiler</w:t>
      </w:r>
      <w:proofErr w:type="spellEnd"/>
      <w:r w:rsidRPr="006F7D42">
        <w:rPr>
          <w:rStyle w:val="Hyperlink"/>
        </w:rPr>
        <w:t xml:space="preserve"> et al., 1999</w:t>
      </w:r>
      <w:r w:rsidRPr="006F7D42">
        <w:rPr>
          <w:rFonts w:asciiTheme="minorHAnsi" w:eastAsiaTheme="minorHAnsi" w:hAnsiTheme="minorHAnsi" w:cstheme="minorBidi"/>
        </w:rPr>
        <w:fldChar w:fldCharType="end"/>
      </w:r>
      <w:r w:rsidRPr="006F7D42">
        <w:rPr>
          <w:rFonts w:asciiTheme="minorHAnsi" w:eastAsiaTheme="minorHAnsi" w:hAnsiTheme="minorHAnsi" w:cstheme="minorBidi"/>
        </w:rPr>
        <w:t>). </w:t>
      </w:r>
      <w:r w:rsidRPr="006F7D42">
        <w:rPr>
          <w:rFonts w:asciiTheme="minorHAnsi" w:eastAsiaTheme="minorHAnsi" w:hAnsiTheme="minorHAnsi" w:cstheme="minorBidi"/>
          <w:i/>
          <w:iCs/>
        </w:rPr>
        <w:t>N</w:t>
      </w:r>
      <w:r w:rsidRPr="006F7D42">
        <w:rPr>
          <w:rFonts w:asciiTheme="minorHAnsi" w:eastAsiaTheme="minorHAnsi" w:hAnsiTheme="minorHAnsi" w:cstheme="minorBidi"/>
        </w:rPr>
        <w:t xml:space="preserve">-glycans are synthesized as a lipid-linked oligosaccharide (LLO) precursor. When a new protein is synthesized, the 14-sugar chain GlcNAc2Man9Gluc3 of the LLO is transferred by the </w:t>
      </w:r>
      <w:proofErr w:type="spellStart"/>
      <w:r w:rsidRPr="006F7D42">
        <w:rPr>
          <w:rFonts w:asciiTheme="minorHAnsi" w:eastAsiaTheme="minorHAnsi" w:hAnsiTheme="minorHAnsi" w:cstheme="minorBidi"/>
        </w:rPr>
        <w:t>oligosaccharyltransferase</w:t>
      </w:r>
      <w:proofErr w:type="spellEnd"/>
      <w:r w:rsidRPr="006F7D42">
        <w:rPr>
          <w:rFonts w:asciiTheme="minorHAnsi" w:eastAsiaTheme="minorHAnsi" w:hAnsiTheme="minorHAnsi" w:cstheme="minorBidi"/>
        </w:rPr>
        <w:t xml:space="preserve"> (OST) to the amide group of the asparagine residue in the </w:t>
      </w:r>
      <w:proofErr w:type="spellStart"/>
      <w:r w:rsidRPr="006F7D42">
        <w:rPr>
          <w:rFonts w:asciiTheme="minorHAnsi" w:eastAsiaTheme="minorHAnsi" w:hAnsiTheme="minorHAnsi" w:cstheme="minorBidi"/>
        </w:rPr>
        <w:t>Asn</w:t>
      </w:r>
      <w:proofErr w:type="spellEnd"/>
      <w:r w:rsidRPr="006F7D42">
        <w:rPr>
          <w:rFonts w:asciiTheme="minorHAnsi" w:eastAsiaTheme="minorHAnsi" w:hAnsiTheme="minorHAnsi" w:cstheme="minorBidi"/>
        </w:rPr>
        <w:t>-X-Ser/</w:t>
      </w:r>
      <w:proofErr w:type="spellStart"/>
      <w:r w:rsidRPr="006F7D42">
        <w:rPr>
          <w:rFonts w:asciiTheme="minorHAnsi" w:eastAsiaTheme="minorHAnsi" w:hAnsiTheme="minorHAnsi" w:cstheme="minorBidi"/>
        </w:rPr>
        <w:t>Thr</w:t>
      </w:r>
      <w:proofErr w:type="spellEnd"/>
      <w:r w:rsidRPr="006F7D42">
        <w:rPr>
          <w:rFonts w:asciiTheme="minorHAnsi" w:eastAsiaTheme="minorHAnsi" w:hAnsiTheme="minorHAnsi" w:cstheme="minorBidi"/>
        </w:rPr>
        <w:t xml:space="preserve"> motif, where X is any amino acid except proline (</w:t>
      </w:r>
      <w:hyperlink r:id="rId26" w:anchor="B40" w:history="1">
        <w:r w:rsidRPr="006F7D42">
          <w:rPr>
            <w:rStyle w:val="Hyperlink"/>
          </w:rPr>
          <w:t>Kelleher and Gilmore, 2006</w:t>
        </w:r>
      </w:hyperlink>
      <w:r w:rsidRPr="006F7D42">
        <w:rPr>
          <w:rFonts w:asciiTheme="minorHAnsi" w:eastAsiaTheme="minorHAnsi" w:hAnsiTheme="minorHAnsi" w:cstheme="minorBidi"/>
        </w:rPr>
        <w:t>). Before the glycoprotein leaves the ER, all three glucose residues and one particular mannose residue are removed. The resulting </w:t>
      </w:r>
      <w:r w:rsidRPr="006F7D42">
        <w:rPr>
          <w:rFonts w:asciiTheme="minorHAnsi" w:eastAsiaTheme="minorHAnsi" w:hAnsiTheme="minorHAnsi" w:cstheme="minorBidi"/>
          <w:i/>
          <w:iCs/>
        </w:rPr>
        <w:t>N</w:t>
      </w:r>
      <w:r w:rsidRPr="006F7D42">
        <w:rPr>
          <w:rFonts w:asciiTheme="minorHAnsi" w:eastAsiaTheme="minorHAnsi" w:hAnsiTheme="minorHAnsi" w:cstheme="minorBidi"/>
        </w:rPr>
        <w:t>-glycans are referred to as the high-mannose subtype and further trimmed in the </w:t>
      </w:r>
      <w:r w:rsidRPr="006F7D42">
        <w:rPr>
          <w:rFonts w:asciiTheme="minorHAnsi" w:eastAsiaTheme="minorHAnsi" w:hAnsiTheme="minorHAnsi" w:cstheme="minorBidi"/>
          <w:i/>
          <w:iCs/>
        </w:rPr>
        <w:t>cis-</w:t>
      </w:r>
      <w:r w:rsidRPr="006F7D42">
        <w:rPr>
          <w:rFonts w:asciiTheme="minorHAnsi" w:eastAsiaTheme="minorHAnsi" w:hAnsiTheme="minorHAnsi" w:cstheme="minorBidi"/>
        </w:rPr>
        <w:t xml:space="preserve">Golgi. Subsequently, the decoration of </w:t>
      </w:r>
      <w:proofErr w:type="spellStart"/>
      <w:r w:rsidRPr="006F7D42">
        <w:rPr>
          <w:rFonts w:asciiTheme="minorHAnsi" w:eastAsiaTheme="minorHAnsi" w:hAnsiTheme="minorHAnsi" w:cstheme="minorBidi"/>
        </w:rPr>
        <w:t>GlcNAc</w:t>
      </w:r>
      <w:proofErr w:type="spellEnd"/>
      <w:r w:rsidRPr="006F7D42">
        <w:rPr>
          <w:rFonts w:asciiTheme="minorHAnsi" w:eastAsiaTheme="minorHAnsi" w:hAnsiTheme="minorHAnsi" w:cstheme="minorBidi"/>
        </w:rPr>
        <w:t xml:space="preserve"> on mannose yields sugar branches in the </w:t>
      </w:r>
      <w:r w:rsidRPr="006F7D42">
        <w:rPr>
          <w:rFonts w:asciiTheme="minorHAnsi" w:eastAsiaTheme="minorHAnsi" w:hAnsiTheme="minorHAnsi" w:cstheme="minorBidi"/>
          <w:i/>
          <w:iCs/>
        </w:rPr>
        <w:t>medial-</w:t>
      </w:r>
      <w:r w:rsidRPr="006F7D42">
        <w:rPr>
          <w:rFonts w:asciiTheme="minorHAnsi" w:eastAsiaTheme="minorHAnsi" w:hAnsiTheme="minorHAnsi" w:cstheme="minorBidi"/>
        </w:rPr>
        <w:t>Golgi. Attachment of galactose, sialic acid, and fucose in the </w:t>
      </w:r>
      <w:r w:rsidRPr="006F7D42">
        <w:rPr>
          <w:rFonts w:asciiTheme="minorHAnsi" w:eastAsiaTheme="minorHAnsi" w:hAnsiTheme="minorHAnsi" w:cstheme="minorBidi"/>
          <w:i/>
          <w:iCs/>
        </w:rPr>
        <w:t>trans-</w:t>
      </w:r>
      <w:r w:rsidRPr="006F7D42">
        <w:rPr>
          <w:rFonts w:asciiTheme="minorHAnsi" w:eastAsiaTheme="minorHAnsi" w:hAnsiTheme="minorHAnsi" w:cstheme="minorBidi"/>
        </w:rPr>
        <w:t>Golgi generates complex </w:t>
      </w:r>
      <w:r w:rsidRPr="006F7D42">
        <w:rPr>
          <w:rFonts w:asciiTheme="minorHAnsi" w:eastAsiaTheme="minorHAnsi" w:hAnsiTheme="minorHAnsi" w:cstheme="minorBidi"/>
          <w:i/>
          <w:iCs/>
        </w:rPr>
        <w:t>N</w:t>
      </w:r>
      <w:r w:rsidRPr="006F7D42">
        <w:rPr>
          <w:rFonts w:asciiTheme="minorHAnsi" w:eastAsiaTheme="minorHAnsi" w:hAnsiTheme="minorHAnsi" w:cstheme="minorBidi"/>
        </w:rPr>
        <w:t>-glycans (</w:t>
      </w:r>
      <w:hyperlink r:id="rId27" w:anchor="B78" w:history="1">
        <w:r w:rsidRPr="006F7D42">
          <w:rPr>
            <w:rStyle w:val="Hyperlink"/>
          </w:rPr>
          <w:t>Stanley et al., 2009</w:t>
        </w:r>
      </w:hyperlink>
      <w:r w:rsidRPr="006F7D42">
        <w:rPr>
          <w:rFonts w:asciiTheme="minorHAnsi" w:eastAsiaTheme="minorHAnsi" w:hAnsiTheme="minorHAnsi" w:cstheme="minorBidi"/>
        </w:rPr>
        <w:t>). One single protein could possess multiple sugar chains added to different amino acids. Notably, sugar chains could be processed diversely, resulting in hybrid </w:t>
      </w:r>
      <w:r w:rsidRPr="006F7D42">
        <w:rPr>
          <w:rFonts w:asciiTheme="minorHAnsi" w:eastAsiaTheme="minorHAnsi" w:hAnsiTheme="minorHAnsi" w:cstheme="minorBidi"/>
          <w:i/>
          <w:iCs/>
        </w:rPr>
        <w:t>N</w:t>
      </w:r>
      <w:r w:rsidRPr="006F7D42">
        <w:rPr>
          <w:rFonts w:asciiTheme="minorHAnsi" w:eastAsiaTheme="minorHAnsi" w:hAnsiTheme="minorHAnsi" w:cstheme="minorBidi"/>
        </w:rPr>
        <w:t xml:space="preserve">-glycans which </w:t>
      </w:r>
      <w:r w:rsidRPr="006F7D42">
        <w:rPr>
          <w:rFonts w:asciiTheme="minorHAnsi" w:eastAsiaTheme="minorHAnsi" w:hAnsiTheme="minorHAnsi" w:cstheme="minorBidi"/>
        </w:rPr>
        <w:lastRenderedPageBreak/>
        <w:t>harbor both high-mannose and complex characteristics (</w:t>
      </w:r>
      <w:hyperlink r:id="rId28" w:anchor="B85" w:history="1">
        <w:r w:rsidRPr="006F7D42">
          <w:rPr>
            <w:rStyle w:val="Hyperlink"/>
          </w:rPr>
          <w:t>Ungar, 2009</w:t>
        </w:r>
      </w:hyperlink>
      <w:r w:rsidRPr="006F7D42">
        <w:rPr>
          <w:rFonts w:asciiTheme="minorHAnsi" w:eastAsiaTheme="minorHAnsi" w:hAnsiTheme="minorHAnsi" w:cstheme="minorBidi"/>
        </w:rPr>
        <w:t>). Therefore, the precise </w:t>
      </w:r>
      <w:r w:rsidRPr="006F7D42">
        <w:rPr>
          <w:rFonts w:asciiTheme="minorHAnsi" w:eastAsiaTheme="minorHAnsi" w:hAnsiTheme="minorHAnsi" w:cstheme="minorBidi"/>
          <w:i/>
          <w:iCs/>
        </w:rPr>
        <w:t>N</w:t>
      </w:r>
      <w:r w:rsidRPr="006F7D42">
        <w:rPr>
          <w:rFonts w:asciiTheme="minorHAnsi" w:eastAsiaTheme="minorHAnsi" w:hAnsiTheme="minorHAnsi" w:cstheme="minorBidi"/>
        </w:rPr>
        <w:t>-glycan modifications are generated by the accurate removal and addition of sugars in the Golgi, depending on the sequential distribution of the glycosylation enzymes in different cisternae. The same holds true for the nucleotide sugar transporters, which need to be precisely present in the right cisternae (</w:t>
      </w:r>
      <w:hyperlink r:id="rId29" w:anchor="B33" w:history="1">
        <w:r w:rsidRPr="006F7D42">
          <w:rPr>
            <w:rStyle w:val="Hyperlink"/>
          </w:rPr>
          <w:t>Hirschberg et al., 1998</w:t>
        </w:r>
      </w:hyperlink>
      <w:r w:rsidRPr="006F7D42">
        <w:rPr>
          <w:rFonts w:asciiTheme="minorHAnsi" w:eastAsiaTheme="minorHAnsi" w:hAnsiTheme="minorHAnsi" w:cstheme="minorBidi"/>
        </w:rPr>
        <w:t>).</w:t>
      </w:r>
      <w:r w:rsidR="00D576CF">
        <w:t xml:space="preserve"> [</w:t>
      </w:r>
      <w:hyperlink r:id="rId30" w:history="1">
        <w:r w:rsidR="00D576CF" w:rsidRPr="00D576CF">
          <w:rPr>
            <w:rStyle w:val="Hyperlink"/>
          </w:rPr>
          <w:t>10.3389/fcell.2021.665289</w:t>
        </w:r>
      </w:hyperlink>
      <w:r w:rsidR="00D576CF">
        <w:t>]</w:t>
      </w:r>
    </w:p>
    <w:p w14:paraId="729F61DB" w14:textId="4950FE9A" w:rsidR="00D576CF" w:rsidRDefault="00D576CF" w:rsidP="00D576CF">
      <w:pPr>
        <w:pStyle w:val="ListParagraph"/>
        <w:numPr>
          <w:ilvl w:val="1"/>
          <w:numId w:val="1"/>
        </w:numPr>
      </w:pPr>
      <w:r>
        <w:t>Branching</w:t>
      </w:r>
    </w:p>
    <w:p w14:paraId="4344252C" w14:textId="3E83BEF6" w:rsidR="00D576CF" w:rsidRPr="00221D12" w:rsidRDefault="00D576CF" w:rsidP="00221D12">
      <w:pPr>
        <w:pStyle w:val="ListParagraph"/>
        <w:numPr>
          <w:ilvl w:val="2"/>
          <w:numId w:val="1"/>
        </w:numPr>
        <w:rPr>
          <w:rFonts w:asciiTheme="minorHAnsi" w:eastAsiaTheme="minorHAnsi" w:hAnsiTheme="minorHAnsi" w:cstheme="minorBidi"/>
        </w:rPr>
      </w:pPr>
      <w:r w:rsidRPr="00D576CF">
        <w:rPr>
          <w:rFonts w:asciiTheme="minorHAnsi" w:eastAsiaTheme="minorHAnsi" w:hAnsiTheme="minorHAnsi" w:cstheme="minorBidi"/>
        </w:rPr>
        <w:t>The Golgi branching enzymes N-acetylglucosaminyltransferases I, II, IV, V and avian VI (encoded by Mgat1, Mgat2, Mgat4a/b/c Mgat5 and Mgat6), each catalyze the addition of N-acetylglucosamine (</w:t>
      </w:r>
      <w:proofErr w:type="spellStart"/>
      <w:r w:rsidRPr="00D576CF">
        <w:rPr>
          <w:rFonts w:asciiTheme="minorHAnsi" w:eastAsiaTheme="minorHAnsi" w:hAnsiTheme="minorHAnsi" w:cstheme="minorBidi"/>
        </w:rPr>
        <w:t>GlcNAc</w:t>
      </w:r>
      <w:proofErr w:type="spellEnd"/>
      <w:r w:rsidRPr="00D576CF">
        <w:rPr>
          <w:rFonts w:asciiTheme="minorHAnsi" w:eastAsiaTheme="minorHAnsi" w:hAnsiTheme="minorHAnsi" w:cstheme="minorBidi"/>
        </w:rPr>
        <w:t>) in N-glycans.</w:t>
      </w:r>
      <w:r w:rsidR="00221D12">
        <w:t xml:space="preserve"> [</w:t>
      </w:r>
      <w:hyperlink r:id="rId31" w:tgtFrame="_blank" w:history="1">
        <w:r w:rsidR="00221D12" w:rsidRPr="00221D12">
          <w:rPr>
            <w:rStyle w:val="Hyperlink"/>
            <w:rFonts w:asciiTheme="minorHAnsi" w:eastAsiaTheme="minorHAnsi" w:hAnsiTheme="minorHAnsi" w:cstheme="minorBidi"/>
          </w:rPr>
          <w:t>10.1093/</w:t>
        </w:r>
        <w:proofErr w:type="spellStart"/>
        <w:r w:rsidR="00221D12" w:rsidRPr="00221D12">
          <w:rPr>
            <w:rStyle w:val="Hyperlink"/>
            <w:rFonts w:asciiTheme="minorHAnsi" w:eastAsiaTheme="minorHAnsi" w:hAnsiTheme="minorHAnsi" w:cstheme="minorBidi"/>
          </w:rPr>
          <w:t>glycob</w:t>
        </w:r>
        <w:proofErr w:type="spellEnd"/>
        <w:r w:rsidR="00221D12" w:rsidRPr="00221D12">
          <w:rPr>
            <w:rStyle w:val="Hyperlink"/>
            <w:rFonts w:asciiTheme="minorHAnsi" w:eastAsiaTheme="minorHAnsi" w:hAnsiTheme="minorHAnsi" w:cstheme="minorBidi"/>
          </w:rPr>
          <w:t>/cwu105</w:t>
        </w:r>
      </w:hyperlink>
      <w:r w:rsidR="00221D12">
        <w:t>]</w:t>
      </w:r>
    </w:p>
    <w:p w14:paraId="54DCC1E3" w14:textId="17935F99" w:rsidR="00572170" w:rsidRDefault="00572170" w:rsidP="00572170">
      <w:pPr>
        <w:pStyle w:val="ListParagraph"/>
        <w:numPr>
          <w:ilvl w:val="0"/>
          <w:numId w:val="1"/>
        </w:numPr>
      </w:pPr>
      <w:r>
        <w:t>O-linked glycosylation</w:t>
      </w:r>
    </w:p>
    <w:p w14:paraId="14ECA57E" w14:textId="54BC7EBD" w:rsidR="00572170" w:rsidRDefault="00572170" w:rsidP="00572170">
      <w:pPr>
        <w:pStyle w:val="ListParagraph"/>
        <w:numPr>
          <w:ilvl w:val="1"/>
          <w:numId w:val="1"/>
        </w:numPr>
      </w:pPr>
      <w:r w:rsidRPr="00572170">
        <w:t>Proteins can also be modified by the addition of carbohydrates to the side chains of acceptor serine and threonine residues within specific sequences of amino acids (</w:t>
      </w:r>
      <w:r w:rsidRPr="00572170">
        <w:rPr>
          <w:i/>
          <w:iCs/>
        </w:rPr>
        <w:t>O</w:t>
      </w:r>
      <w:r w:rsidRPr="00572170">
        <w:t>-linked </w:t>
      </w:r>
      <w:hyperlink r:id="rId32" w:history="1">
        <w:r w:rsidRPr="00572170">
          <w:rPr>
            <w:rStyle w:val="Hyperlink"/>
          </w:rPr>
          <w:t>glycosylation</w:t>
        </w:r>
      </w:hyperlink>
      <w:r w:rsidRPr="00572170">
        <w:t>) (see </w:t>
      </w:r>
      <w:hyperlink r:id="rId33" w:tgtFrame="object" w:history="1">
        <w:r w:rsidRPr="00572170">
          <w:rPr>
            <w:rStyle w:val="Hyperlink"/>
          </w:rPr>
          <w:t>Figure 7.28</w:t>
        </w:r>
      </w:hyperlink>
      <w:r w:rsidRPr="00572170">
        <w:t>). These modifications take place in the </w:t>
      </w:r>
      <w:hyperlink r:id="rId34" w:history="1">
        <w:r w:rsidRPr="00572170">
          <w:rPr>
            <w:rStyle w:val="Hyperlink"/>
          </w:rPr>
          <w:t>Golgi apparatus</w:t>
        </w:r>
      </w:hyperlink>
      <w:r w:rsidRPr="00572170">
        <w:t> by the sequential addition of single sugar residues. The serine or threonine is usually linked directly to </w:t>
      </w:r>
      <w:r w:rsidRPr="00572170">
        <w:rPr>
          <w:i/>
          <w:iCs/>
        </w:rPr>
        <w:t>N</w:t>
      </w:r>
      <w:r w:rsidRPr="00572170">
        <w:t>-</w:t>
      </w:r>
      <w:proofErr w:type="spellStart"/>
      <w:r w:rsidRPr="00572170">
        <w:t>acetylgalactosamine</w:t>
      </w:r>
      <w:proofErr w:type="spellEnd"/>
      <w:r w:rsidRPr="00572170">
        <w:t>, to which other sugars can then be added. In some cases, these sugars are further modified by the addition of sulfate groups.</w:t>
      </w:r>
      <w:r>
        <w:t xml:space="preserve"> </w:t>
      </w:r>
      <w:r>
        <w:t>[</w:t>
      </w:r>
      <w:r w:rsidRPr="00572170">
        <w:t>https://www.ncbi.nlm.nih.gov/books/NBK9838/#:~:text=Protein%20processing%20within%20the%20Golgi,to%20proteins%20in%20the%20ER.</w:t>
      </w:r>
      <w:r>
        <w:t>]</w:t>
      </w:r>
    </w:p>
    <w:p w14:paraId="5E570B39" w14:textId="74958D2A" w:rsidR="00D576CF" w:rsidRPr="00572170" w:rsidRDefault="00D576CF" w:rsidP="00D576CF">
      <w:pPr>
        <w:pStyle w:val="ListParagraph"/>
        <w:numPr>
          <w:ilvl w:val="1"/>
          <w:numId w:val="1"/>
        </w:numPr>
      </w:pPr>
      <w:r w:rsidRPr="00D576CF">
        <w:rPr>
          <w:rFonts w:asciiTheme="minorHAnsi" w:eastAsiaTheme="minorHAnsi" w:hAnsiTheme="minorHAnsi" w:cstheme="minorBidi"/>
        </w:rPr>
        <w:t>Unlike the ER origination of </w:t>
      </w:r>
      <w:r w:rsidRPr="00D576CF">
        <w:rPr>
          <w:rFonts w:asciiTheme="minorHAnsi" w:eastAsiaTheme="minorHAnsi" w:hAnsiTheme="minorHAnsi" w:cstheme="minorBidi"/>
          <w:i/>
          <w:iCs/>
        </w:rPr>
        <w:t>N</w:t>
      </w:r>
      <w:r w:rsidRPr="00D576CF">
        <w:rPr>
          <w:rFonts w:asciiTheme="minorHAnsi" w:eastAsiaTheme="minorHAnsi" w:hAnsiTheme="minorHAnsi" w:cstheme="minorBidi"/>
        </w:rPr>
        <w:t>-glycosylation, </w:t>
      </w:r>
      <w:r w:rsidRPr="00D576CF">
        <w:rPr>
          <w:rFonts w:asciiTheme="minorHAnsi" w:eastAsiaTheme="minorHAnsi" w:hAnsiTheme="minorHAnsi" w:cstheme="minorBidi"/>
          <w:i/>
          <w:iCs/>
        </w:rPr>
        <w:t>O</w:t>
      </w:r>
      <w:r w:rsidRPr="00D576CF">
        <w:rPr>
          <w:rFonts w:asciiTheme="minorHAnsi" w:eastAsiaTheme="minorHAnsi" w:hAnsiTheme="minorHAnsi" w:cstheme="minorBidi"/>
        </w:rPr>
        <w:t>-glycosylation is more diversified and predominantly processed in the Golgi. There are two main types of </w:t>
      </w:r>
      <w:r w:rsidRPr="00D576CF">
        <w:rPr>
          <w:rFonts w:asciiTheme="minorHAnsi" w:eastAsiaTheme="minorHAnsi" w:hAnsiTheme="minorHAnsi" w:cstheme="minorBidi"/>
          <w:i/>
          <w:iCs/>
        </w:rPr>
        <w:t>O</w:t>
      </w:r>
      <w:r w:rsidRPr="00D576CF">
        <w:rPr>
          <w:rFonts w:asciiTheme="minorHAnsi" w:eastAsiaTheme="minorHAnsi" w:hAnsiTheme="minorHAnsi" w:cstheme="minorBidi"/>
        </w:rPr>
        <w:t>-glycans in mammalian cells: the matrix glycosaminoglycan (GAG) chains on proteoglycans and the most common mucin-type glycans (</w:t>
      </w:r>
      <w:proofErr w:type="spellStart"/>
      <w:r w:rsidRPr="00D576CF">
        <w:rPr>
          <w:rFonts w:asciiTheme="minorHAnsi" w:eastAsiaTheme="minorHAnsi" w:hAnsiTheme="minorHAnsi" w:cstheme="minorBidi"/>
        </w:rPr>
        <w:fldChar w:fldCharType="begin"/>
      </w:r>
      <w:r w:rsidRPr="00D576CF">
        <w:rPr>
          <w:rFonts w:asciiTheme="minorHAnsi" w:eastAsiaTheme="minorHAnsi" w:hAnsiTheme="minorHAnsi" w:cstheme="minorBidi"/>
        </w:rPr>
        <w:instrText xml:space="preserve"> HYPERLINK "https://www.frontiersin.org/articles/10.3389/fcell.2021.665289/full" \l "B15" </w:instrText>
      </w:r>
      <w:r w:rsidRPr="00D576CF">
        <w:rPr>
          <w:rFonts w:asciiTheme="minorHAnsi" w:eastAsiaTheme="minorHAnsi" w:hAnsiTheme="minorHAnsi" w:cstheme="minorBidi"/>
        </w:rPr>
        <w:fldChar w:fldCharType="separate"/>
      </w:r>
      <w:r w:rsidRPr="00D576CF">
        <w:rPr>
          <w:rStyle w:val="Hyperlink"/>
        </w:rPr>
        <w:t>Brockhausen</w:t>
      </w:r>
      <w:proofErr w:type="spellEnd"/>
      <w:r w:rsidRPr="00D576CF">
        <w:rPr>
          <w:rStyle w:val="Hyperlink"/>
        </w:rPr>
        <w:t xml:space="preserve"> et al., 2009</w:t>
      </w:r>
      <w:r w:rsidRPr="00D576CF">
        <w:rPr>
          <w:rFonts w:asciiTheme="minorHAnsi" w:eastAsiaTheme="minorHAnsi" w:hAnsiTheme="minorHAnsi" w:cstheme="minorBidi"/>
        </w:rPr>
        <w:fldChar w:fldCharType="end"/>
      </w:r>
      <w:r w:rsidRPr="00D576CF">
        <w:rPr>
          <w:rFonts w:asciiTheme="minorHAnsi" w:eastAsiaTheme="minorHAnsi" w:hAnsiTheme="minorHAnsi" w:cstheme="minorBidi"/>
        </w:rPr>
        <w:t xml:space="preserve">). The repeating disaccharides of unbranched GAG chains are attached to the serine residues on the core proteins of proteoglycans through a common </w:t>
      </w:r>
      <w:proofErr w:type="spellStart"/>
      <w:r w:rsidRPr="00D576CF">
        <w:rPr>
          <w:rFonts w:asciiTheme="minorHAnsi" w:eastAsiaTheme="minorHAnsi" w:hAnsiTheme="minorHAnsi" w:cstheme="minorBidi"/>
        </w:rPr>
        <w:t>tetrasaccharide</w:t>
      </w:r>
      <w:proofErr w:type="spellEnd"/>
      <w:r w:rsidRPr="00D576CF">
        <w:rPr>
          <w:rFonts w:asciiTheme="minorHAnsi" w:eastAsiaTheme="minorHAnsi" w:hAnsiTheme="minorHAnsi" w:cstheme="minorBidi"/>
        </w:rPr>
        <w:t xml:space="preserve"> linker (xylose–Gal–Gal–glucuronic acid). The disaccharide units contain either </w:t>
      </w:r>
      <w:r w:rsidRPr="00D576CF">
        <w:rPr>
          <w:rFonts w:asciiTheme="minorHAnsi" w:eastAsiaTheme="minorHAnsi" w:hAnsiTheme="minorHAnsi" w:cstheme="minorBidi"/>
          <w:i/>
          <w:iCs/>
        </w:rPr>
        <w:t>N</w:t>
      </w:r>
      <w:r w:rsidRPr="00D576CF">
        <w:rPr>
          <w:rFonts w:asciiTheme="minorHAnsi" w:eastAsiaTheme="minorHAnsi" w:hAnsiTheme="minorHAnsi" w:cstheme="minorBidi"/>
        </w:rPr>
        <w:t>-</w:t>
      </w:r>
      <w:proofErr w:type="spellStart"/>
      <w:r w:rsidRPr="00D576CF">
        <w:rPr>
          <w:rFonts w:asciiTheme="minorHAnsi" w:eastAsiaTheme="minorHAnsi" w:hAnsiTheme="minorHAnsi" w:cstheme="minorBidi"/>
        </w:rPr>
        <w:t>acetylgalactosamine</w:t>
      </w:r>
      <w:proofErr w:type="spellEnd"/>
      <w:r w:rsidRPr="00D576CF">
        <w:rPr>
          <w:rFonts w:asciiTheme="minorHAnsi" w:eastAsiaTheme="minorHAnsi" w:hAnsiTheme="minorHAnsi" w:cstheme="minorBidi"/>
        </w:rPr>
        <w:t xml:space="preserve"> (</w:t>
      </w:r>
      <w:proofErr w:type="spellStart"/>
      <w:r w:rsidRPr="00D576CF">
        <w:rPr>
          <w:rFonts w:asciiTheme="minorHAnsi" w:eastAsiaTheme="minorHAnsi" w:hAnsiTheme="minorHAnsi" w:cstheme="minorBidi"/>
        </w:rPr>
        <w:t>GalNAc</w:t>
      </w:r>
      <w:proofErr w:type="spellEnd"/>
      <w:r w:rsidRPr="00D576CF">
        <w:rPr>
          <w:rFonts w:asciiTheme="minorHAnsi" w:eastAsiaTheme="minorHAnsi" w:hAnsiTheme="minorHAnsi" w:cstheme="minorBidi"/>
        </w:rPr>
        <w:t xml:space="preserve">) or </w:t>
      </w:r>
      <w:proofErr w:type="spellStart"/>
      <w:r w:rsidRPr="00D576CF">
        <w:rPr>
          <w:rFonts w:asciiTheme="minorHAnsi" w:eastAsiaTheme="minorHAnsi" w:hAnsiTheme="minorHAnsi" w:cstheme="minorBidi"/>
        </w:rPr>
        <w:t>GlcNAc</w:t>
      </w:r>
      <w:proofErr w:type="spellEnd"/>
      <w:r w:rsidRPr="00D576CF">
        <w:rPr>
          <w:rFonts w:asciiTheme="minorHAnsi" w:eastAsiaTheme="minorHAnsi" w:hAnsiTheme="minorHAnsi" w:cstheme="minorBidi"/>
        </w:rPr>
        <w:t xml:space="preserve">, and a </w:t>
      </w:r>
      <w:proofErr w:type="spellStart"/>
      <w:r w:rsidRPr="00D576CF">
        <w:rPr>
          <w:rFonts w:asciiTheme="minorHAnsi" w:eastAsiaTheme="minorHAnsi" w:hAnsiTheme="minorHAnsi" w:cstheme="minorBidi"/>
        </w:rPr>
        <w:t>uronic</w:t>
      </w:r>
      <w:proofErr w:type="spellEnd"/>
      <w:r w:rsidRPr="00D576CF">
        <w:rPr>
          <w:rFonts w:asciiTheme="minorHAnsi" w:eastAsiaTheme="minorHAnsi" w:hAnsiTheme="minorHAnsi" w:cstheme="minorBidi"/>
        </w:rPr>
        <w:t xml:space="preserve"> acid, which are extended in the earlier Golgi. The frequent sulfation modification on the disaccharide then occurs in the </w:t>
      </w:r>
      <w:r w:rsidRPr="00D576CF">
        <w:rPr>
          <w:rFonts w:asciiTheme="minorHAnsi" w:eastAsiaTheme="minorHAnsi" w:hAnsiTheme="minorHAnsi" w:cstheme="minorBidi"/>
          <w:i/>
          <w:iCs/>
        </w:rPr>
        <w:t>trans</w:t>
      </w:r>
      <w:r w:rsidRPr="00D576CF">
        <w:rPr>
          <w:rFonts w:asciiTheme="minorHAnsi" w:eastAsiaTheme="minorHAnsi" w:hAnsiTheme="minorHAnsi" w:cstheme="minorBidi"/>
        </w:rPr>
        <w:t>-Golgi (</w:t>
      </w:r>
      <w:hyperlink r:id="rId35" w:anchor="B77" w:history="1">
        <w:r w:rsidRPr="00D576CF">
          <w:rPr>
            <w:rStyle w:val="Hyperlink"/>
          </w:rPr>
          <w:t>Stanley, 2011</w:t>
        </w:r>
      </w:hyperlink>
      <w:r w:rsidRPr="00D576CF">
        <w:rPr>
          <w:rFonts w:asciiTheme="minorHAnsi" w:eastAsiaTheme="minorHAnsi" w:hAnsiTheme="minorHAnsi" w:cstheme="minorBidi"/>
        </w:rPr>
        <w:t>). Mucin-type </w:t>
      </w:r>
      <w:r w:rsidRPr="00D576CF">
        <w:rPr>
          <w:rFonts w:asciiTheme="minorHAnsi" w:eastAsiaTheme="minorHAnsi" w:hAnsiTheme="minorHAnsi" w:cstheme="minorBidi"/>
          <w:i/>
          <w:iCs/>
        </w:rPr>
        <w:t>O</w:t>
      </w:r>
      <w:r w:rsidRPr="00D576CF">
        <w:rPr>
          <w:rFonts w:asciiTheme="minorHAnsi" w:eastAsiaTheme="minorHAnsi" w:hAnsiTheme="minorHAnsi" w:cstheme="minorBidi"/>
        </w:rPr>
        <w:t xml:space="preserve">-glycosylation initiates with the attachment of a </w:t>
      </w:r>
      <w:proofErr w:type="spellStart"/>
      <w:r w:rsidRPr="00D576CF">
        <w:rPr>
          <w:rFonts w:asciiTheme="minorHAnsi" w:eastAsiaTheme="minorHAnsi" w:hAnsiTheme="minorHAnsi" w:cstheme="minorBidi"/>
        </w:rPr>
        <w:t>GalNAc</w:t>
      </w:r>
      <w:proofErr w:type="spellEnd"/>
      <w:r w:rsidRPr="00D576CF">
        <w:rPr>
          <w:rFonts w:asciiTheme="minorHAnsi" w:eastAsiaTheme="minorHAnsi" w:hAnsiTheme="minorHAnsi" w:cstheme="minorBidi"/>
        </w:rPr>
        <w:t xml:space="preserve"> onto the Ser/</w:t>
      </w:r>
      <w:proofErr w:type="spellStart"/>
      <w:r w:rsidRPr="00D576CF">
        <w:rPr>
          <w:rFonts w:asciiTheme="minorHAnsi" w:eastAsiaTheme="minorHAnsi" w:hAnsiTheme="minorHAnsi" w:cstheme="minorBidi"/>
        </w:rPr>
        <w:t>Thr</w:t>
      </w:r>
      <w:proofErr w:type="spellEnd"/>
      <w:r w:rsidRPr="00D576CF">
        <w:rPr>
          <w:rFonts w:asciiTheme="minorHAnsi" w:eastAsiaTheme="minorHAnsi" w:hAnsiTheme="minorHAnsi" w:cstheme="minorBidi"/>
        </w:rPr>
        <w:t xml:space="preserve"> residues in a glycoprotein to form </w:t>
      </w:r>
      <w:proofErr w:type="spellStart"/>
      <w:r w:rsidRPr="00D576CF">
        <w:rPr>
          <w:rFonts w:asciiTheme="minorHAnsi" w:eastAsiaTheme="minorHAnsi" w:hAnsiTheme="minorHAnsi" w:cstheme="minorBidi"/>
        </w:rPr>
        <w:t>GalNAc</w:t>
      </w:r>
      <w:proofErr w:type="spellEnd"/>
      <w:r w:rsidRPr="00D576CF">
        <w:rPr>
          <w:rFonts w:asciiTheme="minorHAnsi" w:eastAsiaTheme="minorHAnsi" w:hAnsiTheme="minorHAnsi" w:cstheme="minorBidi"/>
        </w:rPr>
        <w:t>α1-Ser/</w:t>
      </w:r>
      <w:proofErr w:type="spellStart"/>
      <w:r w:rsidRPr="00D576CF">
        <w:rPr>
          <w:rFonts w:asciiTheme="minorHAnsi" w:eastAsiaTheme="minorHAnsi" w:hAnsiTheme="minorHAnsi" w:cstheme="minorBidi"/>
        </w:rPr>
        <w:t>Thr</w:t>
      </w:r>
      <w:proofErr w:type="spellEnd"/>
      <w:r w:rsidRPr="00D576CF">
        <w:rPr>
          <w:rFonts w:asciiTheme="minorHAnsi" w:eastAsiaTheme="minorHAnsi" w:hAnsiTheme="minorHAnsi" w:cstheme="minorBidi"/>
        </w:rPr>
        <w:t>, which is also called the tumor-associated Tn antigen (</w:t>
      </w:r>
      <w:hyperlink r:id="rId36" w:anchor="B39" w:history="1">
        <w:r w:rsidRPr="00D576CF">
          <w:rPr>
            <w:rStyle w:val="Hyperlink"/>
          </w:rPr>
          <w:t>Ju et al., 2014</w:t>
        </w:r>
      </w:hyperlink>
      <w:r w:rsidRPr="00D576CF">
        <w:rPr>
          <w:rFonts w:asciiTheme="minorHAnsi" w:eastAsiaTheme="minorHAnsi" w:hAnsiTheme="minorHAnsi" w:cstheme="minorBidi"/>
        </w:rPr>
        <w:t xml:space="preserve">). A family of enzymes known as polypeptide </w:t>
      </w:r>
      <w:proofErr w:type="spellStart"/>
      <w:r w:rsidRPr="00D576CF">
        <w:rPr>
          <w:rFonts w:asciiTheme="minorHAnsi" w:eastAsiaTheme="minorHAnsi" w:hAnsiTheme="minorHAnsi" w:cstheme="minorBidi"/>
        </w:rPr>
        <w:t>GalNAc</w:t>
      </w:r>
      <w:proofErr w:type="spellEnd"/>
      <w:r w:rsidRPr="00D576CF">
        <w:rPr>
          <w:rFonts w:asciiTheme="minorHAnsi" w:eastAsiaTheme="minorHAnsi" w:hAnsiTheme="minorHAnsi" w:cstheme="minorBidi"/>
        </w:rPr>
        <w:t>-transferases (</w:t>
      </w:r>
      <w:proofErr w:type="spellStart"/>
      <w:r w:rsidRPr="00D576CF">
        <w:rPr>
          <w:rFonts w:asciiTheme="minorHAnsi" w:eastAsiaTheme="minorHAnsi" w:hAnsiTheme="minorHAnsi" w:cstheme="minorBidi"/>
        </w:rPr>
        <w:t>ppGalNAcTs</w:t>
      </w:r>
      <w:proofErr w:type="spellEnd"/>
      <w:r w:rsidRPr="00D576CF">
        <w:rPr>
          <w:rFonts w:asciiTheme="minorHAnsi" w:eastAsiaTheme="minorHAnsi" w:hAnsiTheme="minorHAnsi" w:cstheme="minorBidi"/>
        </w:rPr>
        <w:t xml:space="preserve">) catalyzes this reaction. The Tn antigen is usually a precursor and followed by the addition of galactose, </w:t>
      </w:r>
      <w:proofErr w:type="spellStart"/>
      <w:r w:rsidRPr="00D576CF">
        <w:rPr>
          <w:rFonts w:asciiTheme="minorHAnsi" w:eastAsiaTheme="minorHAnsi" w:hAnsiTheme="minorHAnsi" w:cstheme="minorBidi"/>
        </w:rPr>
        <w:t>GlcNAc</w:t>
      </w:r>
      <w:proofErr w:type="spellEnd"/>
      <w:r w:rsidRPr="00D576CF">
        <w:rPr>
          <w:rFonts w:asciiTheme="minorHAnsi" w:eastAsiaTheme="minorHAnsi" w:hAnsiTheme="minorHAnsi" w:cstheme="minorBidi"/>
        </w:rPr>
        <w:t xml:space="preserve">, or </w:t>
      </w:r>
      <w:proofErr w:type="spellStart"/>
      <w:r w:rsidRPr="00D576CF">
        <w:rPr>
          <w:rFonts w:asciiTheme="minorHAnsi" w:eastAsiaTheme="minorHAnsi" w:hAnsiTheme="minorHAnsi" w:cstheme="minorBidi"/>
        </w:rPr>
        <w:t>GalNAc</w:t>
      </w:r>
      <w:proofErr w:type="spellEnd"/>
      <w:r w:rsidRPr="00D576CF">
        <w:rPr>
          <w:rFonts w:asciiTheme="minorHAnsi" w:eastAsiaTheme="minorHAnsi" w:hAnsiTheme="minorHAnsi" w:cstheme="minorBidi"/>
        </w:rPr>
        <w:t xml:space="preserve"> to form core </w:t>
      </w:r>
      <w:r w:rsidRPr="00D576CF">
        <w:rPr>
          <w:rFonts w:asciiTheme="minorHAnsi" w:eastAsiaTheme="minorHAnsi" w:hAnsiTheme="minorHAnsi" w:cstheme="minorBidi"/>
          <w:i/>
          <w:iCs/>
        </w:rPr>
        <w:t>O</w:t>
      </w:r>
      <w:r w:rsidRPr="00D576CF">
        <w:rPr>
          <w:rFonts w:asciiTheme="minorHAnsi" w:eastAsiaTheme="minorHAnsi" w:hAnsiTheme="minorHAnsi" w:cstheme="minorBidi"/>
        </w:rPr>
        <w:t>-glycan structures. The critical step is to transfer galactose by the enzyme termed T-synthase (Core 1 β3-galactosyltransferase, C1GalT1) to form the common core 1 </w:t>
      </w:r>
      <w:r w:rsidRPr="00D576CF">
        <w:rPr>
          <w:rFonts w:asciiTheme="minorHAnsi" w:eastAsiaTheme="minorHAnsi" w:hAnsiTheme="minorHAnsi" w:cstheme="minorBidi"/>
          <w:i/>
          <w:iCs/>
        </w:rPr>
        <w:t>O</w:t>
      </w:r>
      <w:r w:rsidRPr="00D576CF">
        <w:rPr>
          <w:rFonts w:asciiTheme="minorHAnsi" w:eastAsiaTheme="minorHAnsi" w:hAnsiTheme="minorHAnsi" w:cstheme="minorBidi"/>
        </w:rPr>
        <w:t xml:space="preserve">-glycan (or the T antigen). The T antigen can be further processed into core 2 by core 2 </w:t>
      </w:r>
      <w:proofErr w:type="spellStart"/>
      <w:r w:rsidRPr="00D576CF">
        <w:rPr>
          <w:rFonts w:asciiTheme="minorHAnsi" w:eastAsiaTheme="minorHAnsi" w:hAnsiTheme="minorHAnsi" w:cstheme="minorBidi"/>
        </w:rPr>
        <w:t>GlcNAc</w:t>
      </w:r>
      <w:proofErr w:type="spellEnd"/>
      <w:r w:rsidRPr="00D576CF">
        <w:rPr>
          <w:rFonts w:asciiTheme="minorHAnsi" w:eastAsiaTheme="minorHAnsi" w:hAnsiTheme="minorHAnsi" w:cstheme="minorBidi"/>
        </w:rPr>
        <w:t xml:space="preserve"> transferases (C2GnTs) to generate </w:t>
      </w:r>
      <w:proofErr w:type="spellStart"/>
      <w:r w:rsidRPr="00D576CF">
        <w:rPr>
          <w:rFonts w:asciiTheme="minorHAnsi" w:eastAsiaTheme="minorHAnsi" w:hAnsiTheme="minorHAnsi" w:cstheme="minorBidi"/>
        </w:rPr>
        <w:t>GlcNAc</w:t>
      </w:r>
      <w:proofErr w:type="spellEnd"/>
      <w:r w:rsidRPr="00D576CF">
        <w:rPr>
          <w:rFonts w:asciiTheme="minorHAnsi" w:eastAsiaTheme="minorHAnsi" w:hAnsiTheme="minorHAnsi" w:cstheme="minorBidi"/>
        </w:rPr>
        <w:t xml:space="preserve">β1–6(Galβ1–3) </w:t>
      </w:r>
      <w:proofErr w:type="spellStart"/>
      <w:r w:rsidRPr="00D576CF">
        <w:rPr>
          <w:rFonts w:asciiTheme="minorHAnsi" w:eastAsiaTheme="minorHAnsi" w:hAnsiTheme="minorHAnsi" w:cstheme="minorBidi"/>
        </w:rPr>
        <w:t>GalNAc</w:t>
      </w:r>
      <w:proofErr w:type="spellEnd"/>
      <w:r w:rsidRPr="00D576CF">
        <w:rPr>
          <w:rFonts w:asciiTheme="minorHAnsi" w:eastAsiaTheme="minorHAnsi" w:hAnsiTheme="minorHAnsi" w:cstheme="minorBidi"/>
        </w:rPr>
        <w:t>α1-Ser/</w:t>
      </w:r>
      <w:proofErr w:type="spellStart"/>
      <w:r w:rsidRPr="00D576CF">
        <w:rPr>
          <w:rFonts w:asciiTheme="minorHAnsi" w:eastAsiaTheme="minorHAnsi" w:hAnsiTheme="minorHAnsi" w:cstheme="minorBidi"/>
        </w:rPr>
        <w:t>Thr</w:t>
      </w:r>
      <w:proofErr w:type="spellEnd"/>
      <w:r w:rsidRPr="00D576CF">
        <w:rPr>
          <w:rFonts w:asciiTheme="minorHAnsi" w:eastAsiaTheme="minorHAnsi" w:hAnsiTheme="minorHAnsi" w:cstheme="minorBidi"/>
        </w:rPr>
        <w:t>. The core 1 and/or core 2 </w:t>
      </w:r>
      <w:r w:rsidRPr="00D576CF">
        <w:rPr>
          <w:rFonts w:asciiTheme="minorHAnsi" w:eastAsiaTheme="minorHAnsi" w:hAnsiTheme="minorHAnsi" w:cstheme="minorBidi"/>
          <w:i/>
          <w:iCs/>
        </w:rPr>
        <w:t>O</w:t>
      </w:r>
      <w:r w:rsidRPr="00D576CF">
        <w:rPr>
          <w:rFonts w:asciiTheme="minorHAnsi" w:eastAsiaTheme="minorHAnsi" w:hAnsiTheme="minorHAnsi" w:cstheme="minorBidi"/>
        </w:rPr>
        <w:t>-glycans are ubiquitously expressed in humans. Although </w:t>
      </w:r>
      <w:r w:rsidRPr="00D576CF">
        <w:rPr>
          <w:rFonts w:asciiTheme="minorHAnsi" w:eastAsiaTheme="minorHAnsi" w:hAnsiTheme="minorHAnsi" w:cstheme="minorBidi"/>
          <w:i/>
          <w:iCs/>
        </w:rPr>
        <w:t>O</w:t>
      </w:r>
      <w:r w:rsidRPr="00D576CF">
        <w:rPr>
          <w:rFonts w:asciiTheme="minorHAnsi" w:eastAsiaTheme="minorHAnsi" w:hAnsiTheme="minorHAnsi" w:cstheme="minorBidi"/>
        </w:rPr>
        <w:t>-glycan structures are generally shorter than </w:t>
      </w:r>
      <w:r w:rsidRPr="00D576CF">
        <w:rPr>
          <w:rFonts w:asciiTheme="minorHAnsi" w:eastAsiaTheme="minorHAnsi" w:hAnsiTheme="minorHAnsi" w:cstheme="minorBidi"/>
          <w:i/>
          <w:iCs/>
        </w:rPr>
        <w:t>N</w:t>
      </w:r>
      <w:r w:rsidRPr="00D576CF">
        <w:rPr>
          <w:rFonts w:asciiTheme="minorHAnsi" w:eastAsiaTheme="minorHAnsi" w:hAnsiTheme="minorHAnsi" w:cstheme="minorBidi"/>
        </w:rPr>
        <w:t xml:space="preserve">-glycans, core 1–4 structures could be further extended to generate diverse glycan chains, such as </w:t>
      </w:r>
      <w:proofErr w:type="spellStart"/>
      <w:r w:rsidRPr="00D576CF">
        <w:rPr>
          <w:rFonts w:asciiTheme="minorHAnsi" w:eastAsiaTheme="minorHAnsi" w:hAnsiTheme="minorHAnsi" w:cstheme="minorBidi"/>
        </w:rPr>
        <w:t>polyLacNAc</w:t>
      </w:r>
      <w:proofErr w:type="spellEnd"/>
      <w:r w:rsidRPr="00D576CF">
        <w:rPr>
          <w:rFonts w:asciiTheme="minorHAnsi" w:eastAsiaTheme="minorHAnsi" w:hAnsiTheme="minorHAnsi" w:cstheme="minorBidi"/>
        </w:rPr>
        <w:t xml:space="preserve">, Lewis antigens, and </w:t>
      </w:r>
      <w:r w:rsidRPr="00D576CF">
        <w:rPr>
          <w:rFonts w:asciiTheme="minorHAnsi" w:eastAsiaTheme="minorHAnsi" w:hAnsiTheme="minorHAnsi" w:cstheme="minorBidi"/>
        </w:rPr>
        <w:lastRenderedPageBreak/>
        <w:t>different blood group antigens (</w:t>
      </w:r>
      <w:hyperlink r:id="rId37" w:anchor="B45" w:history="1">
        <w:r w:rsidRPr="00D576CF">
          <w:rPr>
            <w:rStyle w:val="Hyperlink"/>
          </w:rPr>
          <w:t>Kudelka et al., 2015</w:t>
        </w:r>
      </w:hyperlink>
      <w:r w:rsidRPr="00D576CF">
        <w:rPr>
          <w:rFonts w:asciiTheme="minorHAnsi" w:eastAsiaTheme="minorHAnsi" w:hAnsiTheme="minorHAnsi" w:cstheme="minorBidi"/>
        </w:rPr>
        <w:t>).</w:t>
      </w:r>
      <w:r>
        <w:t xml:space="preserve"> </w:t>
      </w:r>
      <w:r>
        <w:t>[</w:t>
      </w:r>
      <w:hyperlink r:id="rId38" w:history="1">
        <w:r w:rsidRPr="00D576CF">
          <w:rPr>
            <w:rStyle w:val="Hyperlink"/>
          </w:rPr>
          <w:t>10.3389/fcell.2021.665289</w:t>
        </w:r>
      </w:hyperlink>
      <w:r>
        <w:t>]</w:t>
      </w:r>
    </w:p>
    <w:p w14:paraId="054AA40A" w14:textId="77777777" w:rsidR="00FF4B0E" w:rsidRDefault="00FF4B0E" w:rsidP="00572170"/>
    <w:sectPr w:rsidR="00FF4B0E" w:rsidSect="00390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A0B88"/>
    <w:multiLevelType w:val="hybridMultilevel"/>
    <w:tmpl w:val="B9129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420425"/>
    <w:multiLevelType w:val="multilevel"/>
    <w:tmpl w:val="3FD0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062823">
    <w:abstractNumId w:val="0"/>
  </w:num>
  <w:num w:numId="2" w16cid:durableId="358821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B0E"/>
    <w:rsid w:val="00055107"/>
    <w:rsid w:val="00221D12"/>
    <w:rsid w:val="002715AA"/>
    <w:rsid w:val="00390B75"/>
    <w:rsid w:val="00572170"/>
    <w:rsid w:val="00667419"/>
    <w:rsid w:val="006F7D42"/>
    <w:rsid w:val="00D576CF"/>
    <w:rsid w:val="00FF4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749884"/>
  <w15:chartTrackingRefBased/>
  <w15:docId w15:val="{365AC530-AB58-A940-87E1-FF611BAE1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D12"/>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4B0E"/>
    <w:rPr>
      <w:color w:val="0563C1" w:themeColor="hyperlink"/>
      <w:u w:val="single"/>
    </w:rPr>
  </w:style>
  <w:style w:type="character" w:styleId="UnresolvedMention">
    <w:name w:val="Unresolved Mention"/>
    <w:basedOn w:val="DefaultParagraphFont"/>
    <w:uiPriority w:val="99"/>
    <w:semiHidden/>
    <w:unhideWhenUsed/>
    <w:rsid w:val="00FF4B0E"/>
    <w:rPr>
      <w:color w:val="605E5C"/>
      <w:shd w:val="clear" w:color="auto" w:fill="E1DFDD"/>
    </w:rPr>
  </w:style>
  <w:style w:type="paragraph" w:styleId="ListParagraph">
    <w:name w:val="List Paragraph"/>
    <w:basedOn w:val="Normal"/>
    <w:uiPriority w:val="34"/>
    <w:qFormat/>
    <w:rsid w:val="00FF4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26901">
      <w:bodyDiv w:val="1"/>
      <w:marLeft w:val="0"/>
      <w:marRight w:val="0"/>
      <w:marTop w:val="0"/>
      <w:marBottom w:val="0"/>
      <w:divBdr>
        <w:top w:val="none" w:sz="0" w:space="0" w:color="auto"/>
        <w:left w:val="none" w:sz="0" w:space="0" w:color="auto"/>
        <w:bottom w:val="none" w:sz="0" w:space="0" w:color="auto"/>
        <w:right w:val="none" w:sz="0" w:space="0" w:color="auto"/>
      </w:divBdr>
    </w:div>
    <w:div w:id="349839223">
      <w:bodyDiv w:val="1"/>
      <w:marLeft w:val="0"/>
      <w:marRight w:val="0"/>
      <w:marTop w:val="0"/>
      <w:marBottom w:val="0"/>
      <w:divBdr>
        <w:top w:val="none" w:sz="0" w:space="0" w:color="auto"/>
        <w:left w:val="none" w:sz="0" w:space="0" w:color="auto"/>
        <w:bottom w:val="none" w:sz="0" w:space="0" w:color="auto"/>
        <w:right w:val="none" w:sz="0" w:space="0" w:color="auto"/>
      </w:divBdr>
    </w:div>
    <w:div w:id="402946859">
      <w:bodyDiv w:val="1"/>
      <w:marLeft w:val="0"/>
      <w:marRight w:val="0"/>
      <w:marTop w:val="0"/>
      <w:marBottom w:val="0"/>
      <w:divBdr>
        <w:top w:val="none" w:sz="0" w:space="0" w:color="auto"/>
        <w:left w:val="none" w:sz="0" w:space="0" w:color="auto"/>
        <w:bottom w:val="none" w:sz="0" w:space="0" w:color="auto"/>
        <w:right w:val="none" w:sz="0" w:space="0" w:color="auto"/>
      </w:divBdr>
    </w:div>
    <w:div w:id="490760798">
      <w:bodyDiv w:val="1"/>
      <w:marLeft w:val="0"/>
      <w:marRight w:val="0"/>
      <w:marTop w:val="0"/>
      <w:marBottom w:val="0"/>
      <w:divBdr>
        <w:top w:val="none" w:sz="0" w:space="0" w:color="auto"/>
        <w:left w:val="none" w:sz="0" w:space="0" w:color="auto"/>
        <w:bottom w:val="none" w:sz="0" w:space="0" w:color="auto"/>
        <w:right w:val="none" w:sz="0" w:space="0" w:color="auto"/>
      </w:divBdr>
    </w:div>
    <w:div w:id="913011158">
      <w:bodyDiv w:val="1"/>
      <w:marLeft w:val="0"/>
      <w:marRight w:val="0"/>
      <w:marTop w:val="0"/>
      <w:marBottom w:val="0"/>
      <w:divBdr>
        <w:top w:val="none" w:sz="0" w:space="0" w:color="auto"/>
        <w:left w:val="none" w:sz="0" w:space="0" w:color="auto"/>
        <w:bottom w:val="none" w:sz="0" w:space="0" w:color="auto"/>
        <w:right w:val="none" w:sz="0" w:space="0" w:color="auto"/>
      </w:divBdr>
    </w:div>
    <w:div w:id="993147959">
      <w:bodyDiv w:val="1"/>
      <w:marLeft w:val="0"/>
      <w:marRight w:val="0"/>
      <w:marTop w:val="0"/>
      <w:marBottom w:val="0"/>
      <w:divBdr>
        <w:top w:val="none" w:sz="0" w:space="0" w:color="auto"/>
        <w:left w:val="none" w:sz="0" w:space="0" w:color="auto"/>
        <w:bottom w:val="none" w:sz="0" w:space="0" w:color="auto"/>
        <w:right w:val="none" w:sz="0" w:space="0" w:color="auto"/>
      </w:divBdr>
    </w:div>
    <w:div w:id="1015814446">
      <w:bodyDiv w:val="1"/>
      <w:marLeft w:val="0"/>
      <w:marRight w:val="0"/>
      <w:marTop w:val="0"/>
      <w:marBottom w:val="0"/>
      <w:divBdr>
        <w:top w:val="none" w:sz="0" w:space="0" w:color="auto"/>
        <w:left w:val="none" w:sz="0" w:space="0" w:color="auto"/>
        <w:bottom w:val="none" w:sz="0" w:space="0" w:color="auto"/>
        <w:right w:val="none" w:sz="0" w:space="0" w:color="auto"/>
      </w:divBdr>
    </w:div>
    <w:div w:id="1209222718">
      <w:bodyDiv w:val="1"/>
      <w:marLeft w:val="0"/>
      <w:marRight w:val="0"/>
      <w:marTop w:val="0"/>
      <w:marBottom w:val="0"/>
      <w:divBdr>
        <w:top w:val="none" w:sz="0" w:space="0" w:color="auto"/>
        <w:left w:val="none" w:sz="0" w:space="0" w:color="auto"/>
        <w:bottom w:val="none" w:sz="0" w:space="0" w:color="auto"/>
        <w:right w:val="none" w:sz="0" w:space="0" w:color="auto"/>
      </w:divBdr>
    </w:div>
    <w:div w:id="1518810462">
      <w:bodyDiv w:val="1"/>
      <w:marLeft w:val="0"/>
      <w:marRight w:val="0"/>
      <w:marTop w:val="0"/>
      <w:marBottom w:val="0"/>
      <w:divBdr>
        <w:top w:val="none" w:sz="0" w:space="0" w:color="auto"/>
        <w:left w:val="none" w:sz="0" w:space="0" w:color="auto"/>
        <w:bottom w:val="none" w:sz="0" w:space="0" w:color="auto"/>
        <w:right w:val="none" w:sz="0" w:space="0" w:color="auto"/>
      </w:divBdr>
    </w:div>
    <w:div w:id="1640308953">
      <w:bodyDiv w:val="1"/>
      <w:marLeft w:val="0"/>
      <w:marRight w:val="0"/>
      <w:marTop w:val="0"/>
      <w:marBottom w:val="0"/>
      <w:divBdr>
        <w:top w:val="none" w:sz="0" w:space="0" w:color="auto"/>
        <w:left w:val="none" w:sz="0" w:space="0" w:color="auto"/>
        <w:bottom w:val="none" w:sz="0" w:space="0" w:color="auto"/>
        <w:right w:val="none" w:sz="0" w:space="0" w:color="auto"/>
      </w:divBdr>
    </w:div>
    <w:div w:id="1691108315">
      <w:bodyDiv w:val="1"/>
      <w:marLeft w:val="0"/>
      <w:marRight w:val="0"/>
      <w:marTop w:val="0"/>
      <w:marBottom w:val="0"/>
      <w:divBdr>
        <w:top w:val="none" w:sz="0" w:space="0" w:color="auto"/>
        <w:left w:val="none" w:sz="0" w:space="0" w:color="auto"/>
        <w:bottom w:val="none" w:sz="0" w:space="0" w:color="auto"/>
        <w:right w:val="none" w:sz="0" w:space="0" w:color="auto"/>
      </w:divBdr>
    </w:div>
    <w:div w:id="1957563728">
      <w:bodyDiv w:val="1"/>
      <w:marLeft w:val="0"/>
      <w:marRight w:val="0"/>
      <w:marTop w:val="0"/>
      <w:marBottom w:val="0"/>
      <w:divBdr>
        <w:top w:val="none" w:sz="0" w:space="0" w:color="auto"/>
        <w:left w:val="none" w:sz="0" w:space="0" w:color="auto"/>
        <w:bottom w:val="none" w:sz="0" w:space="0" w:color="auto"/>
        <w:right w:val="none" w:sz="0" w:space="0" w:color="auto"/>
      </w:divBdr>
    </w:div>
    <w:div w:id="209697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3390%2Fijms22126284" TargetMode="External"/><Relationship Id="rId18" Type="http://schemas.openxmlformats.org/officeDocument/2006/relationships/hyperlink" Target="https://www.nature.com/articles/srep20261" TargetMode="External"/><Relationship Id="rId26" Type="http://schemas.openxmlformats.org/officeDocument/2006/relationships/hyperlink" Target="https://www.frontiersin.org/articles/10.3389/fcell.2021.665289/full" TargetMode="External"/><Relationship Id="rId39" Type="http://schemas.openxmlformats.org/officeDocument/2006/relationships/fontTable" Target="fontTable.xml"/><Relationship Id="rId21" Type="http://schemas.openxmlformats.org/officeDocument/2006/relationships/hyperlink" Target="https://www.ncbi.nlm.nih.gov/books/n/cooper/A2886/def-item/A3102/" TargetMode="External"/><Relationship Id="rId34" Type="http://schemas.openxmlformats.org/officeDocument/2006/relationships/hyperlink" Target="https://www.ncbi.nlm.nih.gov/books/n/cooper/A2886/def-item/A3102/" TargetMode="External"/><Relationship Id="rId7" Type="http://schemas.openxmlformats.org/officeDocument/2006/relationships/hyperlink" Target="https://www.ncbi.nlm.nih.gov/pmc/articles/PMC8230904/" TargetMode="External"/><Relationship Id="rId12" Type="http://schemas.openxmlformats.org/officeDocument/2006/relationships/hyperlink" Target="https://www.ncbi.nlm.nih.gov/pmc/articles/PMC8230904/" TargetMode="External"/><Relationship Id="rId17" Type="http://schemas.openxmlformats.org/officeDocument/2006/relationships/hyperlink" Target="https://www.nature.com/articles/srep20261" TargetMode="External"/><Relationship Id="rId25" Type="http://schemas.openxmlformats.org/officeDocument/2006/relationships/hyperlink" Target="https://www.ncbi.nlm.nih.gov/books/n/cooper/A2886/def-item/A3042/" TargetMode="External"/><Relationship Id="rId33" Type="http://schemas.openxmlformats.org/officeDocument/2006/relationships/hyperlink" Target="https://www.ncbi.nlm.nih.gov/books/n/cooper/A1199/figure/A1216/?report=objectonly" TargetMode="External"/><Relationship Id="rId38" Type="http://schemas.openxmlformats.org/officeDocument/2006/relationships/hyperlink" Target="https://doi.org/10.3389/fcell.2021.665289" TargetMode="External"/><Relationship Id="rId2" Type="http://schemas.openxmlformats.org/officeDocument/2006/relationships/styles" Target="styles.xml"/><Relationship Id="rId16" Type="http://schemas.openxmlformats.org/officeDocument/2006/relationships/hyperlink" Target="https://www.nature.com/articles/srep20261" TargetMode="External"/><Relationship Id="rId20" Type="http://schemas.openxmlformats.org/officeDocument/2006/relationships/hyperlink" Target="https://www.nature.com/articles/srep20261" TargetMode="External"/><Relationship Id="rId29" Type="http://schemas.openxmlformats.org/officeDocument/2006/relationships/hyperlink" Target="https://www.frontiersin.org/articles/10.3389/fcell.2021.665289/full" TargetMode="External"/><Relationship Id="rId1" Type="http://schemas.openxmlformats.org/officeDocument/2006/relationships/numbering" Target="numbering.xml"/><Relationship Id="rId6" Type="http://schemas.openxmlformats.org/officeDocument/2006/relationships/hyperlink" Target="https://www.ncbi.nlm.nih.gov/pmc/articles/PMC8230904/" TargetMode="External"/><Relationship Id="rId11" Type="http://schemas.openxmlformats.org/officeDocument/2006/relationships/hyperlink" Target="https://www.ncbi.nlm.nih.gov/pmc/articles/PMC8230904/" TargetMode="External"/><Relationship Id="rId24" Type="http://schemas.openxmlformats.org/officeDocument/2006/relationships/hyperlink" Target="https://www.ncbi.nlm.nih.gov/books/n/cooper/A2886/def-item/A3256/" TargetMode="External"/><Relationship Id="rId32" Type="http://schemas.openxmlformats.org/officeDocument/2006/relationships/hyperlink" Target="https://www.ncbi.nlm.nih.gov/books/n/cooper/A2886/def-item/A3099/" TargetMode="External"/><Relationship Id="rId37" Type="http://schemas.openxmlformats.org/officeDocument/2006/relationships/hyperlink" Target="https://www.frontiersin.org/articles/10.3389/fcell.2021.665289/full" TargetMode="External"/><Relationship Id="rId40" Type="http://schemas.openxmlformats.org/officeDocument/2006/relationships/theme" Target="theme/theme1.xml"/><Relationship Id="rId5" Type="http://schemas.openxmlformats.org/officeDocument/2006/relationships/hyperlink" Target="https://www.ncbi.nlm.nih.gov/pmc/articles/PMC8230904/" TargetMode="External"/><Relationship Id="rId15" Type="http://schemas.openxmlformats.org/officeDocument/2006/relationships/hyperlink" Target="https://www.nature.com/articles/srep20261" TargetMode="External"/><Relationship Id="rId23" Type="http://schemas.openxmlformats.org/officeDocument/2006/relationships/hyperlink" Target="https://www.ncbi.nlm.nih.gov/books/n/cooper/A2886/def-item/A3297/" TargetMode="External"/><Relationship Id="rId28" Type="http://schemas.openxmlformats.org/officeDocument/2006/relationships/hyperlink" Target="https://www.frontiersin.org/articles/10.3389/fcell.2021.665289/full" TargetMode="External"/><Relationship Id="rId36" Type="http://schemas.openxmlformats.org/officeDocument/2006/relationships/hyperlink" Target="https://www.frontiersin.org/articles/10.3389/fcell.2021.665289/full" TargetMode="External"/><Relationship Id="rId10" Type="http://schemas.openxmlformats.org/officeDocument/2006/relationships/hyperlink" Target="https://www.ncbi.nlm.nih.gov/pmc/articles/PMC8230904/" TargetMode="External"/><Relationship Id="rId19" Type="http://schemas.openxmlformats.org/officeDocument/2006/relationships/hyperlink" Target="https://www.nature.com/articles/srep20261" TargetMode="External"/><Relationship Id="rId31" Type="http://schemas.openxmlformats.org/officeDocument/2006/relationships/hyperlink" Target="https://doi.org/10.1093/glycob/cwu105" TargetMode="External"/><Relationship Id="rId4" Type="http://schemas.openxmlformats.org/officeDocument/2006/relationships/webSettings" Target="webSettings.xml"/><Relationship Id="rId9" Type="http://schemas.openxmlformats.org/officeDocument/2006/relationships/hyperlink" Target="https://www.ncbi.nlm.nih.gov/pmc/articles/PMC8230904/" TargetMode="External"/><Relationship Id="rId14" Type="http://schemas.openxmlformats.org/officeDocument/2006/relationships/hyperlink" Target="https://www.nature.com/articles/srep20261" TargetMode="External"/><Relationship Id="rId22" Type="http://schemas.openxmlformats.org/officeDocument/2006/relationships/hyperlink" Target="https://www.ncbi.nlm.nih.gov/books/NBK9838/figure/A1503/?report=objectonly" TargetMode="External"/><Relationship Id="rId27" Type="http://schemas.openxmlformats.org/officeDocument/2006/relationships/hyperlink" Target="https://www.frontiersin.org/articles/10.3389/fcell.2021.665289/full" TargetMode="External"/><Relationship Id="rId30" Type="http://schemas.openxmlformats.org/officeDocument/2006/relationships/hyperlink" Target="https://doi.org/10.3389/fcell.2021.665289" TargetMode="External"/><Relationship Id="rId35" Type="http://schemas.openxmlformats.org/officeDocument/2006/relationships/hyperlink" Target="https://www.frontiersin.org/articles/10.3389/fcell.2021.665289/full" TargetMode="External"/><Relationship Id="rId8" Type="http://schemas.openxmlformats.org/officeDocument/2006/relationships/hyperlink" Target="https://www.ncbi.nlm.nih.gov/pmc/articles/PMC8230904/"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1588</Words>
  <Characters>9054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Masson</dc:creator>
  <cp:keywords/>
  <dc:description/>
  <cp:lastModifiedBy>Helen Masson</cp:lastModifiedBy>
  <cp:revision>2</cp:revision>
  <dcterms:created xsi:type="dcterms:W3CDTF">2022-08-22T22:39:00Z</dcterms:created>
  <dcterms:modified xsi:type="dcterms:W3CDTF">2022-08-25T16:26:00Z</dcterms:modified>
</cp:coreProperties>
</file>