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5BD24073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06F25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42A54994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  <w:r w:rsidR="00906F25">
              <w:rPr>
                <w:rFonts w:cs="Arial"/>
                <w:szCs w:val="22"/>
              </w:rPr>
              <w:t xml:space="preserve">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213583CA" w:rsidR="00647EA5" w:rsidRPr="00647EA5" w:rsidRDefault="00DE0D18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2</w:t>
            </w:r>
            <w:r w:rsidR="005B46A9">
              <w:rPr>
                <w:rFonts w:cs="Arial"/>
                <w:szCs w:val="22"/>
              </w:rPr>
              <w:t xml:space="preserve">: </w:t>
            </w:r>
            <w:r w:rsidRPr="00DE0D18">
              <w:rPr>
                <w:rFonts w:cs="Arial"/>
                <w:szCs w:val="22"/>
              </w:rPr>
              <w:t>Legal and Financial Aspects of Running a Small Media Business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25EB77C1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12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22AA2183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01.2019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44D9BEFA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8FEE6BF" w:rsidR="00647EA5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Describe the legal and </w:t>
            </w:r>
            <w:r w:rsidRPr="00DE0D18">
              <w:rPr>
                <w:rFonts w:cs="Arial"/>
                <w:szCs w:val="22"/>
              </w:rPr>
              <w:t>financial aspects of starting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 small business with some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appropriate use of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540CA185" w:rsidR="005B46A9" w:rsidRPr="00555FB9" w:rsidRDefault="00DE0D18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546D745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DE0D18">
              <w:rPr>
                <w:rFonts w:cs="Arial"/>
                <w:szCs w:val="22"/>
              </w:rPr>
              <w:t>xplain the legal and financial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aspects of starting a small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business with reference to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detailed illustrative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with generally correct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use of subject terminology</w:t>
            </w:r>
            <w:r w:rsidR="00F34267"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462D61C7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2211CBCF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Comprehensively explain the </w:t>
            </w:r>
            <w:r w:rsidRPr="00DE0D18">
              <w:rPr>
                <w:rFonts w:cs="Arial"/>
                <w:szCs w:val="22"/>
              </w:rPr>
              <w:t>legal and financial aspects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of starting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with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385D7DFC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>, a small start up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</w:t>
            </w:r>
            <w:r w:rsidR="00906F25">
              <w:rPr>
                <w:rFonts w:ascii="Arial" w:hAnsi="Arial"/>
                <w:sz w:val="22"/>
                <w:szCs w:val="22"/>
              </w:rPr>
              <w:t xml:space="preserve">of </w:t>
            </w:r>
            <w:r>
              <w:rPr>
                <w:rFonts w:ascii="Arial" w:hAnsi="Arial"/>
                <w:sz w:val="22"/>
                <w:szCs w:val="22"/>
              </w:rPr>
              <w:t>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4490F9BB" w14:textId="77777777" w:rsidR="00DE0D1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</w:t>
            </w:r>
            <w:r w:rsidR="00DE0D18">
              <w:rPr>
                <w:rFonts w:ascii="Arial" w:hAnsi="Arial"/>
                <w:sz w:val="22"/>
                <w:szCs w:val="22"/>
              </w:rPr>
              <w:t>legal</w:t>
            </w:r>
            <w:r>
              <w:rPr>
                <w:rFonts w:ascii="Arial" w:hAnsi="Arial"/>
                <w:sz w:val="22"/>
                <w:szCs w:val="22"/>
              </w:rPr>
              <w:t xml:space="preserve"> and </w:t>
            </w:r>
            <w:r w:rsidR="00DE0D18">
              <w:rPr>
                <w:rFonts w:ascii="Arial" w:hAnsi="Arial"/>
                <w:sz w:val="22"/>
                <w:szCs w:val="22"/>
              </w:rPr>
              <w:t>financial aspects</w:t>
            </w:r>
            <w:r>
              <w:rPr>
                <w:rFonts w:ascii="Arial" w:hAnsi="Arial"/>
                <w:sz w:val="22"/>
                <w:szCs w:val="22"/>
              </w:rPr>
              <w:t xml:space="preserve"> which they will need to start initiating the start up of their business.</w:t>
            </w:r>
          </w:p>
          <w:p w14:paraId="2EF11FAA" w14:textId="77777777" w:rsidR="00DE0D18" w:rsidRDefault="00DE0D18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148B8A57" w:rsidR="00847299" w:rsidRPr="00576DF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96592E">
              <w:rPr>
                <w:rFonts w:ascii="Arial" w:hAnsi="Arial"/>
                <w:sz w:val="22"/>
                <w:szCs w:val="22"/>
              </w:rPr>
              <w:t>You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</w:t>
            </w:r>
            <w:r w:rsidR="00DE0D18" w:rsidRPr="00DE0D18">
              <w:rPr>
                <w:rFonts w:ascii="Arial" w:hAnsi="Arial"/>
                <w:sz w:val="22"/>
                <w:szCs w:val="22"/>
              </w:rPr>
              <w:t>legal and financial aspects</w:t>
            </w:r>
            <w:r>
              <w:rPr>
                <w:rFonts w:ascii="Arial" w:hAnsi="Arial"/>
                <w:sz w:val="22"/>
                <w:szCs w:val="22"/>
              </w:rPr>
              <w:t xml:space="preserve">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0202C351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906F25">
              <w:rPr>
                <w:rFonts w:cs="Arial"/>
                <w:b/>
                <w:szCs w:val="22"/>
              </w:rPr>
              <w:t xml:space="preserve"> – P2, M2, D2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2BED30E7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the following </w:t>
            </w:r>
            <w:r w:rsidR="00DE0D18">
              <w:rPr>
                <w:rFonts w:cs="Arial"/>
                <w:szCs w:val="22"/>
              </w:rPr>
              <w:t>legal</w:t>
            </w:r>
            <w:r w:rsidR="00F34267">
              <w:rPr>
                <w:rFonts w:cs="Arial"/>
                <w:szCs w:val="22"/>
              </w:rPr>
              <w:t xml:space="preserve"> and </w:t>
            </w:r>
            <w:r w:rsidR="00DE0D18">
              <w:rPr>
                <w:rFonts w:cs="Arial"/>
                <w:szCs w:val="22"/>
              </w:rPr>
              <w:t>financial</w:t>
            </w:r>
            <w:r w:rsidR="00F34267">
              <w:rPr>
                <w:rFonts w:cs="Arial"/>
                <w:szCs w:val="22"/>
              </w:rPr>
              <w:t xml:space="preserve"> </w:t>
            </w:r>
            <w:r w:rsidR="00906F25">
              <w:rPr>
                <w:rFonts w:cs="Arial"/>
                <w:szCs w:val="22"/>
              </w:rPr>
              <w:t xml:space="preserve">aspects </w:t>
            </w:r>
            <w:r w:rsidR="00F34267">
              <w:rPr>
                <w:rFonts w:cs="Arial"/>
                <w:szCs w:val="22"/>
              </w:rPr>
              <w:t>which are necessary for a small business in the creative industry</w:t>
            </w:r>
            <w:r w:rsidR="00906F25">
              <w:rPr>
                <w:rFonts w:cs="Arial"/>
                <w:szCs w:val="22"/>
              </w:rPr>
              <w:t xml:space="preserve">; explaining why they are important both generally and </w:t>
            </w:r>
            <w:r w:rsidR="004D1A3A">
              <w:rPr>
                <w:rFonts w:cs="Arial"/>
                <w:szCs w:val="22"/>
              </w:rPr>
              <w:t>in preparation towards your own plan</w:t>
            </w:r>
            <w:r w:rsidR="00906F25">
              <w:rPr>
                <w:rFonts w:cs="Arial"/>
                <w:szCs w:val="22"/>
              </w:rPr>
              <w:t>.</w:t>
            </w:r>
            <w:r w:rsidR="004D1A3A">
              <w:rPr>
                <w:rFonts w:cs="Arial"/>
                <w:szCs w:val="22"/>
              </w:rPr>
              <w:t xml:space="preserve"> You should be researching specific examples you can use to exemplify the point you are trying to make.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6D26DE8A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Legal status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sole trader; partnership; limited company; memorandum and articles of association; limited</w:t>
            </w:r>
          </w:p>
          <w:p w14:paraId="07343CF6" w14:textId="51836A25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liability; cooperative.</w:t>
            </w:r>
          </w:p>
          <w:p w14:paraId="43FEF474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7A136156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Legal aspects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national laws; regulations and by-laws; health and safety; fire regulations; legal liabilities;</w:t>
            </w:r>
          </w:p>
          <w:p w14:paraId="548A1461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insurance; planning permission; contracts; duties and responsibilities; employment law; regulatory bodies;</w:t>
            </w:r>
          </w:p>
          <w:p w14:paraId="503CBC0E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sources of advice, eg solicitors, accountants, small business services; software and other IT licences;</w:t>
            </w:r>
          </w:p>
          <w:p w14:paraId="450757BA" w14:textId="189970A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intellectual property strategy and protection.</w:t>
            </w:r>
          </w:p>
          <w:p w14:paraId="26F4D56B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0AD7D7C5" w14:textId="59D5AA83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Tax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liabilities in respect of tax (personal taxation liability, corporation tax, PAYE (Pay As You Earn)); national insurance; VAT</w:t>
            </w:r>
          </w:p>
          <w:p w14:paraId="19AC2418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7D9E3083" w14:textId="26B01559" w:rsid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Sources of finance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      </w:r>
          </w:p>
          <w:p w14:paraId="4C2FD0DF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38B80F65" w14:textId="77777777" w:rsidR="00DE0D18" w:rsidRPr="001D39FF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1D39FF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Financial systems</w:t>
            </w:r>
            <w:r w:rsidRPr="001D39FF">
              <w:rPr>
                <w:rFonts w:cs="Arial"/>
                <w:szCs w:val="22"/>
                <w:highlight w:val="green"/>
                <w:lang w:eastAsia="en-GB"/>
              </w:rPr>
              <w:t xml:space="preserve">: </w:t>
            </w:r>
            <w:r w:rsidRPr="001D39FF">
              <w:rPr>
                <w:rFonts w:cs="Arial"/>
                <w:i/>
                <w:szCs w:val="22"/>
                <w:highlight w:val="green"/>
                <w:lang w:eastAsia="en-GB"/>
              </w:rPr>
              <w:t>solvency; indebtedness; profit margins; cash flow; market share and vulnerability;</w:t>
            </w:r>
          </w:p>
          <w:p w14:paraId="08336EA3" w14:textId="77777777" w:rsidR="00DE0D18" w:rsidRPr="001D39FF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1D39FF">
              <w:rPr>
                <w:rFonts w:cs="Arial"/>
                <w:i/>
                <w:szCs w:val="22"/>
                <w:highlight w:val="green"/>
                <w:lang w:eastAsia="en-GB"/>
              </w:rPr>
              <w:t>personal survival budget; overhead costs (premises, equipment, supplies, running costs, paying staff,</w:t>
            </w:r>
          </w:p>
          <w:p w14:paraId="72B98FF7" w14:textId="27879CDC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1D39FF">
              <w:rPr>
                <w:rFonts w:cs="Arial"/>
                <w:i/>
                <w:szCs w:val="22"/>
                <w:highlight w:val="green"/>
                <w:lang w:eastAsia="en-GB"/>
              </w:rPr>
              <w:t>marketing expenses, business development expenses, pensions, trade and other subscriptions); cash flowforecasting; record keeping; invoicing; payment tracking; software accounting systems</w:t>
            </w:r>
          </w:p>
          <w:p w14:paraId="616CD72C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614A6620" w14:textId="53D4E6D3" w:rsidR="00F34267" w:rsidRPr="00E2581E" w:rsidRDefault="00DE0D18" w:rsidP="00DE0D18">
            <w:pPr>
              <w:rPr>
                <w:rFonts w:cs="Arial"/>
                <w:szCs w:val="22"/>
                <w:highlight w:val="green"/>
                <w:lang w:eastAsia="en-GB"/>
              </w:rPr>
            </w:pPr>
            <w:r w:rsidRPr="00E2581E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Credit control</w:t>
            </w:r>
            <w:r w:rsidRPr="00E2581E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E2581E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E2581E">
              <w:rPr>
                <w:rFonts w:cs="Arial"/>
                <w:i/>
                <w:szCs w:val="22"/>
                <w:highlight w:val="green"/>
                <w:lang w:eastAsia="en-GB"/>
              </w:rPr>
              <w:t>the importance of credit control; simple credit control techniques</w:t>
            </w:r>
          </w:p>
          <w:p w14:paraId="29A7FC4E" w14:textId="77777777" w:rsidR="00DE0D18" w:rsidRPr="00E2581E" w:rsidRDefault="00DE0D18" w:rsidP="00DE0D18">
            <w:pPr>
              <w:rPr>
                <w:rFonts w:cs="Arial"/>
                <w:szCs w:val="22"/>
                <w:highlight w:val="green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 w:rsidRPr="00E2581E">
              <w:rPr>
                <w:rFonts w:cs="Arial"/>
                <w:szCs w:val="22"/>
                <w:highlight w:val="green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0810FB7" w:rsidR="00847299" w:rsidRPr="00D01092" w:rsidRDefault="00185783" w:rsidP="00906F2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 xml:space="preserve">ord document evidencing </w:t>
            </w:r>
            <w:r w:rsidR="00906F25">
              <w:rPr>
                <w:rFonts w:cs="Arial"/>
                <w:color w:val="000000"/>
                <w:szCs w:val="22"/>
              </w:rPr>
              <w:t>all bold headings from task one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40774E54" w:rsidR="0064361F" w:rsidRDefault="0064361F" w:rsidP="0064361F">
      <w:pPr>
        <w:contextualSpacing/>
        <w:rPr>
          <w:rFonts w:cs="Arial"/>
          <w:szCs w:val="22"/>
        </w:rPr>
      </w:pPr>
    </w:p>
    <w:p w14:paraId="3C04B08D" w14:textId="1AF5E85E" w:rsidR="00C04BCA" w:rsidRDefault="00C04BCA" w:rsidP="0064361F">
      <w:pPr>
        <w:contextualSpacing/>
        <w:rPr>
          <w:rFonts w:cs="Arial"/>
          <w:szCs w:val="22"/>
        </w:rPr>
      </w:pPr>
    </w:p>
    <w:p w14:paraId="66E01B23" w14:textId="3E7E085F" w:rsidR="00C04BCA" w:rsidRDefault="00C04BCA" w:rsidP="0064361F">
      <w:pPr>
        <w:contextualSpacing/>
        <w:rPr>
          <w:rFonts w:cs="Arial"/>
          <w:szCs w:val="22"/>
        </w:rPr>
      </w:pPr>
    </w:p>
    <w:p w14:paraId="40D61D8A" w14:textId="77777777" w:rsidR="00CB749D" w:rsidRDefault="003520F1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lastRenderedPageBreak/>
        <w:t>Legal Status:</w:t>
      </w:r>
    </w:p>
    <w:p w14:paraId="7ED1C426" w14:textId="4B5E17E3" w:rsidR="00CB749D" w:rsidRPr="00CB749D" w:rsidRDefault="003520F1" w:rsidP="00CB749D">
      <w:pPr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Cs w:val="22"/>
        </w:rPr>
        <w:t xml:space="preserve">Sole Trader: </w:t>
      </w:r>
      <w:r w:rsidR="00EE6859">
        <w:rPr>
          <w:rFonts w:cs="Arial"/>
          <w:szCs w:val="22"/>
        </w:rPr>
        <w:t>A sole trader is t</w:t>
      </w:r>
      <w:r w:rsidR="00CC07A3">
        <w:rPr>
          <w:rFonts w:cs="Arial"/>
          <w:szCs w:val="22"/>
        </w:rPr>
        <w:t xml:space="preserve">he exclusive owner of a business who is entiled to keep all </w:t>
      </w:r>
      <w:r w:rsidR="00430529">
        <w:rPr>
          <w:rFonts w:cs="Arial"/>
          <w:szCs w:val="22"/>
        </w:rPr>
        <w:t>profits</w:t>
      </w:r>
      <w:r w:rsidR="00CC07A3">
        <w:rPr>
          <w:rFonts w:cs="Arial"/>
          <w:szCs w:val="22"/>
        </w:rPr>
        <w:t xml:space="preserve"> after tax,</w:t>
      </w:r>
    </w:p>
    <w:p w14:paraId="6EF26415" w14:textId="0E445024" w:rsidR="00CB749D" w:rsidRDefault="00CC07A3" w:rsidP="00CB749D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but is liable for all losses.</w:t>
      </w:r>
    </w:p>
    <w:p w14:paraId="6DC32EC5" w14:textId="77777777" w:rsidR="00CB749D" w:rsidRDefault="00CB749D" w:rsidP="00CB749D">
      <w:pPr>
        <w:contextualSpacing/>
        <w:rPr>
          <w:rFonts w:cs="Arial"/>
          <w:szCs w:val="22"/>
        </w:rPr>
      </w:pPr>
    </w:p>
    <w:p w14:paraId="6EAA465D" w14:textId="73E63685" w:rsidR="003520F1" w:rsidRDefault="003520F1" w:rsidP="00CB749D">
      <w:pPr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Partnership:</w:t>
      </w:r>
      <w:r w:rsidR="000F14BE">
        <w:rPr>
          <w:rFonts w:cs="Arial"/>
          <w:b/>
          <w:szCs w:val="22"/>
        </w:rPr>
        <w:t xml:space="preserve"> </w:t>
      </w:r>
      <w:r w:rsidR="000F14BE">
        <w:rPr>
          <w:rFonts w:cs="Arial"/>
          <w:szCs w:val="22"/>
        </w:rPr>
        <w:t>This is a partnership between t</w:t>
      </w:r>
      <w:r w:rsidR="00B52709">
        <w:rPr>
          <w:rFonts w:cs="Arial"/>
          <w:szCs w:val="22"/>
        </w:rPr>
        <w:t>w</w:t>
      </w:r>
      <w:r w:rsidR="000F14BE">
        <w:rPr>
          <w:rFonts w:cs="Arial"/>
          <w:szCs w:val="22"/>
        </w:rPr>
        <w:t>o</w:t>
      </w:r>
      <w:r w:rsidR="00B52709">
        <w:rPr>
          <w:rFonts w:cs="Arial"/>
          <w:szCs w:val="22"/>
        </w:rPr>
        <w:t xml:space="preserve"> commercial entities</w:t>
      </w:r>
      <w:r w:rsidR="002F6C6E">
        <w:rPr>
          <w:rFonts w:cs="Arial"/>
          <w:szCs w:val="22"/>
        </w:rPr>
        <w:t xml:space="preserve">, </w:t>
      </w:r>
      <w:r w:rsidR="007F5F7F">
        <w:rPr>
          <w:rFonts w:cs="Arial"/>
          <w:szCs w:val="22"/>
        </w:rPr>
        <w:t>in which</w:t>
      </w:r>
      <w:r w:rsidR="002F6C6E">
        <w:rPr>
          <w:rFonts w:cs="Arial"/>
          <w:szCs w:val="22"/>
        </w:rPr>
        <w:t xml:space="preserve"> </w:t>
      </w:r>
      <w:r w:rsidR="007F5F7F">
        <w:rPr>
          <w:rFonts w:cs="Arial"/>
          <w:szCs w:val="22"/>
        </w:rPr>
        <w:t>they work together to create a product.</w:t>
      </w:r>
    </w:p>
    <w:p w14:paraId="61C68F5D" w14:textId="77777777" w:rsidR="00CB749D" w:rsidRPr="000F14BE" w:rsidRDefault="00CB749D" w:rsidP="00CB749D">
      <w:pPr>
        <w:contextualSpacing/>
        <w:rPr>
          <w:rFonts w:cs="Arial"/>
          <w:szCs w:val="22"/>
        </w:rPr>
      </w:pPr>
    </w:p>
    <w:p w14:paraId="42A01722" w14:textId="1976D727" w:rsidR="003520F1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Limited Company:</w:t>
      </w:r>
      <w:r w:rsidR="007F5F7F">
        <w:rPr>
          <w:rFonts w:cs="Arial"/>
          <w:b/>
          <w:szCs w:val="22"/>
        </w:rPr>
        <w:t xml:space="preserve"> </w:t>
      </w:r>
      <w:r w:rsidR="007F5F7F">
        <w:rPr>
          <w:rFonts w:cs="Arial"/>
          <w:szCs w:val="22"/>
        </w:rPr>
        <w:t>This is a private company whose owners are legally responsible for debts, only to the extent of the amount of capital they invested.</w:t>
      </w:r>
    </w:p>
    <w:p w14:paraId="7F28AA03" w14:textId="77777777" w:rsidR="00CB749D" w:rsidRPr="007F5F7F" w:rsidRDefault="00CB749D" w:rsidP="00CB749D">
      <w:pPr>
        <w:spacing w:after="240"/>
        <w:contextualSpacing/>
        <w:rPr>
          <w:rFonts w:cs="Arial"/>
          <w:szCs w:val="22"/>
        </w:rPr>
      </w:pPr>
    </w:p>
    <w:p w14:paraId="1AE8163C" w14:textId="560F33CB" w:rsidR="00CB749D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Cooperative: </w:t>
      </w:r>
      <w:r w:rsidR="009B7761">
        <w:rPr>
          <w:rFonts w:cs="Arial"/>
          <w:szCs w:val="22"/>
        </w:rPr>
        <w:t xml:space="preserve">When a </w:t>
      </w:r>
      <w:r w:rsidR="00CB749D">
        <w:rPr>
          <w:rFonts w:cs="Arial"/>
          <w:szCs w:val="22"/>
        </w:rPr>
        <w:t>group of people own an equal proportion of a company.</w:t>
      </w:r>
    </w:p>
    <w:p w14:paraId="2042D295" w14:textId="77777777" w:rsidR="00CB749D" w:rsidRDefault="00CB749D" w:rsidP="00CB749D">
      <w:pPr>
        <w:spacing w:after="240"/>
        <w:contextualSpacing/>
        <w:rPr>
          <w:rFonts w:cs="Arial"/>
          <w:szCs w:val="22"/>
        </w:rPr>
      </w:pPr>
    </w:p>
    <w:p w14:paraId="033D03E8" w14:textId="7B19D0F2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3E83E89C" w14:textId="5CBD8417" w:rsid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</w:t>
      </w:r>
      <w:r w:rsidR="00430529">
        <w:rPr>
          <w:rFonts w:cs="Arial"/>
          <w:b/>
          <w:szCs w:val="22"/>
        </w:rPr>
        <w:t>al</w:t>
      </w:r>
      <w:r>
        <w:rPr>
          <w:rFonts w:cs="Arial"/>
          <w:b/>
          <w:szCs w:val="22"/>
        </w:rPr>
        <w:t xml:space="preserve"> Laws:</w:t>
      </w:r>
      <w:r w:rsidR="00294C91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National laws are laws that exist within a nation or state</w:t>
      </w:r>
      <w:r w:rsidR="00802E48">
        <w:rPr>
          <w:rFonts w:cs="Arial"/>
          <w:szCs w:val="22"/>
        </w:rPr>
        <w:t>. Two laws are the “Data Protection Act 2018”, and “The Gambling Act 2005”.</w:t>
      </w:r>
    </w:p>
    <w:p w14:paraId="6D815732" w14:textId="77777777" w:rsidR="00802E48" w:rsidRDefault="00802E48" w:rsidP="00CB749D">
      <w:pPr>
        <w:spacing w:after="240"/>
        <w:contextualSpacing/>
        <w:rPr>
          <w:rFonts w:cs="Arial"/>
          <w:szCs w:val="22"/>
        </w:rPr>
      </w:pPr>
    </w:p>
    <w:p w14:paraId="652D0C28" w14:textId="3C9849D3" w:rsidR="00802E48" w:rsidRPr="00430529" w:rsidRDefault="00802E48" w:rsidP="00CB749D">
      <w:pPr>
        <w:spacing w:after="240"/>
        <w:contextualSpacing/>
        <w:rPr>
          <w:rFonts w:cs="Arial"/>
          <w:szCs w:val="22"/>
        </w:rPr>
      </w:pPr>
      <w:r w:rsidRPr="00AE4C1F">
        <w:rPr>
          <w:rFonts w:cs="Arial"/>
          <w:szCs w:val="22"/>
          <w:u w:val="single"/>
        </w:rPr>
        <w:t>Data Protection Act 2018</w:t>
      </w:r>
      <w:r w:rsidR="00924A53" w:rsidRPr="00AE4C1F">
        <w:rPr>
          <w:rFonts w:cs="Arial"/>
          <w:szCs w:val="22"/>
          <w:u w:val="single"/>
        </w:rPr>
        <w:t>:</w:t>
      </w:r>
      <w:r w:rsidR="00924A53" w:rsidRPr="00924A53">
        <w:rPr>
          <w:rFonts w:cs="Arial"/>
          <w:szCs w:val="22"/>
        </w:rPr>
        <w:t xml:space="preserve"> It</w:t>
      </w:r>
      <w:r w:rsidR="00924A53" w:rsidRPr="00924A53">
        <w:rPr>
          <w:rStyle w:val="ilfuvd"/>
        </w:rPr>
        <w:t xml:space="preserve"> came into force on </w:t>
      </w:r>
      <w:r w:rsidR="00C6449A" w:rsidRPr="00924A53">
        <w:rPr>
          <w:rStyle w:val="ilfuvd"/>
        </w:rPr>
        <w:t xml:space="preserve">May 25, </w:t>
      </w:r>
      <w:r w:rsidR="00C6449A" w:rsidRPr="00924A53">
        <w:rPr>
          <w:rStyle w:val="ilfuvd"/>
          <w:bCs/>
        </w:rPr>
        <w:t>2018</w:t>
      </w:r>
      <w:r w:rsidR="00C6449A" w:rsidRPr="00924A53">
        <w:rPr>
          <w:rStyle w:val="ilfuvd"/>
        </w:rPr>
        <w:t xml:space="preserve"> and</w:t>
      </w:r>
      <w:r w:rsidR="00924A53" w:rsidRPr="00924A53">
        <w:rPr>
          <w:rStyle w:val="ilfuvd"/>
        </w:rPr>
        <w:t xml:space="preserve"> was designed to modernise laws that </w:t>
      </w:r>
      <w:r w:rsidR="00924A53" w:rsidRPr="00924A53">
        <w:rPr>
          <w:rStyle w:val="ilfuvd"/>
          <w:bCs/>
        </w:rPr>
        <w:t>protect</w:t>
      </w:r>
      <w:r w:rsidR="00924A53" w:rsidRPr="00924A53">
        <w:rPr>
          <w:rStyle w:val="ilfuvd"/>
        </w:rPr>
        <w:t xml:space="preserve"> the personal information of individuals. It also boosts the rights of individuals and gives them more control over their information.</w:t>
      </w:r>
    </w:p>
    <w:p w14:paraId="5730FCAE" w14:textId="29979AB3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1685B1" w14:textId="47C981E3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  <w:r w:rsidRPr="00AE4C1F">
        <w:rPr>
          <w:rFonts w:cs="Arial"/>
          <w:szCs w:val="22"/>
          <w:u w:val="single"/>
        </w:rPr>
        <w:t>The Gambling Act 2005</w:t>
      </w:r>
      <w:r w:rsidR="00924A53" w:rsidRPr="00AE4C1F">
        <w:rPr>
          <w:rFonts w:cs="Arial"/>
          <w:szCs w:val="22"/>
          <w:u w:val="single"/>
        </w:rPr>
        <w:t>:</w:t>
      </w:r>
      <w:r w:rsidR="00C6449A">
        <w:rPr>
          <w:rFonts w:cs="Arial"/>
          <w:szCs w:val="22"/>
        </w:rPr>
        <w:t xml:space="preserve"> Designed to prevent gambling from being a source of crime or disorder / being associated with crime. Ensuring that gambling is being conducted in a fair and open way. Protecting children and other venerable people from being exploited.</w:t>
      </w:r>
    </w:p>
    <w:p w14:paraId="341833EB" w14:textId="77777777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</w:p>
    <w:p w14:paraId="2B85B218" w14:textId="5FF995A8" w:rsidR="00CB749D" w:rsidRP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Health and Safety:</w:t>
      </w:r>
      <w:r w:rsidR="00430529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When owning a business health and safety are the top priority</w:t>
      </w:r>
      <w:r w:rsidR="00C300C5">
        <w:rPr>
          <w:rFonts w:cs="Arial"/>
          <w:szCs w:val="22"/>
        </w:rPr>
        <w:t>. You as the business owner are responsible for all (</w:t>
      </w:r>
      <w:r w:rsidR="005C0117">
        <w:rPr>
          <w:rFonts w:cs="Arial"/>
          <w:szCs w:val="22"/>
        </w:rPr>
        <w:t>within your control</w:t>
      </w:r>
      <w:r w:rsidR="00C300C5">
        <w:rPr>
          <w:rFonts w:cs="Arial"/>
          <w:szCs w:val="22"/>
        </w:rPr>
        <w:t>)</w:t>
      </w:r>
      <w:r w:rsidR="005C0117">
        <w:rPr>
          <w:rFonts w:cs="Arial"/>
          <w:szCs w:val="22"/>
        </w:rPr>
        <w:t xml:space="preserve"> injuries, which makes you open to being sued.</w:t>
      </w:r>
      <w:r w:rsidR="005A7D3D">
        <w:rPr>
          <w:rFonts w:cs="Arial"/>
          <w:szCs w:val="22"/>
        </w:rPr>
        <w:t xml:space="preserve"> To prevent </w:t>
      </w:r>
      <w:r w:rsidR="00760938">
        <w:rPr>
          <w:rFonts w:cs="Arial"/>
          <w:szCs w:val="22"/>
        </w:rPr>
        <w:t>this,</w:t>
      </w:r>
      <w:r w:rsidR="005A7D3D">
        <w:rPr>
          <w:rFonts w:cs="Arial"/>
          <w:szCs w:val="22"/>
        </w:rPr>
        <w:t xml:space="preserve"> make sure to </w:t>
      </w:r>
      <w:r w:rsidR="00760938">
        <w:rPr>
          <w:rFonts w:cs="Arial"/>
          <w:szCs w:val="22"/>
        </w:rPr>
        <w:t>eliminate all causes of workplace injuries (tripping over cables, slipping on a wet floor, etc)</w:t>
      </w:r>
    </w:p>
    <w:p w14:paraId="646F678C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4BEF357" w14:textId="4F20E05D" w:rsidR="00CB749D" w:rsidRPr="00E00D3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Fire Regulations:</w:t>
      </w:r>
      <w:r w:rsidR="00E00D39">
        <w:rPr>
          <w:rFonts w:cs="Arial"/>
          <w:b/>
          <w:szCs w:val="22"/>
        </w:rPr>
        <w:t xml:space="preserve"> </w:t>
      </w:r>
      <w:r w:rsidR="00E00D39">
        <w:rPr>
          <w:rFonts w:cs="Arial"/>
          <w:szCs w:val="22"/>
        </w:rPr>
        <w:t xml:space="preserve">Fire safety is a high priority and is </w:t>
      </w:r>
      <w:r w:rsidR="00AB023B">
        <w:rPr>
          <w:rFonts w:cs="Arial"/>
          <w:szCs w:val="22"/>
        </w:rPr>
        <w:t xml:space="preserve">explained </w:t>
      </w:r>
      <w:r w:rsidR="00E00D39">
        <w:rPr>
          <w:rFonts w:cs="Arial"/>
          <w:szCs w:val="22"/>
        </w:rPr>
        <w:t xml:space="preserve">out in detail, in case of an emergency. </w:t>
      </w:r>
      <w:r w:rsidR="00AB023B">
        <w:rPr>
          <w:rFonts w:cs="Arial"/>
          <w:szCs w:val="22"/>
        </w:rPr>
        <w:t>Typically,</w:t>
      </w:r>
      <w:r w:rsidR="00E00D39">
        <w:rPr>
          <w:rFonts w:cs="Arial"/>
          <w:szCs w:val="22"/>
        </w:rPr>
        <w:t xml:space="preserve"> a member of staff would be given a “Fire Safety Officer” </w:t>
      </w:r>
      <w:r w:rsidR="00AB023B">
        <w:rPr>
          <w:rFonts w:cs="Arial"/>
          <w:szCs w:val="22"/>
        </w:rPr>
        <w:t>role and</w:t>
      </w:r>
      <w:r w:rsidR="00E00D39">
        <w:rPr>
          <w:rFonts w:cs="Arial"/>
          <w:szCs w:val="22"/>
        </w:rPr>
        <w:t xml:space="preserve"> would be tasked with </w:t>
      </w:r>
      <w:r w:rsidR="00AB023B">
        <w:rPr>
          <w:rFonts w:cs="Arial"/>
          <w:szCs w:val="22"/>
        </w:rPr>
        <w:t>taking</w:t>
      </w:r>
      <w:r w:rsidR="00E00D39">
        <w:rPr>
          <w:rFonts w:cs="Arial"/>
          <w:szCs w:val="22"/>
        </w:rPr>
        <w:t xml:space="preserve"> control of the situation</w:t>
      </w:r>
      <w:r w:rsidR="000106F1">
        <w:rPr>
          <w:rFonts w:cs="Arial"/>
          <w:szCs w:val="22"/>
        </w:rPr>
        <w:t xml:space="preserve"> in an event of a fire</w:t>
      </w:r>
      <w:r w:rsidR="00E00D39">
        <w:rPr>
          <w:rFonts w:cs="Arial"/>
          <w:szCs w:val="22"/>
        </w:rPr>
        <w:t>.</w:t>
      </w:r>
    </w:p>
    <w:p w14:paraId="705DFCD5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B15837A" w14:textId="1EE75021" w:rsidR="00CB749D" w:rsidRPr="00CB0B6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Insurance:</w:t>
      </w:r>
      <w:r w:rsidR="00CB0B6F">
        <w:rPr>
          <w:rFonts w:cs="Arial"/>
          <w:b/>
          <w:szCs w:val="22"/>
        </w:rPr>
        <w:t xml:space="preserve"> </w:t>
      </w:r>
      <w:r w:rsidR="00CB0B6F">
        <w:rPr>
          <w:rFonts w:cs="Arial"/>
          <w:szCs w:val="22"/>
        </w:rPr>
        <w:t xml:space="preserve">An arrangement in which a company pays a set amount of money </w:t>
      </w:r>
      <w:r w:rsidR="00AB023B">
        <w:rPr>
          <w:rFonts w:cs="Arial"/>
          <w:szCs w:val="22"/>
        </w:rPr>
        <w:t>annually</w:t>
      </w:r>
      <w:r w:rsidR="00CB0B6F">
        <w:rPr>
          <w:rFonts w:cs="Arial"/>
          <w:szCs w:val="22"/>
        </w:rPr>
        <w:t xml:space="preserve">, with a </w:t>
      </w:r>
      <w:r w:rsidR="00AB023B">
        <w:rPr>
          <w:rFonts w:cs="Arial"/>
          <w:szCs w:val="22"/>
        </w:rPr>
        <w:t>guarantee</w:t>
      </w:r>
      <w:r w:rsidR="00CB0B6F">
        <w:rPr>
          <w:rFonts w:cs="Arial"/>
          <w:szCs w:val="22"/>
        </w:rPr>
        <w:t xml:space="preserve"> of compensation in the event of a loss (damage, illness).</w:t>
      </w:r>
    </w:p>
    <w:p w14:paraId="45F9A334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5DF0BFC0" w14:textId="2871BB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Tax:</w:t>
      </w:r>
    </w:p>
    <w:p w14:paraId="65DF1273" w14:textId="4D455344" w:rsidR="00CB749D" w:rsidRPr="001856C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Liabilities in Respect of </w:t>
      </w:r>
      <w:r w:rsidR="001856CD">
        <w:rPr>
          <w:rFonts w:cs="Arial"/>
          <w:b/>
          <w:szCs w:val="22"/>
        </w:rPr>
        <w:t>tax</w:t>
      </w:r>
      <w:r>
        <w:rPr>
          <w:rFonts w:cs="Arial"/>
          <w:b/>
          <w:szCs w:val="22"/>
        </w:rPr>
        <w:t>:</w:t>
      </w:r>
      <w:r w:rsidR="001856CD">
        <w:rPr>
          <w:rFonts w:cs="Arial"/>
          <w:b/>
          <w:szCs w:val="22"/>
        </w:rPr>
        <w:t xml:space="preserve"> </w:t>
      </w:r>
      <w:r w:rsidR="001856CD">
        <w:rPr>
          <w:rFonts w:cs="Arial"/>
          <w:szCs w:val="22"/>
        </w:rPr>
        <w:t xml:space="preserve">Tax liability is the total amount of tax debt owed by an individual or </w:t>
      </w:r>
      <w:r w:rsidR="00AB023B">
        <w:rPr>
          <w:rFonts w:cs="Arial"/>
          <w:szCs w:val="22"/>
        </w:rPr>
        <w:t>corporation</w:t>
      </w:r>
      <w:r w:rsidR="001856CD">
        <w:rPr>
          <w:rFonts w:cs="Arial"/>
          <w:szCs w:val="22"/>
        </w:rPr>
        <w:t>. Tax liabilities are obtained when earning any form of income.</w:t>
      </w:r>
    </w:p>
    <w:p w14:paraId="2897390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C96DE6C" w14:textId="3318A228" w:rsidR="00CB749D" w:rsidRPr="006B172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National Insurance:</w:t>
      </w:r>
      <w:r w:rsidR="006B172F">
        <w:rPr>
          <w:rFonts w:cs="Arial"/>
          <w:b/>
          <w:szCs w:val="22"/>
        </w:rPr>
        <w:t xml:space="preserve"> </w:t>
      </w:r>
      <w:r w:rsidR="006B172F">
        <w:rPr>
          <w:rFonts w:cs="Arial"/>
          <w:szCs w:val="22"/>
        </w:rPr>
        <w:t xml:space="preserve">National Insurance (NI) is a tax system for funding state benefits. </w:t>
      </w:r>
    </w:p>
    <w:p w14:paraId="608B6F09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C47729" w14:textId="4ED37D86" w:rsidR="00CB749D" w:rsidRPr="00AB023B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VAT:</w:t>
      </w:r>
      <w:r w:rsidR="00AB023B">
        <w:rPr>
          <w:rFonts w:cs="Arial"/>
          <w:b/>
          <w:szCs w:val="22"/>
        </w:rPr>
        <w:t xml:space="preserve"> </w:t>
      </w:r>
      <w:r w:rsidR="00AB023B">
        <w:rPr>
          <w:rFonts w:cs="Arial"/>
          <w:szCs w:val="22"/>
        </w:rPr>
        <w:t xml:space="preserve">VAT is a form of tax applied to purchases of goods or other services, however some products are exempt from this.  </w:t>
      </w:r>
    </w:p>
    <w:p w14:paraId="1E0A05E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7505075" w14:textId="019027B0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Sources of Finance:</w:t>
      </w:r>
    </w:p>
    <w:p w14:paraId="124F3F17" w14:textId="777777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</w:p>
    <w:p w14:paraId="4C8DC52B" w14:textId="034E5991" w:rsidR="00CB749D" w:rsidRPr="00B471FE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Loans:</w:t>
      </w:r>
      <w:r w:rsidR="006561B1">
        <w:rPr>
          <w:rFonts w:cs="Arial"/>
          <w:b/>
          <w:szCs w:val="22"/>
        </w:rPr>
        <w:t xml:space="preserve"> </w:t>
      </w:r>
      <w:r w:rsidR="00B471FE">
        <w:rPr>
          <w:rFonts w:cs="Arial"/>
          <w:szCs w:val="22"/>
        </w:rPr>
        <w:t xml:space="preserve">A loan is a borrowed lump </w:t>
      </w:r>
      <w:r w:rsidR="00520C95">
        <w:rPr>
          <w:rFonts w:cs="Arial"/>
          <w:szCs w:val="22"/>
        </w:rPr>
        <w:t>sum</w:t>
      </w:r>
      <w:r w:rsidR="00B471FE">
        <w:rPr>
          <w:rFonts w:cs="Arial"/>
          <w:szCs w:val="22"/>
        </w:rPr>
        <w:t xml:space="preserve"> of money, which </w:t>
      </w:r>
      <w:r w:rsidR="00520C95">
        <w:rPr>
          <w:rFonts w:cs="Arial"/>
          <w:szCs w:val="22"/>
        </w:rPr>
        <w:t>must</w:t>
      </w:r>
      <w:r w:rsidR="00B471FE">
        <w:rPr>
          <w:rFonts w:cs="Arial"/>
          <w:szCs w:val="22"/>
        </w:rPr>
        <w:t xml:space="preserve"> be </w:t>
      </w:r>
      <w:r w:rsidR="00520C95">
        <w:rPr>
          <w:rFonts w:cs="Arial"/>
          <w:szCs w:val="22"/>
        </w:rPr>
        <w:t>paid</w:t>
      </w:r>
      <w:r w:rsidR="00B471FE">
        <w:rPr>
          <w:rFonts w:cs="Arial"/>
          <w:szCs w:val="22"/>
        </w:rPr>
        <w:t xml:space="preserve"> back over time. </w:t>
      </w:r>
      <w:r w:rsidR="00520C95">
        <w:rPr>
          <w:rFonts w:cs="Arial"/>
          <w:szCs w:val="22"/>
        </w:rPr>
        <w:t>Interest</w:t>
      </w:r>
      <w:r w:rsidR="00B471FE">
        <w:rPr>
          <w:rFonts w:cs="Arial"/>
          <w:szCs w:val="22"/>
        </w:rPr>
        <w:t xml:space="preserve"> is added to the total amount, which means you will have to pay back </w:t>
      </w:r>
      <w:r w:rsidR="00520C95">
        <w:rPr>
          <w:rFonts w:cs="Arial"/>
          <w:szCs w:val="22"/>
        </w:rPr>
        <w:t>more;</w:t>
      </w:r>
      <w:r w:rsidR="00B471FE">
        <w:rPr>
          <w:rFonts w:cs="Arial"/>
          <w:szCs w:val="22"/>
        </w:rPr>
        <w:t xml:space="preserve"> </w:t>
      </w:r>
      <w:r w:rsidR="00520C95">
        <w:rPr>
          <w:rFonts w:cs="Arial"/>
          <w:szCs w:val="22"/>
        </w:rPr>
        <w:t>however,</w:t>
      </w:r>
      <w:r w:rsidR="00B471FE">
        <w:rPr>
          <w:rFonts w:cs="Arial"/>
          <w:szCs w:val="22"/>
        </w:rPr>
        <w:t xml:space="preserve"> I can be a very easy way of starting up a </w:t>
      </w:r>
      <w:r w:rsidR="00520C95">
        <w:rPr>
          <w:rFonts w:cs="Arial"/>
          <w:szCs w:val="22"/>
        </w:rPr>
        <w:t>business</w:t>
      </w:r>
      <w:r w:rsidR="00B471FE">
        <w:rPr>
          <w:rFonts w:cs="Arial"/>
          <w:szCs w:val="22"/>
        </w:rPr>
        <w:t xml:space="preserve"> quickly.</w:t>
      </w:r>
    </w:p>
    <w:p w14:paraId="3AB0949E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4242F9D0" w14:textId="424F848D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Overdrafts:</w:t>
      </w:r>
      <w:r w:rsidR="00BF578C">
        <w:rPr>
          <w:rFonts w:cs="Arial"/>
          <w:b/>
          <w:szCs w:val="22"/>
        </w:rPr>
        <w:t xml:space="preserve"> </w:t>
      </w:r>
      <w:r w:rsidR="00BF578C">
        <w:rPr>
          <w:rFonts w:cs="Arial"/>
          <w:szCs w:val="22"/>
        </w:rPr>
        <w:t xml:space="preserve">An overdraft is somewhat </w:t>
      </w:r>
      <w:r w:rsidR="00987BD8">
        <w:rPr>
          <w:rFonts w:cs="Arial"/>
          <w:szCs w:val="22"/>
        </w:rPr>
        <w:t>like</w:t>
      </w:r>
      <w:r w:rsidR="00BF578C">
        <w:rPr>
          <w:rFonts w:cs="Arial"/>
          <w:szCs w:val="22"/>
        </w:rPr>
        <w:t xml:space="preserve"> a loan, but instead of getting more money, you</w:t>
      </w:r>
      <w:r w:rsidR="001C1E33">
        <w:rPr>
          <w:rFonts w:cs="Arial"/>
          <w:szCs w:val="22"/>
        </w:rPr>
        <w:t>’re</w:t>
      </w:r>
      <w:r w:rsidR="00BF578C">
        <w:rPr>
          <w:rFonts w:cs="Arial"/>
          <w:szCs w:val="22"/>
        </w:rPr>
        <w:t xml:space="preserve"> using all yours </w:t>
      </w:r>
      <w:r w:rsidR="00987BD8">
        <w:rPr>
          <w:rFonts w:cs="Arial"/>
          <w:szCs w:val="22"/>
        </w:rPr>
        <w:t>while also borrowing from the bank. This is riskier than a loan, but if your confident you can pay it back quickly it might be the best option.</w:t>
      </w:r>
    </w:p>
    <w:p w14:paraId="7F9CE278" w14:textId="77777777" w:rsidR="00916E4D" w:rsidRDefault="00916E4D" w:rsidP="00CB749D">
      <w:pPr>
        <w:spacing w:after="240"/>
        <w:contextualSpacing/>
        <w:rPr>
          <w:rFonts w:cs="Arial"/>
          <w:b/>
          <w:szCs w:val="22"/>
        </w:rPr>
      </w:pPr>
    </w:p>
    <w:p w14:paraId="207A9635" w14:textId="57424403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Start-up Schemes:</w:t>
      </w:r>
      <w:r w:rsidR="00E46E40">
        <w:rPr>
          <w:rFonts w:cs="Arial"/>
          <w:b/>
          <w:szCs w:val="22"/>
        </w:rPr>
        <w:t xml:space="preserve"> </w:t>
      </w:r>
      <w:r w:rsidR="00E46E40">
        <w:rPr>
          <w:rFonts w:cs="Arial"/>
          <w:szCs w:val="22"/>
        </w:rPr>
        <w:t>A start-up scheme is a system designed to</w:t>
      </w:r>
      <w:r w:rsidR="00A60123">
        <w:rPr>
          <w:rFonts w:cs="Arial"/>
          <w:szCs w:val="22"/>
        </w:rPr>
        <w:t xml:space="preserve"> give a developer a head starts in the development of a game. There’re grants provided by the government or government funded company’s, </w:t>
      </w:r>
      <w:r w:rsidR="00A60123">
        <w:rPr>
          <w:rFonts w:cs="Arial"/>
          <w:szCs w:val="22"/>
        </w:rPr>
        <w:lastRenderedPageBreak/>
        <w:t xml:space="preserve">however they’re not the only option. Kickstarter is a good example of a start-up scheme since it’s one of the most popular. </w:t>
      </w:r>
    </w:p>
    <w:p w14:paraId="1FC3B39D" w14:textId="31CE4FAC" w:rsidR="00A60123" w:rsidRDefault="00A60123" w:rsidP="00CB749D">
      <w:pPr>
        <w:spacing w:after="240"/>
        <w:contextualSpacing/>
        <w:rPr>
          <w:rFonts w:cs="Arial"/>
          <w:szCs w:val="22"/>
        </w:rPr>
      </w:pPr>
    </w:p>
    <w:p w14:paraId="33B11A7E" w14:textId="4BE175CB" w:rsidR="00D3356F" w:rsidRDefault="00A60123" w:rsidP="00D3356F">
      <w:pPr>
        <w:spacing w:after="240"/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Kickstarter is used to raise funds for a project through the promise of delivering the game </w:t>
      </w:r>
      <w:r w:rsidR="00010439">
        <w:rPr>
          <w:rFonts w:cs="Arial"/>
          <w:szCs w:val="22"/>
        </w:rPr>
        <w:t>and</w:t>
      </w:r>
      <w:r>
        <w:rPr>
          <w:rFonts w:cs="Arial"/>
          <w:szCs w:val="22"/>
        </w:rPr>
        <w:t xml:space="preserve"> reward of either merchandise or a free copy of the game.</w:t>
      </w:r>
    </w:p>
    <w:p w14:paraId="2370B7FA" w14:textId="7CA67960" w:rsidR="00D3356F" w:rsidRDefault="00D3356F" w:rsidP="00D3356F">
      <w:pPr>
        <w:spacing w:after="240"/>
        <w:contextualSpacing/>
        <w:rPr>
          <w:rFonts w:cs="Arial"/>
          <w:szCs w:val="22"/>
        </w:rPr>
      </w:pPr>
    </w:p>
    <w:p w14:paraId="198B5409" w14:textId="31F8071B" w:rsidR="00D3356F" w:rsidRPr="00D3356F" w:rsidRDefault="00D3356F" w:rsidP="00D3356F">
      <w:pPr>
        <w:spacing w:after="240"/>
        <w:contextualSpacing/>
        <w:rPr>
          <w:rFonts w:cs="Arial"/>
          <w:b/>
          <w:sz w:val="24"/>
          <w:szCs w:val="22"/>
        </w:rPr>
      </w:pPr>
      <w:r w:rsidRPr="00D3356F">
        <w:rPr>
          <w:rFonts w:cs="Arial"/>
          <w:b/>
          <w:sz w:val="24"/>
          <w:szCs w:val="22"/>
        </w:rPr>
        <w:t>Financial Systems:</w:t>
      </w:r>
    </w:p>
    <w:p w14:paraId="1C58025B" w14:textId="77777777" w:rsidR="00D3356F" w:rsidRPr="00D3356F" w:rsidRDefault="00D3356F" w:rsidP="00D3356F">
      <w:pPr>
        <w:spacing w:after="240"/>
        <w:contextualSpacing/>
        <w:rPr>
          <w:rFonts w:cs="Arial"/>
          <w:szCs w:val="22"/>
        </w:rPr>
      </w:pPr>
    </w:p>
    <w:p w14:paraId="7BAEFF83" w14:textId="03A425BE" w:rsidR="00D3356F" w:rsidRPr="00F940CE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>Overhead Costs:</w:t>
      </w:r>
      <w:r w:rsidR="00A265DB">
        <w:rPr>
          <w:rFonts w:cs="Arial"/>
          <w:b/>
          <w:szCs w:val="22"/>
        </w:rPr>
        <w:t xml:space="preserve"> </w:t>
      </w:r>
      <w:r w:rsidR="0042044C">
        <w:rPr>
          <w:rFonts w:cs="Arial"/>
          <w:szCs w:val="22"/>
        </w:rPr>
        <w:t xml:space="preserve">The overhead cost is the expenses of creating and running the business. It’s the cost of creating the product, delivering it to the consumer, any </w:t>
      </w:r>
      <w:r w:rsidR="00306DDC">
        <w:rPr>
          <w:rFonts w:cs="Arial"/>
          <w:szCs w:val="22"/>
        </w:rPr>
        <w:t>maintenance</w:t>
      </w:r>
      <w:r w:rsidR="0042044C">
        <w:rPr>
          <w:rFonts w:cs="Arial"/>
          <w:szCs w:val="22"/>
        </w:rPr>
        <w:t xml:space="preserve"> it might require after the product is available, starting-up the </w:t>
      </w:r>
      <w:r w:rsidR="00306DDC">
        <w:rPr>
          <w:rFonts w:cs="Arial"/>
          <w:szCs w:val="22"/>
        </w:rPr>
        <w:t>business (</w:t>
      </w:r>
      <w:r w:rsidR="0042044C">
        <w:rPr>
          <w:rFonts w:cs="Arial"/>
          <w:szCs w:val="22"/>
        </w:rPr>
        <w:t xml:space="preserve">Buying properties, hardware, </w:t>
      </w:r>
      <w:r w:rsidR="00306DDC">
        <w:rPr>
          <w:rFonts w:cs="Arial"/>
          <w:szCs w:val="22"/>
        </w:rPr>
        <w:t>software</w:t>
      </w:r>
      <w:r w:rsidR="0042044C">
        <w:rPr>
          <w:rFonts w:cs="Arial"/>
          <w:szCs w:val="22"/>
        </w:rPr>
        <w:t>)</w:t>
      </w:r>
      <w:r w:rsidR="00365126">
        <w:rPr>
          <w:rFonts w:cs="Arial"/>
          <w:szCs w:val="22"/>
        </w:rPr>
        <w:t xml:space="preserve">, and paying </w:t>
      </w:r>
      <w:r w:rsidR="00306DDC">
        <w:rPr>
          <w:rFonts w:cs="Arial"/>
          <w:szCs w:val="22"/>
        </w:rPr>
        <w:t>lasting</w:t>
      </w:r>
      <w:r w:rsidR="00365126">
        <w:rPr>
          <w:rFonts w:cs="Arial"/>
          <w:szCs w:val="22"/>
        </w:rPr>
        <w:t xml:space="preserve"> costs such as staff and </w:t>
      </w:r>
      <w:r w:rsidR="004A7A8B">
        <w:rPr>
          <w:rFonts w:cs="Arial"/>
          <w:szCs w:val="22"/>
        </w:rPr>
        <w:t>rent.</w:t>
      </w:r>
    </w:p>
    <w:p w14:paraId="23CFF535" w14:textId="58CB7F57" w:rsidR="00D3356F" w:rsidRDefault="00D3356F" w:rsidP="00D3356F">
      <w:pPr>
        <w:rPr>
          <w:rFonts w:cs="Arial"/>
          <w:b/>
          <w:szCs w:val="22"/>
        </w:rPr>
      </w:pPr>
    </w:p>
    <w:p w14:paraId="7808507A" w14:textId="2767DBEC" w:rsidR="00D3356F" w:rsidRPr="007311A2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>Profit Margins:</w:t>
      </w:r>
      <w:r w:rsidR="007311A2">
        <w:rPr>
          <w:rFonts w:cs="Arial"/>
          <w:b/>
          <w:szCs w:val="22"/>
        </w:rPr>
        <w:t xml:space="preserve"> </w:t>
      </w:r>
      <w:r w:rsidR="007311A2">
        <w:rPr>
          <w:rFonts w:cs="Arial"/>
          <w:szCs w:val="22"/>
        </w:rPr>
        <w:t xml:space="preserve">The profit margin is </w:t>
      </w:r>
      <w:r w:rsidR="00BE4705">
        <w:rPr>
          <w:rFonts w:cs="Arial"/>
          <w:szCs w:val="22"/>
        </w:rPr>
        <w:t>a percentage th</w:t>
      </w:r>
      <w:r w:rsidR="001D39FF">
        <w:rPr>
          <w:rFonts w:cs="Arial"/>
          <w:szCs w:val="22"/>
        </w:rPr>
        <w:t>at</w:t>
      </w:r>
      <w:r w:rsidR="00BE4705">
        <w:rPr>
          <w:rFonts w:cs="Arial"/>
          <w:szCs w:val="22"/>
        </w:rPr>
        <w:t xml:space="preserve"> outlines the amount of profit </w:t>
      </w:r>
      <w:r w:rsidR="001B3851">
        <w:rPr>
          <w:rFonts w:cs="Arial"/>
          <w:szCs w:val="22"/>
        </w:rPr>
        <w:t>earned</w:t>
      </w:r>
      <w:r w:rsidR="00BE4705">
        <w:rPr>
          <w:rFonts w:cs="Arial"/>
          <w:szCs w:val="22"/>
        </w:rPr>
        <w:t>.</w:t>
      </w:r>
      <w:r w:rsidR="001D39FF">
        <w:rPr>
          <w:rFonts w:cs="Arial"/>
          <w:szCs w:val="22"/>
        </w:rPr>
        <w:t xml:space="preserve"> It’s used to calculate growth in the business.</w:t>
      </w:r>
    </w:p>
    <w:p w14:paraId="2E746B82" w14:textId="434D1C50" w:rsidR="00D3356F" w:rsidRDefault="00D3356F" w:rsidP="00D3356F">
      <w:pPr>
        <w:rPr>
          <w:rFonts w:cs="Arial"/>
          <w:b/>
          <w:szCs w:val="22"/>
        </w:rPr>
      </w:pPr>
    </w:p>
    <w:p w14:paraId="00440AD9" w14:textId="0ACEA189" w:rsidR="00D3356F" w:rsidRPr="001D39FF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 xml:space="preserve">Personal Survival </w:t>
      </w:r>
      <w:r w:rsidR="00306DDC">
        <w:rPr>
          <w:rFonts w:cs="Arial"/>
          <w:b/>
          <w:szCs w:val="22"/>
        </w:rPr>
        <w:t>Budget</w:t>
      </w:r>
      <w:r>
        <w:rPr>
          <w:rFonts w:cs="Arial"/>
          <w:b/>
          <w:szCs w:val="22"/>
        </w:rPr>
        <w:t>:</w:t>
      </w:r>
      <w:r w:rsidR="001D39FF">
        <w:rPr>
          <w:rFonts w:cs="Arial"/>
          <w:b/>
          <w:szCs w:val="22"/>
        </w:rPr>
        <w:t xml:space="preserve"> </w:t>
      </w:r>
      <w:r w:rsidR="001D39FF">
        <w:rPr>
          <w:rFonts w:cs="Arial"/>
          <w:szCs w:val="22"/>
        </w:rPr>
        <w:t xml:space="preserve">This details your average monthly income, minus all costs and expenses. It’s a personal budget and does not </w:t>
      </w:r>
      <w:proofErr w:type="spellStart"/>
      <w:r w:rsidR="001D39FF">
        <w:rPr>
          <w:rFonts w:cs="Arial"/>
          <w:szCs w:val="22"/>
        </w:rPr>
        <w:t>incude</w:t>
      </w:r>
      <w:proofErr w:type="spellEnd"/>
      <w:r w:rsidR="001D39FF">
        <w:rPr>
          <w:rFonts w:cs="Arial"/>
          <w:szCs w:val="22"/>
        </w:rPr>
        <w:t xml:space="preserve"> the business. </w:t>
      </w:r>
    </w:p>
    <w:p w14:paraId="3F780E79" w14:textId="77777777" w:rsidR="009E4815" w:rsidRDefault="009E4815" w:rsidP="00D3356F">
      <w:pPr>
        <w:rPr>
          <w:rFonts w:cs="Arial"/>
          <w:b/>
          <w:szCs w:val="22"/>
        </w:rPr>
      </w:pPr>
    </w:p>
    <w:p w14:paraId="486273B6" w14:textId="7719BE5B" w:rsidR="009E4815" w:rsidRDefault="009E4815" w:rsidP="00D3356F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Credit Control:</w:t>
      </w:r>
    </w:p>
    <w:p w14:paraId="31A8B39A" w14:textId="2FFEEF3E" w:rsidR="009E4815" w:rsidRDefault="009E4815" w:rsidP="00D3356F">
      <w:pPr>
        <w:rPr>
          <w:rFonts w:cs="Arial"/>
          <w:b/>
          <w:sz w:val="24"/>
          <w:szCs w:val="22"/>
        </w:rPr>
      </w:pPr>
    </w:p>
    <w:p w14:paraId="622CDE42" w14:textId="16A9F93E" w:rsidR="009E4815" w:rsidRPr="001D39FF" w:rsidRDefault="009E4815" w:rsidP="00EF7CD0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Importance of Credit Control</w:t>
      </w:r>
      <w:r w:rsidRPr="001D39FF">
        <w:rPr>
          <w:rFonts w:cs="Arial"/>
          <w:b/>
          <w:szCs w:val="22"/>
        </w:rPr>
        <w:t>:</w:t>
      </w:r>
      <w:r w:rsidR="001D39FF" w:rsidRPr="001D39FF">
        <w:rPr>
          <w:rFonts w:cs="Arial"/>
          <w:b/>
          <w:szCs w:val="22"/>
        </w:rPr>
        <w:t xml:space="preserve"> </w:t>
      </w:r>
      <w:r w:rsidR="001D39FF" w:rsidRPr="001D39FF">
        <w:rPr>
          <w:rStyle w:val="ilfuvd"/>
          <w:bCs/>
        </w:rPr>
        <w:t>Credit Control</w:t>
      </w:r>
      <w:r w:rsidR="001D39FF" w:rsidRPr="001D39FF">
        <w:rPr>
          <w:rStyle w:val="ilfuvd"/>
        </w:rPr>
        <w:t xml:space="preserve"> is </w:t>
      </w:r>
      <w:r w:rsidR="00EF7CD0">
        <w:rPr>
          <w:rStyle w:val="ilfuvd"/>
        </w:rPr>
        <w:t>a</w:t>
      </w:r>
      <w:r w:rsidR="001D39FF" w:rsidRPr="001D39FF">
        <w:rPr>
          <w:rStyle w:val="ilfuvd"/>
        </w:rPr>
        <w:t xml:space="preserve"> system used by a </w:t>
      </w:r>
      <w:r w:rsidR="001D39FF" w:rsidRPr="001D39FF">
        <w:rPr>
          <w:rStyle w:val="ilfuvd"/>
          <w:bCs/>
        </w:rPr>
        <w:t>business</w:t>
      </w:r>
      <w:r w:rsidR="001D39FF" w:rsidRPr="001D39FF">
        <w:rPr>
          <w:rStyle w:val="ilfuvd"/>
        </w:rPr>
        <w:t xml:space="preserve"> that gives </w:t>
      </w:r>
      <w:r w:rsidR="001D39FF" w:rsidRPr="001D39FF">
        <w:rPr>
          <w:rStyle w:val="ilfuvd"/>
          <w:bCs/>
        </w:rPr>
        <w:t>credit</w:t>
      </w:r>
      <w:r w:rsidR="001D39FF" w:rsidRPr="001D39FF">
        <w:rPr>
          <w:rStyle w:val="ilfuvd"/>
        </w:rPr>
        <w:t xml:space="preserve"> only to customers who </w:t>
      </w:r>
      <w:proofErr w:type="gramStart"/>
      <w:r w:rsidR="001D39FF" w:rsidRPr="001D39FF">
        <w:rPr>
          <w:rStyle w:val="ilfuvd"/>
        </w:rPr>
        <w:t>are able to</w:t>
      </w:r>
      <w:proofErr w:type="gramEnd"/>
      <w:r w:rsidR="001D39FF" w:rsidRPr="001D39FF">
        <w:rPr>
          <w:rStyle w:val="ilfuvd"/>
        </w:rPr>
        <w:t xml:space="preserve"> pay</w:t>
      </w:r>
      <w:r w:rsidR="00EF7CD0">
        <w:rPr>
          <w:rStyle w:val="ilfuvd"/>
        </w:rPr>
        <w:t>.</w:t>
      </w:r>
      <w:r w:rsidR="001D39FF" w:rsidRPr="001D39FF">
        <w:rPr>
          <w:rStyle w:val="ilfuvd"/>
        </w:rPr>
        <w:t xml:space="preserve"> It is a critical part of a well-managed </w:t>
      </w:r>
      <w:r w:rsidR="001D39FF" w:rsidRPr="001D39FF">
        <w:rPr>
          <w:rStyle w:val="ilfuvd"/>
          <w:bCs/>
        </w:rPr>
        <w:t>business</w:t>
      </w:r>
      <w:r w:rsidR="001D39FF" w:rsidRPr="001D39FF">
        <w:rPr>
          <w:rStyle w:val="ilfuvd"/>
        </w:rPr>
        <w:t xml:space="preserve"> </w:t>
      </w:r>
      <w:r w:rsidR="00EF7CD0">
        <w:rPr>
          <w:rStyle w:val="ilfuvd"/>
        </w:rPr>
        <w:t>and</w:t>
      </w:r>
      <w:r w:rsidR="001D39FF" w:rsidRPr="001D39FF">
        <w:rPr>
          <w:rStyle w:val="ilfuvd"/>
        </w:rPr>
        <w:t xml:space="preserve"> will help reduce debts and improve the cash flow </w:t>
      </w:r>
      <w:r w:rsidR="00EF7CD0">
        <w:rPr>
          <w:rStyle w:val="ilfuvd"/>
        </w:rPr>
        <w:t>within</w:t>
      </w:r>
      <w:r w:rsidR="001D39FF" w:rsidRPr="001D39FF">
        <w:rPr>
          <w:rStyle w:val="ilfuvd"/>
        </w:rPr>
        <w:t xml:space="preserve"> your </w:t>
      </w:r>
      <w:r w:rsidR="001D39FF" w:rsidRPr="001D39FF">
        <w:rPr>
          <w:rStyle w:val="ilfuvd"/>
          <w:bCs/>
        </w:rPr>
        <w:t>business</w:t>
      </w:r>
      <w:r w:rsidR="001D39FF" w:rsidRPr="001D39FF">
        <w:rPr>
          <w:rStyle w:val="ilfuvd"/>
        </w:rPr>
        <w:t>.</w:t>
      </w:r>
    </w:p>
    <w:p w14:paraId="519D5430" w14:textId="1BB39F04" w:rsidR="009E4815" w:rsidRPr="001D39FF" w:rsidRDefault="009E4815" w:rsidP="001D39FF">
      <w:pPr>
        <w:rPr>
          <w:rFonts w:cs="Arial"/>
          <w:b/>
          <w:szCs w:val="22"/>
        </w:rPr>
      </w:pPr>
    </w:p>
    <w:p w14:paraId="54E80D4E" w14:textId="051D1050" w:rsidR="009E4815" w:rsidRDefault="009E4815" w:rsidP="00D3356F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Simple Credit Control </w:t>
      </w:r>
      <w:r w:rsidR="00306DDC">
        <w:rPr>
          <w:rFonts w:cs="Arial"/>
          <w:b/>
          <w:szCs w:val="22"/>
        </w:rPr>
        <w:t>Techniques</w:t>
      </w:r>
      <w:r>
        <w:rPr>
          <w:rFonts w:cs="Arial"/>
          <w:b/>
          <w:szCs w:val="22"/>
        </w:rPr>
        <w:t>:</w:t>
      </w:r>
      <w:r w:rsidR="0059111A">
        <w:rPr>
          <w:rFonts w:cs="Arial"/>
          <w:b/>
          <w:szCs w:val="22"/>
        </w:rPr>
        <w:t xml:space="preserve"> </w:t>
      </w:r>
    </w:p>
    <w:p w14:paraId="47076F9B" w14:textId="4EEA2A00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Create a clear credit control process.</w:t>
      </w:r>
    </w:p>
    <w:p w14:paraId="085A1746" w14:textId="3E291B94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Research customers.</w:t>
      </w:r>
    </w:p>
    <w:p w14:paraId="4A13D029" w14:textId="70A16B04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Invoice quickly.</w:t>
      </w:r>
    </w:p>
    <w:p w14:paraId="7B936505" w14:textId="2CDF64CB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proofErr w:type="spellStart"/>
      <w:r>
        <w:rPr>
          <w:rFonts w:cs="Arial"/>
          <w:szCs w:val="22"/>
        </w:rPr>
        <w:t>Encorage</w:t>
      </w:r>
      <w:proofErr w:type="spellEnd"/>
      <w:r>
        <w:rPr>
          <w:rFonts w:cs="Arial"/>
          <w:szCs w:val="22"/>
        </w:rPr>
        <w:t xml:space="preserve"> an early payment.</w:t>
      </w:r>
    </w:p>
    <w:p w14:paraId="112A8C1A" w14:textId="77777777" w:rsidR="0059111A" w:rsidRPr="0059111A" w:rsidRDefault="0059111A" w:rsidP="0059111A">
      <w:pPr>
        <w:pStyle w:val="ListParagraph"/>
        <w:rPr>
          <w:rFonts w:cs="Arial"/>
          <w:b/>
          <w:szCs w:val="22"/>
        </w:rPr>
      </w:pPr>
    </w:p>
    <w:p w14:paraId="0E4483C2" w14:textId="32752DFB" w:rsidR="0059111A" w:rsidRPr="0059111A" w:rsidRDefault="0059111A" w:rsidP="008F75AA">
      <w:pPr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 xml:space="preserve">By following these </w:t>
      </w:r>
      <w:proofErr w:type="gramStart"/>
      <w:r>
        <w:rPr>
          <w:rFonts w:cs="Arial"/>
          <w:szCs w:val="22"/>
        </w:rPr>
        <w:t>steps</w:t>
      </w:r>
      <w:proofErr w:type="gramEnd"/>
      <w:r>
        <w:rPr>
          <w:rFonts w:cs="Arial"/>
          <w:szCs w:val="22"/>
        </w:rPr>
        <w:t xml:space="preserve"> it should be easy to control the flow of business.</w:t>
      </w:r>
    </w:p>
    <w:p w14:paraId="0A61452E" w14:textId="77777777" w:rsidR="00D3356F" w:rsidRPr="00D3356F" w:rsidRDefault="00D3356F" w:rsidP="00D3356F">
      <w:pPr>
        <w:rPr>
          <w:rFonts w:cs="Arial"/>
          <w:b/>
          <w:szCs w:val="22"/>
        </w:rPr>
      </w:pPr>
    </w:p>
    <w:sectPr w:rsidR="00D3356F" w:rsidRPr="00D3356F" w:rsidSect="00D01092">
      <w:footerReference w:type="default" r:id="rId13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189F4" w14:textId="77777777" w:rsidR="001D3E28" w:rsidRDefault="001D3E28" w:rsidP="0005726F">
      <w:r>
        <w:separator/>
      </w:r>
    </w:p>
  </w:endnote>
  <w:endnote w:type="continuationSeparator" w:id="0">
    <w:p w14:paraId="5D40049C" w14:textId="77777777" w:rsidR="001D3E28" w:rsidRDefault="001D3E28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365126" w:rsidRPr="00BA0085" w:rsidRDefault="00365126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365126" w:rsidRPr="00BA0085" w:rsidRDefault="00365126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365126" w:rsidRPr="00BA0085" w:rsidRDefault="00365126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2585B" w14:textId="77777777" w:rsidR="001D3E28" w:rsidRDefault="001D3E28" w:rsidP="0005726F">
      <w:r>
        <w:separator/>
      </w:r>
    </w:p>
  </w:footnote>
  <w:footnote w:type="continuationSeparator" w:id="0">
    <w:p w14:paraId="4005B3B1" w14:textId="77777777" w:rsidR="001D3E28" w:rsidRDefault="001D3E28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36A"/>
    <w:multiLevelType w:val="hybridMultilevel"/>
    <w:tmpl w:val="2C3A1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0439"/>
    <w:rsid w:val="000106F1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0F14BE"/>
    <w:rsid w:val="00101050"/>
    <w:rsid w:val="00111A5E"/>
    <w:rsid w:val="00121F2B"/>
    <w:rsid w:val="00123E1F"/>
    <w:rsid w:val="00137EC4"/>
    <w:rsid w:val="00140D36"/>
    <w:rsid w:val="00141E8E"/>
    <w:rsid w:val="00153931"/>
    <w:rsid w:val="001856CD"/>
    <w:rsid w:val="00185783"/>
    <w:rsid w:val="0019351C"/>
    <w:rsid w:val="001971BB"/>
    <w:rsid w:val="001979CE"/>
    <w:rsid w:val="001A15A2"/>
    <w:rsid w:val="001B3851"/>
    <w:rsid w:val="001B5B57"/>
    <w:rsid w:val="001C1E33"/>
    <w:rsid w:val="001C5999"/>
    <w:rsid w:val="001D39FF"/>
    <w:rsid w:val="001D3E28"/>
    <w:rsid w:val="001E1F8A"/>
    <w:rsid w:val="001E6B27"/>
    <w:rsid w:val="00200B38"/>
    <w:rsid w:val="00201129"/>
    <w:rsid w:val="00214FC4"/>
    <w:rsid w:val="00215AC9"/>
    <w:rsid w:val="0022288E"/>
    <w:rsid w:val="00231008"/>
    <w:rsid w:val="00235E17"/>
    <w:rsid w:val="002550CB"/>
    <w:rsid w:val="00274D43"/>
    <w:rsid w:val="002820C3"/>
    <w:rsid w:val="00290262"/>
    <w:rsid w:val="00294C91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2F6C6E"/>
    <w:rsid w:val="00306DDC"/>
    <w:rsid w:val="0031092B"/>
    <w:rsid w:val="00312CA7"/>
    <w:rsid w:val="003157EB"/>
    <w:rsid w:val="00322349"/>
    <w:rsid w:val="0032401E"/>
    <w:rsid w:val="00326359"/>
    <w:rsid w:val="003265E5"/>
    <w:rsid w:val="003266AD"/>
    <w:rsid w:val="00332ED8"/>
    <w:rsid w:val="00334A7E"/>
    <w:rsid w:val="00346DB7"/>
    <w:rsid w:val="003520F1"/>
    <w:rsid w:val="00352DAD"/>
    <w:rsid w:val="00362798"/>
    <w:rsid w:val="0036463C"/>
    <w:rsid w:val="00365126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2044C"/>
    <w:rsid w:val="00430529"/>
    <w:rsid w:val="00433F52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A7A8B"/>
    <w:rsid w:val="004C1427"/>
    <w:rsid w:val="004C2AEE"/>
    <w:rsid w:val="004D1A3A"/>
    <w:rsid w:val="004D676F"/>
    <w:rsid w:val="004E7DB1"/>
    <w:rsid w:val="00507708"/>
    <w:rsid w:val="00515811"/>
    <w:rsid w:val="005178FF"/>
    <w:rsid w:val="00520C95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111A"/>
    <w:rsid w:val="00594709"/>
    <w:rsid w:val="005A298F"/>
    <w:rsid w:val="005A7D3D"/>
    <w:rsid w:val="005B0BA0"/>
    <w:rsid w:val="005B2E51"/>
    <w:rsid w:val="005B46A9"/>
    <w:rsid w:val="005B6499"/>
    <w:rsid w:val="005C0117"/>
    <w:rsid w:val="005C0FA7"/>
    <w:rsid w:val="005F1DED"/>
    <w:rsid w:val="00621999"/>
    <w:rsid w:val="00637461"/>
    <w:rsid w:val="0064361F"/>
    <w:rsid w:val="006441F1"/>
    <w:rsid w:val="00647EA5"/>
    <w:rsid w:val="006561B1"/>
    <w:rsid w:val="00657221"/>
    <w:rsid w:val="00661E78"/>
    <w:rsid w:val="006773AC"/>
    <w:rsid w:val="006832CF"/>
    <w:rsid w:val="006B172F"/>
    <w:rsid w:val="006B2CB2"/>
    <w:rsid w:val="006B3E4D"/>
    <w:rsid w:val="006C16F7"/>
    <w:rsid w:val="006C2622"/>
    <w:rsid w:val="006D7CE4"/>
    <w:rsid w:val="006E333F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11A2"/>
    <w:rsid w:val="00735170"/>
    <w:rsid w:val="00737AD1"/>
    <w:rsid w:val="007443D6"/>
    <w:rsid w:val="00746EE6"/>
    <w:rsid w:val="00753706"/>
    <w:rsid w:val="00760938"/>
    <w:rsid w:val="007619E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5F7F"/>
    <w:rsid w:val="007F6A6A"/>
    <w:rsid w:val="00802E48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7341F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8F75AA"/>
    <w:rsid w:val="00906F25"/>
    <w:rsid w:val="00915F56"/>
    <w:rsid w:val="00916E4D"/>
    <w:rsid w:val="00921E28"/>
    <w:rsid w:val="00924A53"/>
    <w:rsid w:val="00946974"/>
    <w:rsid w:val="00947F16"/>
    <w:rsid w:val="0096128E"/>
    <w:rsid w:val="0096592E"/>
    <w:rsid w:val="00966FFA"/>
    <w:rsid w:val="009754BE"/>
    <w:rsid w:val="009765B9"/>
    <w:rsid w:val="00987BD8"/>
    <w:rsid w:val="009B2F4E"/>
    <w:rsid w:val="009B7761"/>
    <w:rsid w:val="009D7466"/>
    <w:rsid w:val="009E4815"/>
    <w:rsid w:val="009E7327"/>
    <w:rsid w:val="009E7AEB"/>
    <w:rsid w:val="009F03DF"/>
    <w:rsid w:val="009F70E8"/>
    <w:rsid w:val="00A02639"/>
    <w:rsid w:val="00A14CDC"/>
    <w:rsid w:val="00A236F6"/>
    <w:rsid w:val="00A265DB"/>
    <w:rsid w:val="00A3622C"/>
    <w:rsid w:val="00A553AF"/>
    <w:rsid w:val="00A577A6"/>
    <w:rsid w:val="00A60123"/>
    <w:rsid w:val="00A60D49"/>
    <w:rsid w:val="00A900F8"/>
    <w:rsid w:val="00A972BA"/>
    <w:rsid w:val="00AB023B"/>
    <w:rsid w:val="00AB4138"/>
    <w:rsid w:val="00AB501E"/>
    <w:rsid w:val="00AD59D7"/>
    <w:rsid w:val="00AD728E"/>
    <w:rsid w:val="00AE0BB2"/>
    <w:rsid w:val="00AE4C1F"/>
    <w:rsid w:val="00B22CFA"/>
    <w:rsid w:val="00B46330"/>
    <w:rsid w:val="00B471FE"/>
    <w:rsid w:val="00B52709"/>
    <w:rsid w:val="00BA0085"/>
    <w:rsid w:val="00BB0017"/>
    <w:rsid w:val="00BB44BC"/>
    <w:rsid w:val="00BB4A05"/>
    <w:rsid w:val="00BD2D2F"/>
    <w:rsid w:val="00BE4705"/>
    <w:rsid w:val="00BE7ED8"/>
    <w:rsid w:val="00BF4354"/>
    <w:rsid w:val="00BF4BA3"/>
    <w:rsid w:val="00BF578C"/>
    <w:rsid w:val="00C04BCA"/>
    <w:rsid w:val="00C07D0C"/>
    <w:rsid w:val="00C12BB9"/>
    <w:rsid w:val="00C133E8"/>
    <w:rsid w:val="00C21BB7"/>
    <w:rsid w:val="00C2294C"/>
    <w:rsid w:val="00C300C5"/>
    <w:rsid w:val="00C347FE"/>
    <w:rsid w:val="00C4298A"/>
    <w:rsid w:val="00C433B6"/>
    <w:rsid w:val="00C556C9"/>
    <w:rsid w:val="00C573C2"/>
    <w:rsid w:val="00C6449A"/>
    <w:rsid w:val="00C66147"/>
    <w:rsid w:val="00C665A9"/>
    <w:rsid w:val="00C72195"/>
    <w:rsid w:val="00C72636"/>
    <w:rsid w:val="00C80AAF"/>
    <w:rsid w:val="00C84BD6"/>
    <w:rsid w:val="00C94426"/>
    <w:rsid w:val="00CA04FF"/>
    <w:rsid w:val="00CB0B6F"/>
    <w:rsid w:val="00CB749D"/>
    <w:rsid w:val="00CC07A3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3356F"/>
    <w:rsid w:val="00D52242"/>
    <w:rsid w:val="00D739E5"/>
    <w:rsid w:val="00D73A0E"/>
    <w:rsid w:val="00D82A41"/>
    <w:rsid w:val="00DB3F36"/>
    <w:rsid w:val="00DC66AF"/>
    <w:rsid w:val="00DD1FFD"/>
    <w:rsid w:val="00DD558B"/>
    <w:rsid w:val="00DE0B99"/>
    <w:rsid w:val="00DE0D18"/>
    <w:rsid w:val="00DE6873"/>
    <w:rsid w:val="00DF11EF"/>
    <w:rsid w:val="00E00D39"/>
    <w:rsid w:val="00E01BFF"/>
    <w:rsid w:val="00E02B1D"/>
    <w:rsid w:val="00E11352"/>
    <w:rsid w:val="00E15BEE"/>
    <w:rsid w:val="00E160D4"/>
    <w:rsid w:val="00E173C6"/>
    <w:rsid w:val="00E2581E"/>
    <w:rsid w:val="00E456D3"/>
    <w:rsid w:val="00E46E40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E5EAC"/>
    <w:rsid w:val="00EE6859"/>
    <w:rsid w:val="00EF7CD0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940CE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  <w:style w:type="character" w:customStyle="1" w:styleId="ilfuvd">
    <w:name w:val="ilfuvd"/>
    <w:basedOn w:val="DefaultParagraphFont"/>
    <w:rsid w:val="0092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9CB6B6-E9B6-409E-B9A0-BE70E90F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42</cp:revision>
  <cp:lastPrinted>2016-06-27T09:29:00Z</cp:lastPrinted>
  <dcterms:created xsi:type="dcterms:W3CDTF">2019-01-22T14:15:00Z</dcterms:created>
  <dcterms:modified xsi:type="dcterms:W3CDTF">2019-01-25T15:13:00Z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