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 w:eastAsia="Calibri"/>
          <w:b/>
          <w:i w:val="0"/>
          <w:color w:val="102033"/>
          <w:sz w:val="44"/>
        </w:rPr>
        <w:t>GSQ DD&amp;T Executive Platform</w:t>
      </w:r>
    </w:p>
    <w:p>
      <w:pPr>
        <w:pStyle w:val="Heading1"/>
      </w:pPr>
      <w:r>
        <w:t>Executive design extract — selected sections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102033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Field</w:t>
            </w:r>
          </w:p>
        </w:tc>
        <w:tc>
          <w:tcPr>
            <w:tcW w:type="dxa" w:w="4986"/>
            <w:shd w:fill="102033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986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Product</w:t>
            </w:r>
          </w:p>
        </w:tc>
        <w:tc>
          <w:tcPr>
            <w:tcW w:type="dxa" w:w="4986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GSQ DD&amp;T Roadmap Executive Platform (Single Pane of Glass)</w:t>
            </w:r>
          </w:p>
        </w:tc>
      </w:tr>
      <w:tr>
        <w:tc>
          <w:tcPr>
            <w:tcW w:type="dxa" w:w="4986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Document type</w:t>
            </w:r>
          </w:p>
        </w:tc>
        <w:tc>
          <w:tcPr>
            <w:tcW w:type="dxa" w:w="4986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Executive extract of the Business Design Package</w:t>
            </w:r>
          </w:p>
        </w:tc>
      </w:tr>
      <w:tr>
        <w:tc>
          <w:tcPr>
            <w:tcW w:type="dxa" w:w="4986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Date</w:t>
            </w:r>
          </w:p>
        </w:tc>
        <w:tc>
          <w:tcPr>
            <w:tcW w:type="dxa" w:w="4986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8 September 2026</w:t>
            </w:r>
          </w:p>
        </w:tc>
      </w:tr>
      <w:tr>
        <w:tc>
          <w:tcPr>
            <w:tcW w:type="dxa" w:w="4986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Executive sponsor</w:t>
            </w:r>
          </w:p>
        </w:tc>
        <w:tc>
          <w:tcPr>
            <w:tcW w:type="dxa" w:w="4986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Joel Vincent</w:t>
            </w:r>
          </w:p>
        </w:tc>
      </w:tr>
      <w:tr>
        <w:tc>
          <w:tcPr>
            <w:tcW w:type="dxa" w:w="4986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Business sponsor / product lead</w:t>
            </w:r>
          </w:p>
        </w:tc>
        <w:tc>
          <w:tcPr>
            <w:tcW w:type="dxa" w:w="4986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Dean Santoro</w:t>
            </w:r>
          </w:p>
        </w:tc>
      </w:tr>
      <w:tr>
        <w:tc>
          <w:tcPr>
            <w:tcW w:type="dxa" w:w="4986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Owning organization</w:t>
            </w:r>
          </w:p>
        </w:tc>
        <w:tc>
          <w:tcPr>
            <w:tcW w:type="dxa" w:w="4986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Global Manufacturing &amp; Labs DD&amp;T</w:t>
            </w:r>
          </w:p>
        </w:tc>
      </w:tr>
      <w:tr>
        <w:tc>
          <w:tcPr>
            <w:tcW w:type="dxa" w:w="4986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Source</w:t>
            </w:r>
          </w:p>
        </w:tc>
        <w:tc>
          <w:tcPr>
            <w:tcW w:type="dxa" w:w="4986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*Design Blueprint* v1.3 — sections 1, 3, 5, 6.4, 12, 13, 15, 16</w:t>
            </w:r>
          </w:p>
        </w:tc>
      </w:tr>
      <w:tr>
        <w:tc>
          <w:tcPr>
            <w:tcW w:type="dxa" w:w="4986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Status</w:t>
            </w:r>
          </w:p>
        </w:tc>
        <w:tc>
          <w:tcPr>
            <w:tcW w:type="dxa" w:w="4986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For leadership review; not a controlled Veeva record</w:t>
            </w:r>
          </w:p>
        </w:tc>
      </w:tr>
    </w:tbl>
    <w:p/>
    <w:p>
      <w:r>
        <w:rPr>
          <w:rFonts w:ascii="Calibri" w:hAnsi="Calibri" w:eastAsia="Calibri"/>
          <w:b w:val="0"/>
          <w:i w:val="0"/>
          <w:color w:val="333A44"/>
          <w:sz w:val="22"/>
        </w:rPr>
        <w:t>This is the executive cut of the design package: purpose, what already exists (with live screenshots), the information architecture, target-state mockups, MVP boundary, hours, acceptance, and day-1 dependencies. The full blueprint remains the developer specification.</w:t>
      </w:r>
    </w:p>
    <w:p>
      <w:pPr>
        <w:pStyle w:val="Heading1"/>
      </w:pPr>
      <w:r>
        <w:t>1. Purpose of this blueprint</w:t>
      </w:r>
    </w:p>
    <w:p>
      <w:r>
        <w:rPr>
          <w:rFonts w:ascii="Calibri" w:hAnsi="Calibri" w:eastAsia="Calibri"/>
          <w:b w:val="0"/>
          <w:i w:val="0"/>
          <w:color w:val="333A44"/>
          <w:sz w:val="22"/>
        </w:rPr>
        <w:t xml:space="preserve">Leadership currently prepares business reviews by stitching Jira boards, SPOT investment views, site Power Apps, Power BI trackers, and PowerPoint. The Executive Platform is a </w:t>
      </w:r>
      <w:r>
        <w:rPr>
          <w:rFonts w:ascii="Calibri" w:hAnsi="Calibri" w:eastAsia="Calibri"/>
          <w:b/>
          <w:i w:val="0"/>
          <w:color w:val="333A44"/>
          <w:sz w:val="22"/>
        </w:rPr>
        <w:t>single portal of truth</w:t>
      </w:r>
      <w:r>
        <w:rPr>
          <w:rFonts w:ascii="Calibri" w:hAnsi="Calibri" w:eastAsia="Calibri"/>
          <w:b w:val="0"/>
          <w:i w:val="0"/>
          <w:color w:val="333A44"/>
          <w:sz w:val="22"/>
        </w:rPr>
        <w:t>: one site-aware shell that presents the 1,000-foot portfolio, then drills into the detailed views that already exist, plus the Budget and Site Head input that are missing today.</w:t>
      </w:r>
    </w:p>
    <w:p>
      <w:r>
        <w:rPr>
          <w:rFonts w:ascii="Calibri" w:hAnsi="Calibri" w:eastAsia="Calibri"/>
          <w:b w:val="0"/>
          <w:i w:val="0"/>
          <w:color w:val="333A44"/>
          <w:sz w:val="22"/>
        </w:rPr>
        <w:t>This extract covers purpose, current-state screenshots, the information architecture, target-state mockups, MVP boundary, hours, acceptance, and day-1 dependencies.</w:t>
      </w:r>
    </w:p>
    <w:p>
      <w:r>
        <w:rPr>
          <w:rFonts w:ascii="Calibri" w:hAnsi="Calibri" w:eastAsia="Calibri"/>
          <w:b/>
          <w:i w:val="0"/>
          <w:color w:val="333A44"/>
          <w:sz w:val="22"/>
        </w:rPr>
        <w:t>This package does not build the dashboards.</w:t>
      </w: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 It is the leadership cut used with the business-case document to fund a developer resource.</w:t>
      </w:r>
    </w:p>
    <w:p>
      <w:r>
        <w:rPr>
          <w:rFonts w:ascii="Calibri" w:hAnsi="Calibri" w:eastAsia="Calibri"/>
          <w:b w:val="0"/>
          <w:i w:val="0"/>
          <w:color w:val="333A44"/>
          <w:sz w:val="22"/>
        </w:rPr>
        <w:t xml:space="preserve">Figures 1–10 are </w:t>
      </w:r>
      <w:r>
        <w:rPr>
          <w:rFonts w:ascii="Calibri" w:hAnsi="Calibri" w:eastAsia="Calibri"/>
          <w:b/>
          <w:i w:val="0"/>
          <w:color w:val="333A44"/>
          <w:sz w:val="22"/>
        </w:rPr>
        <w:t>live source experiences</w:t>
      </w: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 captured 4 September 2026. Figures 12–15 are </w:t>
      </w:r>
      <w:r>
        <w:rPr>
          <w:rFonts w:ascii="Calibri" w:hAnsi="Calibri" w:eastAsia="Calibri"/>
          <w:b/>
          <w:i w:val="0"/>
          <w:color w:val="333A44"/>
          <w:sz w:val="22"/>
        </w:rPr>
        <w:t>target-state mockups</w:t>
      </w:r>
      <w:r>
        <w:rPr>
          <w:rFonts w:ascii="Calibri" w:hAnsi="Calibri" w:eastAsia="Calibri"/>
          <w:b w:val="0"/>
          <w:i w:val="0"/>
          <w:color w:val="333A44"/>
          <w:sz w:val="22"/>
        </w:rPr>
        <w:t>. Figures S1–S3 are executive diagrams.</w:t>
      </w:r>
    </w:p>
    <w:p>
      <w:pPr>
        <w:pStyle w:val="Heading2"/>
      </w:pPr>
      <w:r>
        <w:t>Figures in this package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102033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Figure</w:t>
            </w:r>
          </w:p>
        </w:tc>
        <w:tc>
          <w:tcPr>
            <w:tcW w:type="dxa" w:w="3324"/>
            <w:shd w:fill="102033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What it shows</w:t>
            </w:r>
          </w:p>
        </w:tc>
        <w:tc>
          <w:tcPr>
            <w:tcW w:type="dxa" w:w="3324"/>
            <w:shd w:fill="102033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Section</w:t>
            </w:r>
          </w:p>
        </w:tc>
      </w:tr>
      <w:tr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1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Thousand Oaks One pager Power App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§3.1</w:t>
            </w:r>
          </w:p>
        </w:tc>
      </w:tr>
      <w:tr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2</w:t>
            </w:r>
          </w:p>
        </w:tc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DD&amp;T MYC Budget 2026 Power App</w:t>
            </w:r>
          </w:p>
        </w:tc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§3.2</w:t>
            </w:r>
          </w:p>
        </w:tc>
      </w:tr>
      <w:tr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3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Combined Gantt + Budget Power App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§3.3</w:t>
            </w:r>
          </w:p>
        </w:tc>
      </w:tr>
      <w:tr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4–7</w:t>
            </w:r>
          </w:p>
        </w:tc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Network Global / Sites / Initiatives / Regions</w:t>
            </w:r>
          </w:p>
        </w:tc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§3.4</w:t>
            </w:r>
          </w:p>
        </w:tc>
      </w:tr>
      <w:tr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8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Existing Power BI THO Gantt (do not rebuild)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§3.4</w:t>
            </w:r>
          </w:p>
        </w:tc>
      </w:tr>
      <w:tr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9–10</w:t>
            </w:r>
          </w:p>
        </w:tc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Capability Tracker (Lexington / Brooklyn Park)</w:t>
            </w:r>
          </w:p>
        </w:tc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§3.5</w:t>
            </w:r>
          </w:p>
        </w:tc>
      </w:tr>
      <w:tr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S1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Single-pane schematic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§3.7</w:t>
            </w:r>
          </w:p>
        </w:tc>
      </w:tr>
      <w:tr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S2</w:t>
            </w:r>
          </w:p>
        </w:tc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Canonical hierarchy</w:t>
            </w:r>
          </w:p>
        </w:tc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§5</w:t>
            </w:r>
          </w:p>
        </w:tc>
      </w:tr>
      <w:tr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12–15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Target mockups (One pager, Gantt+Budget, Business Review, Site input)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§6.4</w:t>
            </w:r>
          </w:p>
        </w:tc>
      </w:tr>
      <w:tr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S3</w:t>
            </w:r>
          </w:p>
        </w:tc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Effort bands and Band B calendar</w:t>
            </w:r>
          </w:p>
        </w:tc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§13</w:t>
            </w:r>
          </w:p>
        </w:tc>
      </w:tr>
    </w:tbl>
    <w:p/>
    <w:p>
      <w:pPr>
        <w:pStyle w:val="Heading1"/>
      </w:pPr>
      <w:r>
        <w:t>3. Current-state inventory (what already exists)</w:t>
      </w:r>
    </w:p>
    <w:p>
      <w:r>
        <w:rPr>
          <w:rFonts w:ascii="Calibri" w:hAnsi="Calibri" w:eastAsia="Calibri"/>
          <w:b w:val="0"/>
          <w:i w:val="0"/>
          <w:color w:val="333A44"/>
          <w:sz w:val="22"/>
        </w:rPr>
        <w:t xml:space="preserve">The platform </w:t>
      </w:r>
      <w:r>
        <w:rPr>
          <w:rFonts w:ascii="Calibri" w:hAnsi="Calibri" w:eastAsia="Calibri"/>
          <w:b/>
          <w:i w:val="0"/>
          <w:color w:val="333A44"/>
          <w:sz w:val="22"/>
        </w:rPr>
        <w:t>reuses</w:t>
      </w: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 these assets as the 1,000-foot experience and as drill-down destinations. They are the UX specification, not disposable sketches.</w:t>
      </w:r>
    </w:p>
    <w:p>
      <w:pPr>
        <w:pStyle w:val="Heading2"/>
      </w:pPr>
      <w:r>
        <w:t>3.1 Thousand Oaks Strategic Roadmap Power App — 1,000-foot view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102033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Item</w:t>
            </w:r>
          </w:p>
        </w:tc>
        <w:tc>
          <w:tcPr>
            <w:tcW w:type="dxa" w:w="4986"/>
            <w:shd w:fill="102033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986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Play URL</w:t>
            </w:r>
          </w:p>
        </w:tc>
        <w:tc>
          <w:tcPr>
            <w:tcW w:type="dxa" w:w="4986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https://apps.powerapps.com/play/e/13ab3896-86ac-e9d1-8a83-257843921f13/app/83afccd8-23f4-4ba1-9416-9059f69cd304</w:t>
            </w:r>
          </w:p>
        </w:tc>
      </w:tr>
      <w:tr>
        <w:tc>
          <w:tcPr>
            <w:tcW w:type="dxa" w:w="4986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App ID</w:t>
            </w:r>
          </w:p>
        </w:tc>
        <w:tc>
          <w:tcPr>
            <w:tcW w:type="dxa" w:w="4986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83afccd8-23f4-4ba1-9416-9059f69cd304</w:t>
            </w:r>
          </w:p>
        </w:tc>
      </w:tr>
      <w:tr>
        <w:tc>
          <w:tcPr>
            <w:tcW w:type="dxa" w:w="4986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Environment</w:t>
            </w:r>
          </w:p>
        </w:tc>
        <w:tc>
          <w:tcPr>
            <w:tcW w:type="dxa" w:w="4986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13ab3896-86ac-e9d1-8a83-257843921f13</w:t>
            </w:r>
          </w:p>
        </w:tc>
      </w:tr>
      <w:tr>
        <w:tc>
          <w:tcPr>
            <w:tcW w:type="dxa" w:w="4986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Tenant</w:t>
            </w:r>
          </w:p>
        </w:tc>
        <w:tc>
          <w:tcPr>
            <w:tcW w:type="dxa" w:w="4986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57fdf63b-7e22-45a3-83dc-d37003163aae</w:t>
            </w:r>
          </w:p>
        </w:tc>
      </w:tr>
      <w:tr>
        <w:tc>
          <w:tcPr>
            <w:tcW w:type="dxa" w:w="4986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Layout</w:t>
            </w:r>
          </w:p>
        </w:tc>
        <w:tc>
          <w:tcPr>
            <w:tcW w:type="dxa" w:w="4986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Tablet, 1920 × 1080</w:t>
            </w:r>
          </w:p>
        </w:tc>
      </w:tr>
      <w:tr>
        <w:tc>
          <w:tcPr>
            <w:tcW w:type="dxa" w:w="4986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Local recreation / .msapp</w:t>
            </w:r>
          </w:p>
        </w:tc>
        <w:tc>
          <w:tcPr>
            <w:tcW w:type="dxa" w:w="4986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~/RoadmapExecutivePlatform and takOS/Roadmap Executive Platform</w:t>
            </w:r>
          </w:p>
        </w:tc>
      </w:tr>
    </w:tbl>
    <w:p/>
    <w:p>
      <w:r>
        <w:rPr>
          <w:rFonts w:ascii="Calibri" w:hAnsi="Calibri" w:eastAsia="Calibri"/>
          <w:b/>
          <w:i w:val="0"/>
          <w:color w:val="333A44"/>
          <w:sz w:val="22"/>
        </w:rPr>
        <w:t>What it already does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Header branded </w:t>
      </w:r>
      <w:r>
        <w:rPr>
          <w:rFonts w:ascii="Calibri" w:hAnsi="Calibri" w:eastAsia="Calibri"/>
          <w:b/>
          <w:i w:val="0"/>
          <w:color w:val="333A44"/>
          <w:sz w:val="22"/>
        </w:rPr>
        <w:t>Thousand Oaks</w:t>
      </w: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 (hard-coded; must become a network site selector).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Tabs: </w:t>
      </w:r>
      <w:r>
        <w:rPr>
          <w:rFonts w:ascii="Calibri" w:hAnsi="Calibri" w:eastAsia="Calibri"/>
          <w:b/>
          <w:i w:val="0"/>
          <w:color w:val="333A44"/>
          <w:sz w:val="22"/>
        </w:rPr>
        <w:t>One pager · Status KPIs · Gantt · Risks · Jira Links</w:t>
      </w:r>
      <w:r>
        <w:rPr>
          <w:rFonts w:ascii="Calibri" w:hAnsi="Calibri" w:eastAsia="Calibri"/>
          <w:b w:val="0"/>
          <w:i w:val="0"/>
          <w:color w:val="333A44"/>
          <w:sz w:val="22"/>
        </w:rPr>
        <w:t>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333A44"/>
          <w:sz w:val="22"/>
        </w:rPr>
        <w:t>Filters: search, fiscal year, North Star platform, status, Big Rock / capability.</w:t>
      </w:r>
    </w:p>
    <w:p>
      <w:pPr>
        <w:pStyle w:val="ListBullet"/>
      </w:pPr>
      <w:r>
        <w:rPr>
          <w:rFonts w:ascii="Calibri" w:hAnsi="Calibri" w:eastAsia="Calibri"/>
          <w:b/>
          <w:i w:val="0"/>
          <w:color w:val="333A44"/>
          <w:sz w:val="22"/>
        </w:rPr>
        <w:t>One pager:</w:t>
      </w: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 six Big Rocks across the top; FY2026 / FY2027 / FY2028+ swimlanes; project cards with status dots; drag-and-drop between year × Big Rock cells.</w:t>
      </w:r>
    </w:p>
    <w:p>
      <w:pPr>
        <w:pStyle w:val="ListBullet"/>
      </w:pPr>
      <w:r>
        <w:rPr>
          <w:rFonts w:ascii="Calibri" w:hAnsi="Calibri" w:eastAsia="Calibri"/>
          <w:b/>
          <w:i w:val="0"/>
          <w:color w:val="333A44"/>
          <w:sz w:val="22"/>
        </w:rPr>
        <w:t>Project sidecar:</w:t>
      </w: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 owner, description, business value, dependencies, milestones, progress, Jira link, “move project” control.</w:t>
      </w:r>
    </w:p>
    <w:p>
      <w:pPr>
        <w:pStyle w:val="ListBullet"/>
      </w:pPr>
      <w:r>
        <w:rPr>
          <w:rFonts w:ascii="Calibri" w:hAnsi="Calibri" w:eastAsia="Calibri"/>
          <w:b/>
          <w:i w:val="0"/>
          <w:color w:val="333A44"/>
          <w:sz w:val="22"/>
        </w:rPr>
        <w:t>North Star rail:</w:t>
      </w: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 SAIL, LPMS, APMS, RTMS, COMOS, Smart QC, LabX, Veeva eQMS, Discoverant, OpsTrakker, SIMCA Online (plus MES / SAP on cards).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333A44"/>
          <w:sz w:val="22"/>
        </w:rPr>
        <w:t>Footer: key challenges (Communication · Change Management · Leadership Engagement) and status legend.</w:t>
      </w:r>
    </w:p>
    <w:p>
      <w:pPr>
        <w:pStyle w:val="ListBullet"/>
      </w:pPr>
      <w:r>
        <w:rPr>
          <w:rFonts w:ascii="Calibri" w:hAnsi="Calibri" w:eastAsia="Calibri"/>
          <w:b/>
          <w:i w:val="0"/>
          <w:color w:val="333A44"/>
          <w:sz w:val="22"/>
        </w:rPr>
        <w:t>Open Jira board</w:t>
      </w: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 action.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54722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4722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left"/>
      </w:pPr>
      <w:r>
        <w:rPr>
          <w:rFonts w:ascii="Calibri" w:hAnsi="Calibri" w:eastAsia="Calibri"/>
          <w:b w:val="0"/>
          <w:i/>
          <w:color w:val="5B6470"/>
          <w:sz w:val="18"/>
        </w:rPr>
        <w:t>Figure 1. Current 1,000-foot One pager — Thousand Oaks is hard-coded. The red tab row (One pager, Status KPIs, Gantt, Risks, Jira links) and the six Big Rocks × FY swimlanes are the shell the network portal must keep. The site name becomes a drop-down; Budget is added as a tab.</w:t>
      </w:r>
    </w:p>
    <w:p>
      <w:r>
        <w:rPr>
          <w:rFonts w:ascii="Calibri" w:hAnsi="Calibri" w:eastAsia="Calibri"/>
          <w:b/>
          <w:i w:val="0"/>
          <w:color w:val="333A44"/>
          <w:sz w:val="22"/>
        </w:rPr>
        <w:t>What is wrong or missing for a network portal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333A44"/>
          <w:sz w:val="22"/>
        </w:rPr>
        <w:t>Site is not a filter. All data is Thousand Oaks sample / draft collections (</w:t>
      </w:r>
      <w:r>
        <w:rPr>
          <w:rFonts w:ascii="Consolas" w:hAnsi="Consolas" w:eastAsia="Consolas"/>
          <w:b w:val="0"/>
          <w:i w:val="0"/>
          <w:color w:val="102033"/>
          <w:sz w:val="20"/>
        </w:rPr>
        <w:t>colProjects</w:t>
      </w:r>
      <w:r>
        <w:rPr>
          <w:rFonts w:ascii="Calibri" w:hAnsi="Calibri" w:eastAsia="Calibri"/>
          <w:b w:val="0"/>
          <w:i w:val="0"/>
          <w:color w:val="333A44"/>
          <w:sz w:val="22"/>
        </w:rPr>
        <w:t>). Changes do not persist.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333A44"/>
          <w:sz w:val="22"/>
        </w:rPr>
        <w:t>No Budget tab.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333A44"/>
          <w:sz w:val="22"/>
        </w:rPr>
        <w:t>Gantt is year-band only; it is not combined with budget, actuals, or SPOT IDs.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333A44"/>
          <w:sz w:val="22"/>
        </w:rPr>
        <w:t>Status vocabulary does not yet match the global DDT roadmap RAG.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333A44"/>
          <w:sz w:val="22"/>
        </w:rPr>
        <w:t>No Site Head commentary, no audit trail, no role-based edit.</w:t>
      </w:r>
    </w:p>
    <w:p>
      <w:pPr>
        <w:pStyle w:val="Heading2"/>
      </w:pPr>
      <w:r>
        <w:t>3.2 Budget Power App (missing tab — reuse this pattern)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102033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Item</w:t>
            </w:r>
          </w:p>
        </w:tc>
        <w:tc>
          <w:tcPr>
            <w:tcW w:type="dxa" w:w="4986"/>
            <w:shd w:fill="102033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986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Play URL</w:t>
            </w:r>
          </w:p>
        </w:tc>
        <w:tc>
          <w:tcPr>
            <w:tcW w:type="dxa" w:w="4986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https://apps.powerapps.com/play/e/d99720be-f155-e674-86b3-32acc687394e/app/c683f980-1fb1-4917-b70c-34496646e6d3</w:t>
            </w:r>
          </w:p>
        </w:tc>
      </w:tr>
      <w:tr>
        <w:tc>
          <w:tcPr>
            <w:tcW w:type="dxa" w:w="4986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Environment</w:t>
            </w:r>
          </w:p>
        </w:tc>
        <w:tc>
          <w:tcPr>
            <w:tcW w:type="dxa" w:w="4986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d99720be-f155-e674-86b3-32acc687394e</w:t>
            </w:r>
          </w:p>
        </w:tc>
      </w:tr>
    </w:tbl>
    <w:p/>
    <w:p>
      <w:r>
        <w:rPr>
          <w:rFonts w:ascii="Calibri" w:hAnsi="Calibri" w:eastAsia="Calibri"/>
          <w:b w:val="0"/>
          <w:i w:val="0"/>
          <w:color w:val="333A44"/>
          <w:sz w:val="22"/>
        </w:rPr>
        <w:t xml:space="preserve">This is the starting visual for the new </w:t>
      </w:r>
      <w:r>
        <w:rPr>
          <w:rFonts w:ascii="Calibri" w:hAnsi="Calibri" w:eastAsia="Calibri"/>
          <w:b/>
          <w:i w:val="0"/>
          <w:color w:val="333A44"/>
          <w:sz w:val="22"/>
        </w:rPr>
        <w:t>Budget</w:t>
      </w: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 tab: investment vs. forecast vs. actual, by initiative / project / fiscal year, for the selected site. Live title: </w:t>
      </w:r>
      <w:r>
        <w:rPr>
          <w:rFonts w:ascii="Calibri" w:hAnsi="Calibri" w:eastAsia="Calibri"/>
          <w:b/>
          <w:i w:val="0"/>
          <w:color w:val="333A44"/>
          <w:sz w:val="22"/>
        </w:rPr>
        <w:t>DD&amp;T MYC Budget 2026</w:t>
      </w: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 (Thousand Oaks mid-year cycle). In the Glass, the same layout is filtered by the header site selector.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43600" cy="334327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left"/>
      </w:pPr>
      <w:r>
        <w:rPr>
          <w:rFonts w:ascii="Calibri" w:hAnsi="Calibri" w:eastAsia="Calibri"/>
          <w:b w:val="0"/>
          <w:i/>
          <w:color w:val="5B6470"/>
          <w:sz w:val="18"/>
        </w:rPr>
        <w:t>Figure 2. Budget tab source — DD&amp;T MYC Budget 2026. KPI strip, OPEX by value stream, investment ranking, FY split, and a project table with Details drill-down. Reuse this pattern; bind it to SPOT and the selected site.</w:t>
      </w:r>
    </w:p>
    <w:p>
      <w:pPr>
        <w:pStyle w:val="Heading2"/>
      </w:pPr>
      <w:r>
        <w:t>3.3 Combined Budget + Gantt Power App (target Gantt tab)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102033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Item</w:t>
            </w:r>
          </w:p>
        </w:tc>
        <w:tc>
          <w:tcPr>
            <w:tcW w:type="dxa" w:w="4986"/>
            <w:shd w:fill="102033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986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Play URL</w:t>
            </w:r>
          </w:p>
        </w:tc>
        <w:tc>
          <w:tcPr>
            <w:tcW w:type="dxa" w:w="4986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https://apps.powerapps.com/play/e/d99720be-f155-e674-86b3-32acc687394e/app/5d55a550-7d80-469a-84bc-bee2f53a08b3</w:t>
            </w:r>
          </w:p>
        </w:tc>
      </w:tr>
    </w:tbl>
    <w:p/>
    <w:p>
      <w:r>
        <w:rPr>
          <w:rFonts w:ascii="Calibri" w:hAnsi="Calibri" w:eastAsia="Calibri"/>
          <w:b w:val="0"/>
          <w:i w:val="0"/>
          <w:color w:val="333A44"/>
          <w:sz w:val="22"/>
        </w:rPr>
        <w:t xml:space="preserve">The production </w:t>
      </w:r>
      <w:r>
        <w:rPr>
          <w:rFonts w:ascii="Calibri" w:hAnsi="Calibri" w:eastAsia="Calibri"/>
          <w:b/>
          <w:i w:val="0"/>
          <w:color w:val="333A44"/>
          <w:sz w:val="22"/>
        </w:rPr>
        <w:t>Gantt</w:t>
      </w: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 tab must look and behave like this app: timeline bars and budget/actuals on the same row, not two disconnected screens. Left = site roadmap by workstream (MES, SAIL, Paperless, …) with SPOT IDs on the bars. Right = the MYC Budget executive panel for the same site.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43600" cy="334327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left"/>
      </w:pPr>
      <w:r>
        <w:rPr>
          <w:rFonts w:ascii="Calibri" w:hAnsi="Calibri" w:eastAsia="Calibri"/>
          <w:b w:val="0"/>
          <w:i/>
          <w:color w:val="5B6470"/>
          <w:sz w:val="18"/>
        </w:rPr>
        <w:t>Figure 3. Target Gantt + Budget — Thousand Oaks DD&amp;T Project Roadmap with the MYC Budget 2026 sidebar on the same screen. This is the combined view the thin One-pager Gantt tab must become.</w:t>
      </w:r>
    </w:p>
    <w:p>
      <w:pPr>
        <w:pStyle w:val="Heading2"/>
      </w:pPr>
      <w:r>
        <w:t>3.4 Global DDT Roadmap (network 1,000-foot evidence)</w:t>
      </w:r>
    </w:p>
    <w:p>
      <w:r>
        <w:rPr>
          <w:rFonts w:ascii="Calibri" w:hAnsi="Calibri" w:eastAsia="Calibri"/>
          <w:b w:val="0"/>
          <w:i w:val="0"/>
          <w:color w:val="333A44"/>
          <w:sz w:val="22"/>
        </w:rPr>
        <w:t xml:space="preserve">Prototype URL pattern </w:t>
      </w:r>
      <w:r>
        <w:rPr>
          <w:rFonts w:ascii="Consolas" w:hAnsi="Consolas" w:eastAsia="Consolas"/>
          <w:b w:val="0"/>
          <w:i w:val="0"/>
          <w:color w:val="102033"/>
          <w:sz w:val="20"/>
        </w:rPr>
        <w:t>100.64.0.2:3000</w:t>
      </w: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 with tabs Overview · Global Roadmap · Initiatives · Regions · Sites · Data. Snapshot as of 31 Aug 2026: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333A44"/>
          <w:sz w:val="22"/>
        </w:rPr>
        <w:t>34 programmes · 573 projects · 92 at risk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333A44"/>
          <w:sz w:val="22"/>
        </w:rPr>
        <w:t>Timeline FY24–FY30 with per-site go-lives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333A44"/>
          <w:sz w:val="22"/>
        </w:rPr>
        <w:t>Status glyphs: On Track · Monitor Closely · Leadership Attention Required · Blocked Pending Dependency · No Status · Complete · Cancelled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Programme health is </w:t>
      </w:r>
      <w:r>
        <w:rPr>
          <w:rFonts w:ascii="Calibri" w:hAnsi="Calibri" w:eastAsia="Calibri"/>
          <w:b/>
          <w:i w:val="0"/>
          <w:color w:val="333A44"/>
          <w:sz w:val="22"/>
        </w:rPr>
        <w:t>rolled up from linked projects</w:t>
      </w: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 (no authored initiative RAG in the feed)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333A44"/>
          <w:sz w:val="22"/>
        </w:rPr>
        <w:t>Site-led work is a first-class lane (329+ items), not hidden</w:t>
      </w:r>
    </w:p>
    <w:p>
      <w:r>
        <w:rPr>
          <w:rFonts w:ascii="Calibri" w:hAnsi="Calibri" w:eastAsia="Calibri"/>
          <w:b w:val="0"/>
          <w:i w:val="0"/>
          <w:color w:val="333A44"/>
          <w:sz w:val="22"/>
        </w:rPr>
        <w:t xml:space="preserve">This is the </w:t>
      </w:r>
      <w:r>
        <w:rPr>
          <w:rFonts w:ascii="Calibri" w:hAnsi="Calibri" w:eastAsia="Calibri"/>
          <w:b/>
          <w:i w:val="0"/>
          <w:color w:val="333A44"/>
          <w:sz w:val="22"/>
        </w:rPr>
        <w:t>network</w:t>
      </w: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 reading of the same portfolio the site Power App shows for one plant. The Executive Platform must be able to show both: one site (business review) and all sites (GSQ leadership). Clicking a site code (THO, LEX, …) sets the Glass site selector.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43600" cy="459363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936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left"/>
      </w:pPr>
      <w:r>
        <w:rPr>
          <w:rFonts w:ascii="Calibri" w:hAnsi="Calibri" w:eastAsia="Calibri"/>
          <w:b w:val="0"/>
          <w:i/>
          <w:color w:val="5B6470"/>
          <w:sz w:val="18"/>
        </w:rPr>
        <w:t>Figure 4. Network Global Roadmap — 34 programmes, 573 projects, FY24–FY30, per-site go-live glyphs. This is the executive Network mode.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43600" cy="459363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936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left"/>
      </w:pPr>
      <w:r>
        <w:rPr>
          <w:rFonts w:ascii="Calibri" w:hAnsi="Calibri" w:eastAsia="Calibri"/>
          <w:b w:val="0"/>
          <w:i/>
          <w:color w:val="5B6470"/>
          <w:sz w:val="18"/>
        </w:rPr>
        <w:t>Figure 5. Network Sites roll-up — Americas / Asia-Pacific / Europe with programme-aligned vs site-led counts. THO shows 44 active / 13 at risk.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43600" cy="459363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936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left"/>
      </w:pPr>
      <w:r>
        <w:rPr>
          <w:rFonts w:ascii="Calibri" w:hAnsi="Calibri" w:eastAsia="Calibri"/>
          <w:b w:val="0"/>
          <w:i/>
          <w:color w:val="5B6470"/>
          <w:sz w:val="18"/>
        </w:rPr>
        <w:t>Figure 6. Network Initiatives — every status is rolled up from linked projects. MES 32 / Paperless 28 / ODBR 22 all show Leadership Attention Required.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43600" cy="459363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936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left"/>
      </w:pPr>
      <w:r>
        <w:rPr>
          <w:rFonts w:ascii="Calibri" w:hAnsi="Calibri" w:eastAsia="Calibri"/>
          <w:b w:val="0"/>
          <w:i/>
          <w:color w:val="5B6470"/>
          <w:sz w:val="18"/>
        </w:rPr>
        <w:t>Figure 7. Network Regions — DD&amp;T reporting lines, not geography (Vashi→Europe, Yaroslavl→APAC). Europe 272 active / 50 at risk; Americas 166 / 24; APAC 135 / 18.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43600" cy="338785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78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left"/>
      </w:pPr>
      <w:r>
        <w:rPr>
          <w:rFonts w:ascii="Calibri" w:hAnsi="Calibri" w:eastAsia="Calibri"/>
          <w:b w:val="0"/>
          <w:i/>
          <w:color w:val="5B6470"/>
          <w:sz w:val="18"/>
        </w:rPr>
        <w:t>Figure 8. Existing Power BI site Gantt (Thousand Oaks) — the same portfolio the combined Power App in Figure 3 already presents more clearly. Do not rebuild this view.</w:t>
      </w:r>
    </w:p>
    <w:p>
      <w:pPr>
        <w:pStyle w:val="Heading2"/>
      </w:pPr>
      <w:r>
        <w:t>3.5 Capability Tracker (Power BI) — North Star / EDB-style drill-down</w:t>
      </w:r>
    </w:p>
    <w:p>
      <w:r>
        <w:rPr>
          <w:rFonts w:ascii="Calibri" w:hAnsi="Calibri" w:eastAsia="Calibri"/>
          <w:b w:val="0"/>
          <w:i w:val="0"/>
          <w:color w:val="333A44"/>
          <w:sz w:val="22"/>
        </w:rPr>
        <w:t xml:space="preserve">Two screens exist in </w:t>
      </w:r>
      <w:r>
        <w:rPr>
          <w:rFonts w:ascii="Consolas" w:hAnsi="Consolas" w:eastAsia="Consolas"/>
          <w:b w:val="0"/>
          <w:i w:val="0"/>
          <w:color w:val="102033"/>
          <w:sz w:val="20"/>
        </w:rPr>
        <w:t>Capability Tracker.pdf</w:t>
      </w:r>
      <w:r>
        <w:rPr>
          <w:rFonts w:ascii="Calibri" w:hAnsi="Calibri" w:eastAsia="Calibri"/>
          <w:b w:val="0"/>
          <w:i w:val="0"/>
          <w:color w:val="333A44"/>
          <w:sz w:val="22"/>
        </w:rPr>
        <w:t>:</w:t>
      </w:r>
    </w:p>
    <w:p>
      <w:r>
        <w:rPr>
          <w:rFonts w:ascii="Calibri" w:hAnsi="Calibri" w:eastAsia="Calibri"/>
          <w:b/>
          <w:i w:val="0"/>
          <w:color w:val="333A44"/>
          <w:sz w:val="22"/>
        </w:rPr>
        <w:t>Screen A — plant summary (example: Lexington)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333A44"/>
          <w:sz w:val="22"/>
        </w:rPr>
        <w:t>Filters: Plant, Global Initiative Yes/No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333A44"/>
          <w:sz w:val="22"/>
        </w:rPr>
        <w:t>Capability KPIs: 48 total · 31.96% deployed · 26.21% adopted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333A44"/>
          <w:sz w:val="22"/>
        </w:rPr>
        <w:t>Integration KPIs: 23 total · 47.83% deployed · 45.65% adopted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333A44"/>
          <w:sz w:val="22"/>
        </w:rPr>
        <w:t>Donuts: Fully Deployed &amp; Adopted / Pending / Deployed, Not Fully Adopted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333A44"/>
          <w:sz w:val="22"/>
        </w:rPr>
        <w:t>Bar: capabilities on a global initiative vs. local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333A44"/>
          <w:sz w:val="22"/>
        </w:rPr>
        <w:t>Footer: SAIL deployed plants (Brooklyn Park, Lexington, Linz, Osaka, Thousand Oaks)</w:t>
      </w:r>
    </w:p>
    <w:p>
      <w:r>
        <w:rPr>
          <w:rFonts w:ascii="Calibri" w:hAnsi="Calibri" w:eastAsia="Calibri"/>
          <w:b/>
          <w:i w:val="0"/>
          <w:color w:val="333A44"/>
          <w:sz w:val="22"/>
        </w:rPr>
        <w:t>Screen B — all capabilities (example: Brooklyn Park)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333A44"/>
          <w:sz w:val="22"/>
        </w:rPr>
        <w:t>Site capability score (49.30) and health line: capabilities complete 29/47 · integrations complete 7/19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333A44"/>
          <w:sz w:val="22"/>
        </w:rPr>
        <w:t>Funnel: Total → Fully Deployed → Fully Adopted → Both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333A44"/>
          <w:sz w:val="22"/>
        </w:rPr>
        <w:t>Pending integrations table (e.g. Batch Release: Floor Scales → LabX, LabWare ↔ MES, MES ↔ SAIL, SAP → RTMS, Veeva ↔ SAP)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333A44"/>
          <w:sz w:val="22"/>
        </w:rPr>
        <w:t>Completed capabilities list</w:t>
      </w:r>
    </w:p>
    <w:p>
      <w:r>
        <w:rPr>
          <w:rFonts w:ascii="Calibri" w:hAnsi="Calibri" w:eastAsia="Calibri"/>
          <w:b w:val="0"/>
          <w:i w:val="0"/>
          <w:color w:val="333A44"/>
          <w:sz w:val="22"/>
        </w:rPr>
        <w:t xml:space="preserve">This is the </w:t>
      </w:r>
      <w:r>
        <w:rPr>
          <w:rFonts w:ascii="Calibri" w:hAnsi="Calibri" w:eastAsia="Calibri"/>
          <w:b/>
          <w:i w:val="0"/>
          <w:color w:val="333A44"/>
          <w:sz w:val="22"/>
        </w:rPr>
        <w:t>system-integration and adoption</w:t>
      </w: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 detail that the 1,000-foot roadmap does not show. The Capability tab embeds this report and passes the Glass plant filter.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43600" cy="339156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15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left"/>
      </w:pPr>
      <w:r>
        <w:rPr>
          <w:rFonts w:ascii="Calibri" w:hAnsi="Calibri" w:eastAsia="Calibri"/>
          <w:b w:val="0"/>
          <w:i/>
          <w:color w:val="5B6470"/>
          <w:sz w:val="18"/>
        </w:rPr>
        <w:t>Figure 9. Capability Tracker — plant summary (Lexington). Deploy/adopt KPIs, status donuts, global-initiative split, SAIL deployed plants.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43600" cy="3391567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15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left"/>
      </w:pPr>
      <w:r>
        <w:rPr>
          <w:rFonts w:ascii="Calibri" w:hAnsi="Calibri" w:eastAsia="Calibri"/>
          <w:b w:val="0"/>
          <w:i/>
          <w:color w:val="5B6470"/>
          <w:sz w:val="18"/>
        </w:rPr>
        <w:t>Figure 10. Capability Tracker — all capabilities (Brooklyn Park). Site score, deploy/adopt funnels, pending integration pairs (MES ↔ SAIL, Veeva ↔ SAP), completed capabilities.</w:t>
      </w:r>
    </w:p>
    <w:p>
      <w:pPr>
        <w:pStyle w:val="Heading2"/>
      </w:pPr>
      <w:r>
        <w:t>3.6 Jira portfolio already in use</w:t>
      </w:r>
    </w:p>
    <w:p>
      <w:r>
        <w:rPr>
          <w:rFonts w:ascii="Consolas" w:hAnsi="Consolas" w:eastAsia="Consolas"/>
          <w:b w:val="0"/>
          <w:i w:val="0"/>
          <w:color w:val="102033"/>
          <w:sz w:val="20"/>
        </w:rPr>
        <w:t>DDTGMPORT</w:t>
      </w: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 holds the GSQ initiative set (MES, ODBR, Paperless Operations, Takami, Phoenix, Labware, SAIL, OT Cyber, etc.). Site projects (e.g. </w:t>
      </w:r>
      <w:r>
        <w:rPr>
          <w:rFonts w:ascii="Consolas" w:hAnsi="Consolas" w:eastAsia="Consolas"/>
          <w:b w:val="0"/>
          <w:i w:val="0"/>
          <w:color w:val="102033"/>
          <w:sz w:val="20"/>
        </w:rPr>
        <w:t>DDTTO-*</w:t>
      </w: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, </w:t>
      </w:r>
      <w:r>
        <w:rPr>
          <w:rFonts w:ascii="Consolas" w:hAnsi="Consolas" w:eastAsia="Consolas"/>
          <w:b w:val="0"/>
          <w:i w:val="0"/>
          <w:color w:val="102033"/>
          <w:sz w:val="20"/>
        </w:rPr>
        <w:t>DDTBP-*</w:t>
      </w: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) and SPOT IDs (e.g. TO MES Elaprase DS — SPOT 1024096) already exist. That Jira estate is a </w:t>
      </w:r>
      <w:r>
        <w:rPr>
          <w:rFonts w:ascii="Calibri" w:hAnsi="Calibri" w:eastAsia="Calibri"/>
          <w:b/>
          <w:i w:val="0"/>
          <w:color w:val="333A44"/>
          <w:sz w:val="22"/>
        </w:rPr>
        <w:t>data source</w:t>
      </w:r>
      <w:r>
        <w:rPr>
          <w:rFonts w:ascii="Calibri" w:hAnsi="Calibri" w:eastAsia="Calibri"/>
          <w:b w:val="0"/>
          <w:i w:val="0"/>
          <w:color w:val="333A44"/>
          <w:sz w:val="22"/>
        </w:rPr>
        <w:t>, not the delivery Initiative for *this* platform (see the onboarding companion).</w:t>
      </w:r>
    </w:p>
    <w:p>
      <w:pPr>
        <w:pStyle w:val="Heading2"/>
      </w:pPr>
      <w:r>
        <w:t>3.7 What “single pane of glass” means</w:t>
      </w:r>
    </w:p>
    <w:p>
      <w:pPr>
        <w:pStyle w:val="CodeBlock"/>
        <w:ind w:left="170"/>
      </w:pPr>
      <w:r>
        <w:t>┌──────────────────────────────────────────────────────────────────────────┐</w:t>
        <w:br/>
        <w:t>│  EXECUTIVE GLASS  (one Power App / later TakOS shell)                    │</w:t>
        <w:br/>
        <w:t>│  Site selector · FY · Big Rock · Platform · Risk · Role                  │</w:t>
        <w:br/>
        <w:t>│                                                                          │</w:t>
        <w:br/>
        <w:t>│  [One pager] [KPIs] [Gantt+Budget] [Budget] [Risks] [Jira] [Capability]  │</w:t>
        <w:br/>
        <w:t>│  [Business Review] [Site input] [Network roadmap]                        │</w:t>
        <w:br/>
        <w:t>│                                                                          │</w:t>
        <w:br/>
        <w:t>│     embeds / launches existing Power Apps, Power BI, Jira, SPOT          │</w:t>
        <w:br/>
        <w:t>│     writes Site Head commentary to Dataverse (system of record)          │</w:t>
        <w:br/>
        <w:t>└──────────────────────────────────────────────────────────────────────────┘</w:t>
        <w:br/>
        <w:t xml:space="preserve">         │                    │                     │</w:t>
        <w:br/>
        <w:t xml:space="preserve">    Jira / DDTGMPORT      SPOT investment        EDB / Capability</w:t>
        <w:br/>
        <w:t xml:space="preserve">    delivery + RAG        $ + milestones         deploy / adopt</w:t>
      </w:r>
    </w:p>
    <w:p>
      <w:r>
        <w:rPr>
          <w:rFonts w:ascii="Calibri" w:hAnsi="Calibri" w:eastAsia="Calibri"/>
          <w:b w:val="0"/>
          <w:i w:val="0"/>
          <w:color w:val="333A44"/>
          <w:sz w:val="22"/>
        </w:rPr>
        <w:t>Executives never leave the portal to “find the other dashboard.” Site context set in the header applies to every tab.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43600" cy="334699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69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left"/>
      </w:pPr>
      <w:r>
        <w:rPr>
          <w:rFonts w:ascii="Calibri" w:hAnsi="Calibri" w:eastAsia="Calibri"/>
          <w:b w:val="0"/>
          <w:i/>
          <w:color w:val="5B6470"/>
          <w:sz w:val="18"/>
        </w:rPr>
        <w:t>Figure S1. Single pane of glass — one site-aware shell, ten views, three read-only systems of record, one Dataverse write path.</w:t>
      </w:r>
    </w:p>
    <w:p>
      <w:pPr>
        <w:pStyle w:val="Heading1"/>
      </w:pPr>
      <w:r>
        <w:t>5. Canonical information architecture</w:t>
      </w:r>
    </w:p>
    <w:p>
      <w:pPr>
        <w:pStyle w:val="Heading2"/>
      </w:pPr>
      <w:r>
        <w:t>5.1 Hierarchy</w:t>
      </w:r>
    </w:p>
    <w:p>
      <w:pPr>
        <w:pStyle w:val="CodeBlock"/>
        <w:ind w:left="170"/>
      </w:pPr>
      <w:r>
        <w:t>GSQ Network</w:t>
        <w:br/>
        <w:t xml:space="preserve"> └─ Region (Americas / Europe / Asia-Pacific)     ← DD&amp;T reporting line, not geography</w:t>
        <w:br/>
        <w:t xml:space="preserve">     └─ Site (e.g. Thousand Oaks / THO)</w:t>
        <w:br/>
        <w:t xml:space="preserve">         └─ Big Rock (6 strategic capabilities)</w:t>
        <w:br/>
        <w:t xml:space="preserve">             └─ North Star Platform (MES, SAIL, Labware, …)</w:t>
        <w:br/>
        <w:t xml:space="preserve">                 └─ Initiative / Programme (DDTGMPORT-*)</w:t>
        <w:br/>
        <w:t xml:space="preserve">                     └─ Site project (DDTTO-*, SPOT ID)</w:t>
        <w:br/>
        <w:t xml:space="preserve">                         └─ Milestone / go-live</w:t>
        <w:br/>
        <w:t xml:space="preserve">                         └─ Risk / impediment</w:t>
        <w:br/>
        <w:t xml:space="preserve">                         └─ Budget line (SPOT)</w:t>
        <w:br/>
        <w:t xml:space="preserve">                         └─ Capability / integration (EDB)</w:t>
      </w:r>
    </w:p>
    <w:p>
      <w:r>
        <w:rPr>
          <w:rFonts w:ascii="Calibri" w:hAnsi="Calibri" w:eastAsia="Calibri"/>
          <w:b/>
          <w:i w:val="0"/>
          <w:color w:val="333A44"/>
          <w:sz w:val="22"/>
        </w:rPr>
        <w:t>Reporting-line exception (already in the global roadmap):</w:t>
      </w: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 Vashi reports into Europe; Yaroslavl reports into Asia-Pacific. The site master must store </w:t>
      </w:r>
      <w:r>
        <w:rPr>
          <w:rFonts w:ascii="Consolas" w:hAnsi="Consolas" w:eastAsia="Consolas"/>
          <w:b w:val="0"/>
          <w:i w:val="0"/>
          <w:color w:val="102033"/>
          <w:sz w:val="20"/>
        </w:rPr>
        <w:t>reporting_region</w:t>
      </w:r>
      <w:r>
        <w:rPr>
          <w:rFonts w:ascii="Calibri" w:hAnsi="Calibri" w:eastAsia="Calibri"/>
          <w:b w:val="0"/>
          <w:i w:val="0"/>
          <w:color w:val="333A44"/>
          <w:sz w:val="22"/>
        </w:rPr>
        <w:t>, not infer it from country.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43600" cy="3235547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55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left"/>
      </w:pPr>
      <w:r>
        <w:rPr>
          <w:rFonts w:ascii="Calibri" w:hAnsi="Calibri" w:eastAsia="Calibri"/>
          <w:b w:val="0"/>
          <w:i/>
          <w:color w:val="5B6470"/>
          <w:sz w:val="18"/>
        </w:rPr>
        <w:t>Figure S2. Canonical hierarchy — Network → Region → Site → Big Rock → North Star platform → initiative / site project. THO is the business-review pilot.</w:t>
      </w:r>
    </w:p>
    <w:p>
      <w:pPr>
        <w:pStyle w:val="Heading2"/>
      </w:pPr>
      <w:r>
        <w:t>5.2 Site master (network of 18)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102033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Region</w:t>
            </w:r>
          </w:p>
        </w:tc>
        <w:tc>
          <w:tcPr>
            <w:tcW w:type="dxa" w:w="2493"/>
            <w:shd w:fill="102033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Site</w:t>
            </w:r>
          </w:p>
        </w:tc>
        <w:tc>
          <w:tcPr>
            <w:tcW w:type="dxa" w:w="2493"/>
            <w:shd w:fill="102033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Code</w:t>
            </w:r>
          </w:p>
        </w:tc>
        <w:tc>
          <w:tcPr>
            <w:tcW w:type="dxa" w:w="2493"/>
            <w:shd w:fill="102033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Notes for MVP</w:t>
            </w:r>
          </w:p>
        </w:tc>
      </w:tr>
      <w:tr>
        <w:tc>
          <w:tcPr>
            <w:tcW w:type="dxa" w:w="2493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Americas</w:t>
            </w:r>
          </w:p>
        </w:tc>
        <w:tc>
          <w:tcPr>
            <w:tcW w:type="dxa" w:w="2493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Lexington</w:t>
            </w:r>
          </w:p>
        </w:tc>
        <w:tc>
          <w:tcPr>
            <w:tcW w:type="dxa" w:w="2493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LEX</w:t>
            </w:r>
          </w:p>
        </w:tc>
        <w:tc>
          <w:tcPr>
            <w:tcW w:type="dxa" w:w="2493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Capability Tracker already live</w:t>
            </w:r>
          </w:p>
        </w:tc>
      </w:tr>
      <w:tr>
        <w:tc>
          <w:tcPr>
            <w:tcW w:type="dxa" w:w="2493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Americas</w:t>
            </w:r>
          </w:p>
        </w:tc>
        <w:tc>
          <w:tcPr>
            <w:tcW w:type="dxa" w:w="2493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Thousand Oaks</w:t>
            </w:r>
          </w:p>
        </w:tc>
        <w:tc>
          <w:tcPr>
            <w:tcW w:type="dxa" w:w="2493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THO</w:t>
            </w:r>
          </w:p>
        </w:tc>
        <w:tc>
          <w:tcPr>
            <w:tcW w:type="dxa" w:w="2493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Business-review pilot</w:t>
            </w:r>
          </w:p>
        </w:tc>
      </w:tr>
      <w:tr>
        <w:tc>
          <w:tcPr>
            <w:tcW w:type="dxa" w:w="2493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Americas</w:t>
            </w:r>
          </w:p>
        </w:tc>
        <w:tc>
          <w:tcPr>
            <w:tcW w:type="dxa" w:w="2493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Brooklyn Park</w:t>
            </w:r>
          </w:p>
        </w:tc>
        <w:tc>
          <w:tcPr>
            <w:tcW w:type="dxa" w:w="2493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BRP</w:t>
            </w:r>
          </w:p>
        </w:tc>
        <w:tc>
          <w:tcPr>
            <w:tcW w:type="dxa" w:w="2493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Capability Tracker already live</w:t>
            </w:r>
          </w:p>
        </w:tc>
      </w:tr>
      <w:tr>
        <w:tc>
          <w:tcPr>
            <w:tcW w:type="dxa" w:w="2493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Americas</w:t>
            </w:r>
          </w:p>
        </w:tc>
        <w:tc>
          <w:tcPr>
            <w:tcW w:type="dxa" w:w="2493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Naucalpan</w:t>
            </w:r>
          </w:p>
        </w:tc>
        <w:tc>
          <w:tcPr>
            <w:tcW w:type="dxa" w:w="2493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NAU</w:t>
            </w:r>
          </w:p>
        </w:tc>
        <w:tc>
          <w:tcPr>
            <w:tcW w:type="dxa" w:w="2493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Americas</w:t>
            </w:r>
          </w:p>
        </w:tc>
        <w:tc>
          <w:tcPr>
            <w:tcW w:type="dxa" w:w="2493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Buenos Aires</w:t>
            </w:r>
          </w:p>
        </w:tc>
        <w:tc>
          <w:tcPr>
            <w:tcW w:type="dxa" w:w="2493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BUE</w:t>
            </w:r>
          </w:p>
        </w:tc>
        <w:tc>
          <w:tcPr>
            <w:tcW w:type="dxa" w:w="2493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</w:r>
          </w:p>
        </w:tc>
      </w:tr>
      <w:tr>
        <w:tc>
          <w:tcPr>
            <w:tcW w:type="dxa" w:w="2493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Asia-Pacific</w:t>
            </w:r>
          </w:p>
        </w:tc>
        <w:tc>
          <w:tcPr>
            <w:tcW w:type="dxa" w:w="2493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Tianjin</w:t>
            </w:r>
          </w:p>
        </w:tc>
        <w:tc>
          <w:tcPr>
            <w:tcW w:type="dxa" w:w="2493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TJN</w:t>
            </w:r>
          </w:p>
        </w:tc>
        <w:tc>
          <w:tcPr>
            <w:tcW w:type="dxa" w:w="2493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Asia-Pacific</w:t>
            </w:r>
          </w:p>
        </w:tc>
        <w:tc>
          <w:tcPr>
            <w:tcW w:type="dxa" w:w="2493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Osaka</w:t>
            </w:r>
          </w:p>
        </w:tc>
        <w:tc>
          <w:tcPr>
            <w:tcW w:type="dxa" w:w="2493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OSA</w:t>
            </w:r>
          </w:p>
        </w:tc>
        <w:tc>
          <w:tcPr>
            <w:tcW w:type="dxa" w:w="2493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SAIL deployed</w:t>
            </w:r>
          </w:p>
        </w:tc>
      </w:tr>
      <w:tr>
        <w:tc>
          <w:tcPr>
            <w:tcW w:type="dxa" w:w="2493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Asia-Pacific</w:t>
            </w:r>
          </w:p>
        </w:tc>
        <w:tc>
          <w:tcPr>
            <w:tcW w:type="dxa" w:w="2493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Hikari</w:t>
            </w:r>
          </w:p>
        </w:tc>
        <w:tc>
          <w:tcPr>
            <w:tcW w:type="dxa" w:w="2493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HIK</w:t>
            </w:r>
          </w:p>
        </w:tc>
        <w:tc>
          <w:tcPr>
            <w:tcW w:type="dxa" w:w="2493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Asia-Pacific</w:t>
            </w:r>
          </w:p>
        </w:tc>
        <w:tc>
          <w:tcPr>
            <w:tcW w:type="dxa" w:w="2493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Singapore</w:t>
            </w:r>
          </w:p>
        </w:tc>
        <w:tc>
          <w:tcPr>
            <w:tcW w:type="dxa" w:w="2493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SGP</w:t>
            </w:r>
          </w:p>
        </w:tc>
        <w:tc>
          <w:tcPr>
            <w:tcW w:type="dxa" w:w="2493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</w:r>
          </w:p>
        </w:tc>
      </w:tr>
      <w:tr>
        <w:tc>
          <w:tcPr>
            <w:tcW w:type="dxa" w:w="2493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Asia-Pacific</w:t>
            </w:r>
          </w:p>
        </w:tc>
        <w:tc>
          <w:tcPr>
            <w:tcW w:type="dxa" w:w="2493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Yaroslavl</w:t>
            </w:r>
          </w:p>
        </w:tc>
        <w:tc>
          <w:tcPr>
            <w:tcW w:type="dxa" w:w="2493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YAR</w:t>
            </w:r>
          </w:p>
        </w:tc>
        <w:tc>
          <w:tcPr>
            <w:tcW w:type="dxa" w:w="2493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Reports to APAC; high site-led share</w:t>
            </w:r>
          </w:p>
        </w:tc>
      </w:tr>
      <w:tr>
        <w:tc>
          <w:tcPr>
            <w:tcW w:type="dxa" w:w="2493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Asia-Pacific</w:t>
            </w:r>
          </w:p>
        </w:tc>
        <w:tc>
          <w:tcPr>
            <w:tcW w:type="dxa" w:w="2493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Bekasi</w:t>
            </w:r>
          </w:p>
        </w:tc>
        <w:tc>
          <w:tcPr>
            <w:tcW w:type="dxa" w:w="2493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BEK</w:t>
            </w:r>
          </w:p>
        </w:tc>
        <w:tc>
          <w:tcPr>
            <w:tcW w:type="dxa" w:w="2493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</w:r>
          </w:p>
        </w:tc>
      </w:tr>
      <w:tr>
        <w:tc>
          <w:tcPr>
            <w:tcW w:type="dxa" w:w="2493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Europe</w:t>
            </w:r>
          </w:p>
        </w:tc>
        <w:tc>
          <w:tcPr>
            <w:tcW w:type="dxa" w:w="2493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Grange Castle</w:t>
            </w:r>
          </w:p>
        </w:tc>
        <w:tc>
          <w:tcPr>
            <w:tcW w:type="dxa" w:w="2493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GRA</w:t>
            </w:r>
          </w:p>
        </w:tc>
        <w:tc>
          <w:tcPr>
            <w:tcW w:type="dxa" w:w="2493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Largest site-led volume</w:t>
            </w:r>
          </w:p>
        </w:tc>
      </w:tr>
      <w:tr>
        <w:tc>
          <w:tcPr>
            <w:tcW w:type="dxa" w:w="2493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Europe</w:t>
            </w:r>
          </w:p>
        </w:tc>
        <w:tc>
          <w:tcPr>
            <w:tcW w:type="dxa" w:w="2493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Bray</w:t>
            </w:r>
          </w:p>
        </w:tc>
        <w:tc>
          <w:tcPr>
            <w:tcW w:type="dxa" w:w="2493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BRY</w:t>
            </w:r>
          </w:p>
        </w:tc>
        <w:tc>
          <w:tcPr>
            <w:tcW w:type="dxa" w:w="2493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</w:r>
          </w:p>
        </w:tc>
      </w:tr>
      <w:tr>
        <w:tc>
          <w:tcPr>
            <w:tcW w:type="dxa" w:w="2493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Europe</w:t>
            </w:r>
          </w:p>
        </w:tc>
        <w:tc>
          <w:tcPr>
            <w:tcW w:type="dxa" w:w="2493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Linz</w:t>
            </w:r>
          </w:p>
        </w:tc>
        <w:tc>
          <w:tcPr>
            <w:tcW w:type="dxa" w:w="2493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LIN</w:t>
            </w:r>
          </w:p>
        </w:tc>
        <w:tc>
          <w:tcPr>
            <w:tcW w:type="dxa" w:w="2493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SAIL deployed</w:t>
            </w:r>
          </w:p>
        </w:tc>
      </w:tr>
      <w:tr>
        <w:tc>
          <w:tcPr>
            <w:tcW w:type="dxa" w:w="2493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Europe</w:t>
            </w:r>
          </w:p>
        </w:tc>
        <w:tc>
          <w:tcPr>
            <w:tcW w:type="dxa" w:w="2493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Oranienburg</w:t>
            </w:r>
          </w:p>
        </w:tc>
        <w:tc>
          <w:tcPr>
            <w:tcW w:type="dxa" w:w="2493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ORA</w:t>
            </w:r>
          </w:p>
        </w:tc>
        <w:tc>
          <w:tcPr>
            <w:tcW w:type="dxa" w:w="2493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</w:r>
          </w:p>
        </w:tc>
      </w:tr>
      <w:tr>
        <w:tc>
          <w:tcPr>
            <w:tcW w:type="dxa" w:w="2493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Europe</w:t>
            </w:r>
          </w:p>
        </w:tc>
        <w:tc>
          <w:tcPr>
            <w:tcW w:type="dxa" w:w="2493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Singen</w:t>
            </w:r>
          </w:p>
        </w:tc>
        <w:tc>
          <w:tcPr>
            <w:tcW w:type="dxa" w:w="2493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SNG</w:t>
            </w:r>
          </w:p>
        </w:tc>
        <w:tc>
          <w:tcPr>
            <w:tcW w:type="dxa" w:w="2493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Europe</w:t>
            </w:r>
          </w:p>
        </w:tc>
        <w:tc>
          <w:tcPr>
            <w:tcW w:type="dxa" w:w="2493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Neuchatel</w:t>
            </w:r>
          </w:p>
        </w:tc>
        <w:tc>
          <w:tcPr>
            <w:tcW w:type="dxa" w:w="2493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NEU</w:t>
            </w:r>
          </w:p>
        </w:tc>
        <w:tc>
          <w:tcPr>
            <w:tcW w:type="dxa" w:w="2493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</w:r>
          </w:p>
        </w:tc>
      </w:tr>
      <w:tr>
        <w:tc>
          <w:tcPr>
            <w:tcW w:type="dxa" w:w="2493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Europe</w:t>
            </w:r>
          </w:p>
        </w:tc>
        <w:tc>
          <w:tcPr>
            <w:tcW w:type="dxa" w:w="2493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Vashi</w:t>
            </w:r>
          </w:p>
        </w:tc>
        <w:tc>
          <w:tcPr>
            <w:tcW w:type="dxa" w:w="2493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VAS</w:t>
            </w:r>
          </w:p>
        </w:tc>
        <w:tc>
          <w:tcPr>
            <w:tcW w:type="dxa" w:w="2493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Reports to Europe</w:t>
            </w:r>
          </w:p>
        </w:tc>
      </w:tr>
    </w:tbl>
    <w:p/>
    <w:p>
      <w:r>
        <w:rPr>
          <w:rFonts w:ascii="Calibri" w:hAnsi="Calibri" w:eastAsia="Calibri"/>
          <w:b w:val="0"/>
          <w:i w:val="0"/>
          <w:color w:val="333A44"/>
          <w:sz w:val="22"/>
        </w:rPr>
        <w:t xml:space="preserve">Header control: </w:t>
      </w:r>
      <w:r>
        <w:rPr>
          <w:rFonts w:ascii="Calibri" w:hAnsi="Calibri" w:eastAsia="Calibri"/>
          <w:b/>
          <w:i w:val="0"/>
          <w:color w:val="333A44"/>
          <w:sz w:val="22"/>
        </w:rPr>
        <w:t>Site</w:t>
      </w: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 (required). Optional second control: </w:t>
      </w:r>
      <w:r>
        <w:rPr>
          <w:rFonts w:ascii="Calibri" w:hAnsi="Calibri" w:eastAsia="Calibri"/>
          <w:b/>
          <w:i w:val="0"/>
          <w:color w:val="333A44"/>
          <w:sz w:val="22"/>
        </w:rPr>
        <w:t>Network / All sites</w:t>
      </w: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 for GSQ executives. Changing Site re-queries every tab; it does not open a different app.</w:t>
      </w:r>
    </w:p>
    <w:p>
      <w:pPr>
        <w:pStyle w:val="Heading2"/>
      </w:pPr>
      <w:r>
        <w:t>5.3 Six Big Rocks (One pager columns)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102033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3324"/>
            <w:shd w:fill="102033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Label</w:t>
            </w:r>
          </w:p>
        </w:tc>
        <w:tc>
          <w:tcPr>
            <w:tcW w:type="dxa" w:w="3324"/>
            <w:shd w:fill="102033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Typical North Star platforms</w:t>
            </w:r>
          </w:p>
        </w:tc>
      </w:tr>
      <w:tr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one-day-batch-release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One Day Batch Release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MES, Veeva eQMS, Smart QC, NYMI</w:t>
            </w:r>
          </w:p>
        </w:tc>
      </w:tr>
      <w:tr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lab-of-the-future</w:t>
            </w:r>
          </w:p>
        </w:tc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Lab of the Future</w:t>
            </w:r>
          </w:p>
        </w:tc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Labware (GLIMS/EM), LabX, Smart QC, SIMCA Online</w:t>
            </w:r>
          </w:p>
        </w:tc>
      </w:tr>
      <w:tr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predictive-maintenance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Predictive Maintenance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LPMS, RTMS, APMS, COMOS, OpsTrakker</w:t>
            </w:r>
          </w:p>
        </w:tc>
      </w:tr>
      <w:tr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rapid-digital-tech-transfer</w:t>
            </w:r>
          </w:p>
        </w:tc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Rapid Digital Tech Transfer</w:t>
            </w:r>
          </w:p>
        </w:tc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SAIL, Takami, Phoenix</w:t>
            </w:r>
          </w:p>
        </w:tc>
      </w:tr>
      <w:tr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inventory-optimization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Inventory Optimization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SAP, Takami, warehouse / RTMS</w:t>
            </w:r>
          </w:p>
        </w:tc>
      </w:tr>
      <w:tr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digital-twin</w:t>
            </w:r>
          </w:p>
        </w:tc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Power of Digital Twins</w:t>
            </w:r>
          </w:p>
        </w:tc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Discoverant, Enterprise Data, SIMCA, digital twin use cases</w:t>
            </w:r>
          </w:p>
        </w:tc>
      </w:tr>
    </w:tbl>
    <w:p/>
    <w:p>
      <w:r>
        <w:rPr>
          <w:rFonts w:ascii="Calibri" w:hAnsi="Calibri" w:eastAsia="Calibri"/>
          <w:b w:val="0"/>
          <w:i w:val="0"/>
          <w:color w:val="333A44"/>
          <w:sz w:val="22"/>
        </w:rPr>
        <w:t xml:space="preserve">A project belongs to </w:t>
      </w:r>
      <w:r>
        <w:rPr>
          <w:rFonts w:ascii="Calibri" w:hAnsi="Calibri" w:eastAsia="Calibri"/>
          <w:b/>
          <w:i w:val="0"/>
          <w:color w:val="333A44"/>
          <w:sz w:val="22"/>
        </w:rPr>
        <w:t>exactly one</w:t>
      </w: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 Big Rock for the One pager (primary). It may tag additional platforms.</w:t>
      </w:r>
    </w:p>
    <w:p>
      <w:pPr>
        <w:pStyle w:val="Heading2"/>
      </w:pPr>
      <w:r>
        <w:t>5.4 Canonical status (must map all three current vocabularies)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102033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Canonical</w:t>
            </w:r>
          </w:p>
        </w:tc>
        <w:tc>
          <w:tcPr>
            <w:tcW w:type="dxa" w:w="1994"/>
            <w:shd w:fill="102033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TO Power App today</w:t>
            </w:r>
          </w:p>
        </w:tc>
        <w:tc>
          <w:tcPr>
            <w:tcW w:type="dxa" w:w="1994"/>
            <w:shd w:fill="102033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Global roadmap</w:t>
            </w:r>
          </w:p>
        </w:tc>
        <w:tc>
          <w:tcPr>
            <w:tcW w:type="dxa" w:w="1994"/>
            <w:shd w:fill="102033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Power BI</w:t>
            </w:r>
          </w:p>
        </w:tc>
        <w:tc>
          <w:tcPr>
            <w:tcW w:type="dxa" w:w="1994"/>
            <w:shd w:fill="102033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Color / glyph</w:t>
            </w:r>
          </w:p>
        </w:tc>
      </w:tr>
      <w:tr>
        <w:tc>
          <w:tcPr>
            <w:tcW w:type="dxa" w:w="199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on_track</w:t>
            </w:r>
          </w:p>
        </w:tc>
        <w:tc>
          <w:tcPr>
            <w:tcW w:type="dxa" w:w="199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On Track</w:t>
            </w:r>
          </w:p>
        </w:tc>
        <w:tc>
          <w:tcPr>
            <w:tcW w:type="dxa" w:w="199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On Track</w:t>
            </w:r>
          </w:p>
        </w:tc>
        <w:tc>
          <w:tcPr>
            <w:tcW w:type="dxa" w:w="199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Green</w:t>
            </w:r>
          </w:p>
        </w:tc>
        <w:tc>
          <w:tcPr>
            <w:tcW w:type="dxa" w:w="199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Green circle</w:t>
            </w:r>
          </w:p>
        </w:tc>
      </w:tr>
      <w:tr>
        <w:tc>
          <w:tcPr>
            <w:tcW w:type="dxa" w:w="199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monitor</w:t>
            </w:r>
          </w:p>
        </w:tc>
        <w:tc>
          <w:tcPr>
            <w:tcW w:type="dxa" w:w="199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At Risk (split)</w:t>
            </w:r>
          </w:p>
        </w:tc>
        <w:tc>
          <w:tcPr>
            <w:tcW w:type="dxa" w:w="199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Monitor Closely</w:t>
            </w:r>
          </w:p>
        </w:tc>
        <w:tc>
          <w:tcPr>
            <w:tcW w:type="dxa" w:w="199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Amber</w:t>
            </w:r>
          </w:p>
        </w:tc>
        <w:tc>
          <w:tcPr>
            <w:tcW w:type="dxa" w:w="199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Amber triangle</w:t>
            </w:r>
          </w:p>
        </w:tc>
      </w:tr>
      <w:tr>
        <w:tc>
          <w:tcPr>
            <w:tcW w:type="dxa" w:w="199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leadership</w:t>
            </w:r>
          </w:p>
        </w:tc>
        <w:tc>
          <w:tcPr>
            <w:tcW w:type="dxa" w:w="199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Delayed / At Risk (split)</w:t>
            </w:r>
          </w:p>
        </w:tc>
        <w:tc>
          <w:tcPr>
            <w:tcW w:type="dxa" w:w="199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Leadership Attention Required</w:t>
            </w:r>
          </w:p>
        </w:tc>
        <w:tc>
          <w:tcPr>
            <w:tcW w:type="dxa" w:w="199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Red</w:t>
            </w:r>
          </w:p>
        </w:tc>
        <w:tc>
          <w:tcPr>
            <w:tcW w:type="dxa" w:w="199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Red diamond</w:t>
            </w:r>
          </w:p>
        </w:tc>
      </w:tr>
      <w:tr>
        <w:tc>
          <w:tcPr>
            <w:tcW w:type="dxa" w:w="199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blocked</w:t>
            </w:r>
          </w:p>
        </w:tc>
        <w:tc>
          <w:tcPr>
            <w:tcW w:type="dxa" w:w="199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—</w:t>
            </w:r>
          </w:p>
        </w:tc>
        <w:tc>
          <w:tcPr>
            <w:tcW w:type="dxa" w:w="199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Blocked Pending Dependency</w:t>
            </w:r>
          </w:p>
        </w:tc>
        <w:tc>
          <w:tcPr>
            <w:tcW w:type="dxa" w:w="199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Red</w:t>
            </w:r>
          </w:p>
        </w:tc>
        <w:tc>
          <w:tcPr>
            <w:tcW w:type="dxa" w:w="199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Solid red</w:t>
            </w:r>
          </w:p>
        </w:tc>
      </w:tr>
      <w:tr>
        <w:tc>
          <w:tcPr>
            <w:tcW w:type="dxa" w:w="199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planning</w:t>
            </w:r>
          </w:p>
        </w:tc>
        <w:tc>
          <w:tcPr>
            <w:tcW w:type="dxa" w:w="199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Planning Not Started</w:t>
            </w:r>
          </w:p>
        </w:tc>
        <w:tc>
          <w:tcPr>
            <w:tcW w:type="dxa" w:w="199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No Status Reported (if no RAG)</w:t>
            </w:r>
          </w:p>
        </w:tc>
        <w:tc>
          <w:tcPr>
            <w:tcW w:type="dxa" w:w="199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Unassigned</w:t>
            </w:r>
          </w:p>
        </w:tc>
        <w:tc>
          <w:tcPr>
            <w:tcW w:type="dxa" w:w="199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Grey hollow</w:t>
            </w:r>
          </w:p>
        </w:tc>
      </w:tr>
      <w:tr>
        <w:tc>
          <w:tcPr>
            <w:tcW w:type="dxa" w:w="199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complete</w:t>
            </w:r>
          </w:p>
        </w:tc>
        <w:tc>
          <w:tcPr>
            <w:tcW w:type="dxa" w:w="199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—</w:t>
            </w:r>
          </w:p>
        </w:tc>
        <w:tc>
          <w:tcPr>
            <w:tcW w:type="dxa" w:w="199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Complete</w:t>
            </w:r>
          </w:p>
        </w:tc>
        <w:tc>
          <w:tcPr>
            <w:tcW w:type="dxa" w:w="199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Completed</w:t>
            </w:r>
          </w:p>
        </w:tc>
        <w:tc>
          <w:tcPr>
            <w:tcW w:type="dxa" w:w="199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Blue check</w:t>
            </w:r>
          </w:p>
        </w:tc>
      </w:tr>
      <w:tr>
        <w:tc>
          <w:tcPr>
            <w:tcW w:type="dxa" w:w="199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cancelled</w:t>
            </w:r>
          </w:p>
        </w:tc>
        <w:tc>
          <w:tcPr>
            <w:tcW w:type="dxa" w:w="199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—</w:t>
            </w:r>
          </w:p>
        </w:tc>
        <w:tc>
          <w:tcPr>
            <w:tcW w:type="dxa" w:w="199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Cancelled</w:t>
            </w:r>
          </w:p>
        </w:tc>
        <w:tc>
          <w:tcPr>
            <w:tcW w:type="dxa" w:w="199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—</w:t>
            </w:r>
          </w:p>
        </w:tc>
        <w:tc>
          <w:tcPr>
            <w:tcW w:type="dxa" w:w="199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Grey X</w:t>
            </w:r>
          </w:p>
        </w:tc>
      </w:tr>
    </w:tbl>
    <w:p/>
    <w:p>
      <w:r>
        <w:rPr>
          <w:rFonts w:ascii="Calibri" w:hAnsi="Calibri" w:eastAsia="Calibri"/>
          <w:b/>
          <w:i w:val="0"/>
          <w:color w:val="333A44"/>
          <w:sz w:val="22"/>
        </w:rPr>
        <w:t>Roll-up rule (already proven on the global roadmap, keep it):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333A44"/>
          <w:sz w:val="22"/>
        </w:rPr>
        <w:t>Initiative RAG = worst open child project (Leadership &gt; Blocked &gt; Monitor &gt; On Track).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333A44"/>
          <w:sz w:val="22"/>
        </w:rPr>
        <w:t>Do not allow an authored initiative RAG that contradicts children.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333A44"/>
          <w:sz w:val="22"/>
        </w:rPr>
        <w:t>Complete and Cancelled are excluded from “active” and “at risk” counts.</w:t>
      </w:r>
    </w:p>
    <w:p>
      <w:pPr>
        <w:pStyle w:val="Heading2"/>
      </w:pPr>
      <w:r>
        <w:t>5.5 Fiscal time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Fiscal year labels </w:t>
      </w:r>
      <w:r>
        <w:rPr>
          <w:rFonts w:ascii="Calibri" w:hAnsi="Calibri" w:eastAsia="Calibri"/>
          <w:b/>
          <w:i w:val="0"/>
          <w:color w:val="333A44"/>
          <w:sz w:val="22"/>
        </w:rPr>
        <w:t>FY26, FY27, FY28+</w:t>
      </w: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 on the site One pager.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Network Gantt may span </w:t>
      </w:r>
      <w:r>
        <w:rPr>
          <w:rFonts w:ascii="Calibri" w:hAnsi="Calibri" w:eastAsia="Calibri"/>
          <w:b/>
          <w:i w:val="0"/>
          <w:color w:val="333A44"/>
          <w:sz w:val="22"/>
        </w:rPr>
        <w:t>FY24–FY30</w:t>
      </w: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 (global roadmap already does).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333A44"/>
          <w:sz w:val="22"/>
        </w:rPr>
        <w:t>“Today” marker is required on every Gantt.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A project’s </w:t>
      </w:r>
      <w:r>
        <w:rPr>
          <w:rFonts w:ascii="Calibri" w:hAnsi="Calibri" w:eastAsia="Calibri"/>
          <w:b/>
          <w:i w:val="0"/>
          <w:color w:val="333A44"/>
          <w:sz w:val="22"/>
        </w:rPr>
        <w:t>planning FY</w:t>
      </w: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 (One pager swimlane) and </w:t>
      </w:r>
      <w:r>
        <w:rPr>
          <w:rFonts w:ascii="Calibri" w:hAnsi="Calibri" w:eastAsia="Calibri"/>
          <w:b/>
          <w:i w:val="0"/>
          <w:color w:val="333A44"/>
          <w:sz w:val="22"/>
        </w:rPr>
        <w:t>date span</w:t>
      </w: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 (Gantt start / go-live) are different fields. Do not collapse them.</w:t>
      </w:r>
    </w:p>
    <w:p>
      <w:pPr>
        <w:pStyle w:val="Heading1"/>
      </w:pPr>
      <w:r>
        <w:t>6. Target-state mockups (what Band B builds)</w:t>
      </w:r>
    </w:p>
    <w:p>
      <w:r>
        <w:rPr>
          <w:rFonts w:ascii="Calibri" w:hAnsi="Calibri" w:eastAsia="Calibri"/>
          <w:b w:val="0"/>
          <w:i w:val="0"/>
          <w:color w:val="333A44"/>
          <w:sz w:val="22"/>
        </w:rPr>
        <w:t xml:space="preserve">These four screens are the </w:t>
      </w:r>
      <w:r>
        <w:rPr>
          <w:rFonts w:ascii="Calibri" w:hAnsi="Calibri" w:eastAsia="Calibri"/>
          <w:b/>
          <w:i w:val="0"/>
          <w:color w:val="333A44"/>
          <w:sz w:val="22"/>
        </w:rPr>
        <w:t>new platform</w:t>
      </w: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, not the current Power Apps. Same Takeda chrome on every tab: product title, </w:t>
      </w:r>
      <w:r>
        <w:rPr>
          <w:rFonts w:ascii="Calibri" w:hAnsi="Calibri" w:eastAsia="Calibri"/>
          <w:b/>
          <w:i w:val="0"/>
          <w:color w:val="333A44"/>
          <w:sz w:val="22"/>
        </w:rPr>
        <w:t>site drop-down</w:t>
      </w: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 (replaces hard-coded Thousand Oaks), This site / Network, source freshness, and the full tab row. Live apps in Figures 1–3 are the visual DNA; these mockups show how that DNA sits in one Glass.</w:t>
      </w:r>
    </w:p>
    <w:p>
      <w:r>
        <w:rPr>
          <w:rFonts w:ascii="Calibri" w:hAnsi="Calibri" w:eastAsia="Calibri"/>
          <w:b/>
          <w:i w:val="0"/>
          <w:color w:val="333A44"/>
          <w:sz w:val="22"/>
        </w:rPr>
        <w:t>What changed versus today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333A44"/>
          <w:sz w:val="22"/>
        </w:rPr>
        <w:t>Site is a control, not a title.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Tabs add </w:t>
      </w:r>
      <w:r>
        <w:rPr>
          <w:rFonts w:ascii="Calibri" w:hAnsi="Calibri" w:eastAsia="Calibri"/>
          <w:b/>
          <w:i w:val="0"/>
          <w:color w:val="333A44"/>
          <w:sz w:val="22"/>
        </w:rPr>
        <w:t>Budget</w:t>
      </w: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, </w:t>
      </w:r>
      <w:r>
        <w:rPr>
          <w:rFonts w:ascii="Calibri" w:hAnsi="Calibri" w:eastAsia="Calibri"/>
          <w:b/>
          <w:i w:val="0"/>
          <w:color w:val="333A44"/>
          <w:sz w:val="22"/>
        </w:rPr>
        <w:t>Gantt + Budget</w:t>
      </w: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 (replaces thin Gantt), </w:t>
      </w:r>
      <w:r>
        <w:rPr>
          <w:rFonts w:ascii="Calibri" w:hAnsi="Calibri" w:eastAsia="Calibri"/>
          <w:b/>
          <w:i w:val="0"/>
          <w:color w:val="333A44"/>
          <w:sz w:val="22"/>
        </w:rPr>
        <w:t>Capability</w:t>
      </w: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, </w:t>
      </w:r>
      <w:r>
        <w:rPr>
          <w:rFonts w:ascii="Calibri" w:hAnsi="Calibri" w:eastAsia="Calibri"/>
          <w:b/>
          <w:i w:val="0"/>
          <w:color w:val="333A44"/>
          <w:sz w:val="22"/>
        </w:rPr>
        <w:t>Business Review</w:t>
      </w: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, </w:t>
      </w:r>
      <w:r>
        <w:rPr>
          <w:rFonts w:ascii="Calibri" w:hAnsi="Calibri" w:eastAsia="Calibri"/>
          <w:b/>
          <w:i w:val="0"/>
          <w:color w:val="333A44"/>
          <w:sz w:val="22"/>
        </w:rPr>
        <w:t>Site input</w:t>
      </w: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, </w:t>
      </w:r>
      <w:r>
        <w:rPr>
          <w:rFonts w:ascii="Calibri" w:hAnsi="Calibri" w:eastAsia="Calibri"/>
          <w:b/>
          <w:i w:val="0"/>
          <w:color w:val="333A44"/>
          <w:sz w:val="22"/>
        </w:rPr>
        <w:t>Network</w:t>
      </w:r>
      <w:r>
        <w:rPr>
          <w:rFonts w:ascii="Calibri" w:hAnsi="Calibri" w:eastAsia="Calibri"/>
          <w:b w:val="0"/>
          <w:i w:val="0"/>
          <w:color w:val="333A44"/>
          <w:sz w:val="22"/>
        </w:rPr>
        <w:t>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333A44"/>
          <w:sz w:val="22"/>
        </w:rPr>
        <w:t>Sidecar actions jump inside the Glass (Gantt + Budget, Capability) instead of forcing a second app hunt.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333A44"/>
          <w:sz w:val="22"/>
        </w:rPr>
        <w:t>Business Review and Site input do not exist in the current Power Apps — they are new.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43600" cy="3343275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left"/>
      </w:pPr>
      <w:r>
        <w:rPr>
          <w:rFonts w:ascii="Calibri" w:hAnsi="Calibri" w:eastAsia="Calibri"/>
          <w:b w:val="0"/>
          <w:i/>
          <w:color w:val="5B6470"/>
          <w:sz w:val="18"/>
        </w:rPr>
        <w:t>Figure 12. Target mockup — One pager in the Executive Platform. Site selector (THO · Thousand Oaks), This site / Network, full tab row, six Big Rocks × FY26–FY28+, sidecar with Jira + SPOT + Open in Gantt + Budget. Layout writes mapping only.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43600" cy="3343275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left"/>
      </w:pPr>
      <w:r>
        <w:rPr>
          <w:rFonts w:ascii="Calibri" w:hAnsi="Calibri" w:eastAsia="Calibri"/>
          <w:b w:val="0"/>
          <w:i/>
          <w:color w:val="5B6470"/>
          <w:sz w:val="18"/>
        </w:rPr>
        <w:t>Figure 13. Target mockup — Gantt + Budget tab. Site-filtered timeline with Today line; MYC Budget 2026 sidebar bound to SPOT. Financials read-only.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43600" cy="3343275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left"/>
      </w:pPr>
      <w:r>
        <w:rPr>
          <w:rFonts w:ascii="Calibri" w:hAnsi="Calibri" w:eastAsia="Calibri"/>
          <w:b w:val="0"/>
          <w:i/>
          <w:color w:val="5B6470"/>
          <w:sz w:val="18"/>
        </w:rPr>
        <w:t>Figure 14. Target mockup — Business Review tab (new). Six meeting beats, KPI strip, leadership asks from Site input, Freeze pack. This is the slide-factory replacement.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43600" cy="3343275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left"/>
      </w:pPr>
      <w:r>
        <w:rPr>
          <w:rFonts w:ascii="Calibri" w:hAnsi="Calibri" w:eastAsia="Calibri"/>
          <w:b w:val="0"/>
          <w:i/>
          <w:color w:val="5B6470"/>
          <w:sz w:val="18"/>
        </w:rPr>
        <w:t>Figure 15. Target mockup — Site input tab (new). The only write path: commentary, local risk, leadership ask, go-live confirm, mapping. Jira dates and SPOT money are never written here.</w:t>
      </w:r>
    </w:p>
    <w:p>
      <w:pPr>
        <w:pStyle w:val="Heading1"/>
      </w:pPr>
      <w:r>
        <w:t>12. MVP boundary and releases</w:t>
      </w:r>
    </w:p>
    <w:p>
      <w:pPr>
        <w:pStyle w:val="Heading2"/>
      </w:pPr>
      <w:r>
        <w:t>12.1 In MVP (Release 1)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333A44"/>
          <w:sz w:val="22"/>
        </w:rPr>
        <w:t>Site selector across 18 sites (data may be thin outside THO, LEX, BRP).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All tabs in §6.2 for </w:t>
      </w:r>
      <w:r>
        <w:rPr>
          <w:rFonts w:ascii="Calibri" w:hAnsi="Calibri" w:eastAsia="Calibri"/>
          <w:b/>
          <w:i w:val="0"/>
          <w:color w:val="333A44"/>
          <w:sz w:val="22"/>
        </w:rPr>
        <w:t>Thousand Oaks</w:t>
      </w: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 with real Jira + SPOT + Capability embed.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333A44"/>
          <w:sz w:val="22"/>
        </w:rPr>
        <w:t>Combined Gantt + Budget and stand-alone Budget.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333A44"/>
          <w:sz w:val="22"/>
        </w:rPr>
        <w:t>Site input + Business Review freeze for TO.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333A44"/>
          <w:sz w:val="22"/>
        </w:rPr>
        <w:t>Network roadmap read-only for executives (may reuse the existing prototype/API).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EDB path identified and </w:t>
      </w:r>
      <w:r>
        <w:rPr>
          <w:rFonts w:ascii="Calibri" w:hAnsi="Calibri" w:eastAsia="Calibri"/>
          <w:b/>
          <w:i w:val="0"/>
          <w:color w:val="333A44"/>
          <w:sz w:val="22"/>
        </w:rPr>
        <w:t>at least one</w:t>
      </w: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 capability/adoption view populated for pilot plants (business case: EDB is not deferrable).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333A44"/>
          <w:sz w:val="22"/>
        </w:rPr>
        <w:t>English UX, audit trail, role security.</w:t>
      </w:r>
    </w:p>
    <w:p>
      <w:pPr>
        <w:pStyle w:val="Heading2"/>
      </w:pPr>
      <w:r>
        <w:t>12.2 Out of MVP (Release 2–3)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333A44"/>
          <w:sz w:val="22"/>
        </w:rPr>
        <w:t>Write-back to Jira/SPOT.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333A44"/>
          <w:sz w:val="22"/>
        </w:rPr>
        <w:t>All 18 sites at TO-level mapping quality.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333A44"/>
          <w:sz w:val="22"/>
        </w:rPr>
        <w:t>AI executive briefing / auto-narrative.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333A44"/>
          <w:sz w:val="22"/>
        </w:rPr>
        <w:t>Full Claude Design → TakOS component rebuild of every tab.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333A44"/>
          <w:sz w:val="22"/>
        </w:rPr>
        <w:t>Mobile-native.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333A44"/>
          <w:sz w:val="22"/>
        </w:rPr>
        <w:t>Automated BR deck with video.</w:t>
      </w:r>
    </w:p>
    <w:p>
      <w:pPr>
        <w:pStyle w:val="Heading2"/>
      </w:pPr>
      <w:r>
        <w:t>12.3 Explicit non-goals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333A44"/>
          <w:sz w:val="22"/>
        </w:rPr>
        <w:t>Replacing Jira, SPOT, or EDB.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333A44"/>
          <w:sz w:val="22"/>
        </w:rPr>
        <w:t>Becoming a GxP execution system.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333A44"/>
          <w:sz w:val="22"/>
        </w:rPr>
        <w:t>Pixel-perfect clone of every historical Power BI page.</w:t>
      </w:r>
    </w:p>
    <w:p>
      <w:pPr>
        <w:pStyle w:val="Heading1"/>
      </w:pPr>
      <w:r>
        <w:t>13. Level of effort and people-hours</w:t>
      </w:r>
    </w:p>
    <w:p>
      <w:r>
        <w:rPr>
          <w:rFonts w:ascii="Calibri" w:hAnsi="Calibri" w:eastAsia="Calibri"/>
          <w:b w:val="0"/>
          <w:i w:val="0"/>
          <w:color w:val="333A44"/>
          <w:sz w:val="22"/>
        </w:rPr>
        <w:t xml:space="preserve">Hours are </w:t>
      </w:r>
      <w:r>
        <w:rPr>
          <w:rFonts w:ascii="Calibri" w:hAnsi="Calibri" w:eastAsia="Calibri"/>
          <w:b/>
          <w:i w:val="0"/>
          <w:color w:val="333A44"/>
          <w:sz w:val="22"/>
        </w:rPr>
        <w:t>delivery hours</w:t>
      </w: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 (hands on keyboard + workshops + UAT), not elapsed calendar hours. They assume the business design package (this document) is accepted and a developer is funded. They include integration, not just screens.</w:t>
      </w:r>
    </w:p>
    <w:p>
      <w:r>
        <w:rPr>
          <w:rFonts w:ascii="Calibri" w:hAnsi="Calibri" w:eastAsia="Calibri"/>
          <w:b w:val="0"/>
          <w:i w:val="0"/>
          <w:color w:val="333A44"/>
          <w:sz w:val="22"/>
        </w:rPr>
        <w:t xml:space="preserve">Rates are </w:t>
      </w:r>
      <w:r>
        <w:rPr>
          <w:rFonts w:ascii="Calibri" w:hAnsi="Calibri" w:eastAsia="Calibri"/>
          <w:b/>
          <w:i w:val="0"/>
          <w:color w:val="333A44"/>
          <w:sz w:val="22"/>
        </w:rPr>
        <w:t>indicative</w:t>
      </w: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 for a blended Takeda contractor / internal fully-loaded cost of </w:t>
      </w:r>
      <w:r>
        <w:rPr>
          <w:rFonts w:ascii="Calibri" w:hAnsi="Calibri" w:eastAsia="Calibri"/>
          <w:b/>
          <w:i w:val="0"/>
          <w:color w:val="333A44"/>
          <w:sz w:val="22"/>
        </w:rPr>
        <w:t>USD 140 / hour</w:t>
      </w:r>
      <w:r>
        <w:rPr>
          <w:rFonts w:ascii="Calibri" w:hAnsi="Calibri" w:eastAsia="Calibri"/>
          <w:b w:val="0"/>
          <w:i w:val="0"/>
          <w:color w:val="333A44"/>
          <w:sz w:val="22"/>
        </w:rPr>
        <w:t>. Replace with the official Marketplace rate card when the order is placed.</w:t>
      </w:r>
    </w:p>
    <w:p>
      <w:pPr>
        <w:pStyle w:val="Heading2"/>
      </w:pPr>
      <w:r>
        <w:t>13.1 Estimate bands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102033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Band</w:t>
            </w:r>
          </w:p>
        </w:tc>
        <w:tc>
          <w:tcPr>
            <w:tcW w:type="dxa" w:w="1994"/>
            <w:shd w:fill="102033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What you get</w:t>
            </w:r>
          </w:p>
        </w:tc>
        <w:tc>
          <w:tcPr>
            <w:tcW w:type="dxa" w:w="1994"/>
            <w:shd w:fill="102033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Hours</w:t>
            </w:r>
          </w:p>
        </w:tc>
        <w:tc>
          <w:tcPr>
            <w:tcW w:type="dxa" w:w="1994"/>
            <w:shd w:fill="102033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Calendar</w:t>
            </w:r>
          </w:p>
        </w:tc>
        <w:tc>
          <w:tcPr>
            <w:tcW w:type="dxa" w:w="1994"/>
            <w:shd w:fill="102033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Indicative $</w:t>
            </w:r>
          </w:p>
        </w:tc>
      </w:tr>
      <w:tr>
        <w:tc>
          <w:tcPr>
            <w:tcW w:type="dxa" w:w="199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A. Thin shell</w:t>
            </w:r>
          </w:p>
        </w:tc>
        <w:tc>
          <w:tcPr>
            <w:tcW w:type="dxa" w:w="199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Site selector + wrap existing four tabs + Jira deep links; no SPOT, no EDB, no Site input</w:t>
            </w:r>
          </w:p>
        </w:tc>
        <w:tc>
          <w:tcPr>
            <w:tcW w:type="dxa" w:w="199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280–320</w:t>
            </w:r>
          </w:p>
        </w:tc>
        <w:tc>
          <w:tcPr>
            <w:tcW w:type="dxa" w:w="199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5–6 weeks · 1 FTE</w:t>
            </w:r>
          </w:p>
        </w:tc>
        <w:tc>
          <w:tcPr>
            <w:tcW w:type="dxa" w:w="199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~$40–45k</w:t>
            </w:r>
          </w:p>
        </w:tc>
      </w:tr>
      <w:tr>
        <w:tc>
          <w:tcPr>
            <w:tcW w:type="dxa" w:w="199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B. Recommended MVP</w:t>
            </w:r>
          </w:p>
        </w:tc>
        <w:tc>
          <w:tcPr>
            <w:tcW w:type="dxa" w:w="199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Band A + Dataverse persistence + Budget + combined Gantt + Site input + TO Business Review + Jira sync + SPOT read + Capability embed</w:t>
            </w:r>
          </w:p>
        </w:tc>
        <w:tc>
          <w:tcPr>
            <w:tcW w:type="dxa" w:w="199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1,040–1,160</w:t>
            </w:r>
          </w:p>
        </w:tc>
        <w:tc>
          <w:tcPr>
            <w:tcW w:type="dxa" w:w="199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10–12 weeks · ~2.4 FTE</w:t>
            </w:r>
          </w:p>
        </w:tc>
        <w:tc>
          <w:tcPr>
            <w:tcW w:type="dxa" w:w="199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~$145–162k</w:t>
            </w:r>
          </w:p>
        </w:tc>
      </w:tr>
      <w:tr>
        <w:tc>
          <w:tcPr>
            <w:tcW w:type="dxa" w:w="199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C. Business-case full MVP</w:t>
            </w:r>
          </w:p>
        </w:tc>
        <w:tc>
          <w:tcPr>
            <w:tcW w:type="dxa" w:w="199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Band B + EDB data-product integration + network roadmap productionized + 3-site capability parity (THO, LEX, BRP) + UAT/hypercare</w:t>
            </w:r>
          </w:p>
        </w:tc>
        <w:tc>
          <w:tcPr>
            <w:tcW w:type="dxa" w:w="199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1,360–1,520</w:t>
            </w:r>
          </w:p>
        </w:tc>
        <w:tc>
          <w:tcPr>
            <w:tcW w:type="dxa" w:w="199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12 weeks · ~3.0 FTE</w:t>
            </w:r>
          </w:p>
        </w:tc>
        <w:tc>
          <w:tcPr>
            <w:tcW w:type="dxa" w:w="199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~$190–213k</w:t>
            </w:r>
          </w:p>
        </w:tc>
      </w:tr>
    </w:tbl>
    <w:p/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43600" cy="237744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7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left"/>
      </w:pPr>
      <w:r>
        <w:rPr>
          <w:rFonts w:ascii="Calibri" w:hAnsi="Calibri" w:eastAsia="Calibri"/>
          <w:b w:val="0"/>
          <w:i/>
          <w:color w:val="5B6470"/>
          <w:sz w:val="18"/>
        </w:rPr>
        <w:t>Figure S3. Effort bands and Band B calendar. $40k is Band A only; $168k funds Band B.</w:t>
      </w:r>
    </w:p>
    <w:p>
      <w:r>
        <w:rPr>
          <w:rFonts w:ascii="Calibri" w:hAnsi="Calibri" w:eastAsia="Calibri"/>
          <w:b/>
          <w:i w:val="0"/>
          <w:color w:val="333A44"/>
          <w:sz w:val="22"/>
        </w:rPr>
        <w:t>Alignment to the business case:</w:t>
      </w: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 Section 1 quotes </w:t>
      </w:r>
      <w:r>
        <w:rPr>
          <w:rFonts w:ascii="Calibri" w:hAnsi="Calibri" w:eastAsia="Calibri"/>
          <w:b/>
          <w:i w:val="0"/>
          <w:color w:val="333A44"/>
          <w:sz w:val="22"/>
        </w:rPr>
        <w:t>~$168k, 6–12 weeks</w:t>
      </w: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. Section 9 quotes </w:t>
      </w:r>
      <w:r>
        <w:rPr>
          <w:rFonts w:ascii="Calibri" w:hAnsi="Calibri" w:eastAsia="Calibri"/>
          <w:b/>
          <w:i w:val="0"/>
          <w:color w:val="333A44"/>
          <w:sz w:val="22"/>
        </w:rPr>
        <w:t>~$40k, 6 weeks</w:t>
      </w: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. Those are different products. $40k is Band A only and </w:t>
      </w:r>
      <w:r>
        <w:rPr>
          <w:rFonts w:ascii="Calibri" w:hAnsi="Calibri" w:eastAsia="Calibri"/>
          <w:b/>
          <w:i w:val="0"/>
          <w:color w:val="333A44"/>
          <w:sz w:val="22"/>
        </w:rPr>
        <w:t>cannot</w:t>
      </w: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 validate Jira + SPOT + EDB together. This blueprint recommends </w:t>
      </w:r>
      <w:r>
        <w:rPr>
          <w:rFonts w:ascii="Calibri" w:hAnsi="Calibri" w:eastAsia="Calibri"/>
          <w:b/>
          <w:i w:val="0"/>
          <w:color w:val="333A44"/>
          <w:sz w:val="22"/>
        </w:rPr>
        <w:t>Band B funded at ~$168k</w:t>
      </w:r>
      <w:r>
        <w:rPr>
          <w:rFonts w:ascii="Calibri" w:hAnsi="Calibri" w:eastAsia="Calibri"/>
          <w:b w:val="0"/>
          <w:i w:val="0"/>
          <w:color w:val="333A44"/>
          <w:sz w:val="22"/>
        </w:rPr>
        <w:t>, with EDB treated as a gated workstream inside the same engagement (if the EDB API is late, Capability embed still ships and EDB bind is the last increment).</w:t>
      </w:r>
    </w:p>
    <w:p>
      <w:pPr>
        <w:pStyle w:val="Heading2"/>
      </w:pPr>
      <w:r>
        <w:t>13.2 Work breakdown — Band B (recommended)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102033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2493"/>
            <w:shd w:fill="102033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Workstream</w:t>
            </w:r>
          </w:p>
        </w:tc>
        <w:tc>
          <w:tcPr>
            <w:tcW w:type="dxa" w:w="2493"/>
            <w:shd w:fill="102033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Hours</w:t>
            </w:r>
          </w:p>
        </w:tc>
        <w:tc>
          <w:tcPr>
            <w:tcW w:type="dxa" w:w="2493"/>
            <w:shd w:fill="102033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Primary role</w:t>
            </w:r>
          </w:p>
        </w:tc>
      </w:tr>
      <w:tr>
        <w:tc>
          <w:tcPr>
            <w:tcW w:type="dxa" w:w="2493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B1</w:t>
            </w:r>
          </w:p>
        </w:tc>
        <w:tc>
          <w:tcPr>
            <w:tcW w:type="dxa" w:w="2493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Kickoff, field workshop, status mapping, site master load</w:t>
            </w:r>
          </w:p>
        </w:tc>
        <w:tc>
          <w:tcPr>
            <w:tcW w:type="dxa" w:w="2493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40</w:t>
            </w:r>
          </w:p>
        </w:tc>
        <w:tc>
          <w:tcPr>
            <w:tcW w:type="dxa" w:w="2493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BA + PMO + Dev</w:t>
            </w:r>
          </w:p>
        </w:tc>
      </w:tr>
      <w:tr>
        <w:tc>
          <w:tcPr>
            <w:tcW w:type="dxa" w:w="2493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B2</w:t>
            </w:r>
          </w:p>
        </w:tc>
        <w:tc>
          <w:tcPr>
            <w:tcW w:type="dxa" w:w="2493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Environment, solution, Entra groups, ALM</w:t>
            </w:r>
          </w:p>
        </w:tc>
        <w:tc>
          <w:tcPr>
            <w:tcW w:type="dxa" w:w="2493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32</w:t>
            </w:r>
          </w:p>
        </w:tc>
        <w:tc>
          <w:tcPr>
            <w:tcW w:type="dxa" w:w="2493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Dev</w:t>
            </w:r>
          </w:p>
        </w:tc>
      </w:tr>
      <w:tr>
        <w:tc>
          <w:tcPr>
            <w:tcW w:type="dxa" w:w="2493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B3</w:t>
            </w:r>
          </w:p>
        </w:tc>
        <w:tc>
          <w:tcPr>
            <w:tcW w:type="dxa" w:w="2493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Dataverse model + audit + security roles</w:t>
            </w:r>
          </w:p>
        </w:tc>
        <w:tc>
          <w:tcPr>
            <w:tcW w:type="dxa" w:w="2493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80</w:t>
            </w:r>
          </w:p>
        </w:tc>
        <w:tc>
          <w:tcPr>
            <w:tcW w:type="dxa" w:w="2493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Dev</w:t>
            </w:r>
          </w:p>
        </w:tc>
      </w:tr>
      <w:tr>
        <w:tc>
          <w:tcPr>
            <w:tcW w:type="dxa" w:w="2493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B4</w:t>
            </w:r>
          </w:p>
        </w:tc>
        <w:tc>
          <w:tcPr>
            <w:tcW w:type="dxa" w:w="2493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Jira connector + staging + status map</w:t>
            </w:r>
          </w:p>
        </w:tc>
        <w:tc>
          <w:tcPr>
            <w:tcW w:type="dxa" w:w="2493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80</w:t>
            </w:r>
          </w:p>
        </w:tc>
        <w:tc>
          <w:tcPr>
            <w:tcW w:type="dxa" w:w="2493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Dev / integration</w:t>
            </w:r>
          </w:p>
        </w:tc>
      </w:tr>
      <w:tr>
        <w:tc>
          <w:tcPr>
            <w:tcW w:type="dxa" w:w="2493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B5</w:t>
            </w:r>
          </w:p>
        </w:tc>
        <w:tc>
          <w:tcPr>
            <w:tcW w:type="dxa" w:w="2493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SPOT connector + financial staging</w:t>
            </w:r>
          </w:p>
        </w:tc>
        <w:tc>
          <w:tcPr>
            <w:tcW w:type="dxa" w:w="2493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64</w:t>
            </w:r>
          </w:p>
        </w:tc>
        <w:tc>
          <w:tcPr>
            <w:tcW w:type="dxa" w:w="2493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Dev / integration</w:t>
            </w:r>
          </w:p>
        </w:tc>
      </w:tr>
      <w:tr>
        <w:tc>
          <w:tcPr>
            <w:tcW w:type="dxa" w:w="2493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B6</w:t>
            </w:r>
          </w:p>
        </w:tc>
        <w:tc>
          <w:tcPr>
            <w:tcW w:type="dxa" w:w="2493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Executive Glass chrome + site selector + filters</w:t>
            </w:r>
          </w:p>
        </w:tc>
        <w:tc>
          <w:tcPr>
            <w:tcW w:type="dxa" w:w="2493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72</w:t>
            </w:r>
          </w:p>
        </w:tc>
        <w:tc>
          <w:tcPr>
            <w:tcW w:type="dxa" w:w="2493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Dev</w:t>
            </w:r>
          </w:p>
        </w:tc>
      </w:tr>
      <w:tr>
        <w:tc>
          <w:tcPr>
            <w:tcW w:type="dxa" w:w="2493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B7</w:t>
            </w:r>
          </w:p>
        </w:tc>
        <w:tc>
          <w:tcPr>
            <w:tcW w:type="dxa" w:w="2493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One pager bound to Dataverse (replace collections)</w:t>
            </w:r>
          </w:p>
        </w:tc>
        <w:tc>
          <w:tcPr>
            <w:tcW w:type="dxa" w:w="2493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80</w:t>
            </w:r>
          </w:p>
        </w:tc>
        <w:tc>
          <w:tcPr>
            <w:tcW w:type="dxa" w:w="2493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Dev</w:t>
            </w:r>
          </w:p>
        </w:tc>
      </w:tr>
      <w:tr>
        <w:tc>
          <w:tcPr>
            <w:tcW w:type="dxa" w:w="2493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B8</w:t>
            </w:r>
          </w:p>
        </w:tc>
        <w:tc>
          <w:tcPr>
            <w:tcW w:type="dxa" w:w="2493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Status KPIs live</w:t>
            </w:r>
          </w:p>
        </w:tc>
        <w:tc>
          <w:tcPr>
            <w:tcW w:type="dxa" w:w="2493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32</w:t>
            </w:r>
          </w:p>
        </w:tc>
        <w:tc>
          <w:tcPr>
            <w:tcW w:type="dxa" w:w="2493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Dev</w:t>
            </w:r>
          </w:p>
        </w:tc>
      </w:tr>
      <w:tr>
        <w:tc>
          <w:tcPr>
            <w:tcW w:type="dxa" w:w="2493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B9</w:t>
            </w:r>
          </w:p>
        </w:tc>
        <w:tc>
          <w:tcPr>
            <w:tcW w:type="dxa" w:w="2493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Combined Gantt + Budget</w:t>
            </w:r>
          </w:p>
        </w:tc>
        <w:tc>
          <w:tcPr>
            <w:tcW w:type="dxa" w:w="2493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96</w:t>
            </w:r>
          </w:p>
        </w:tc>
        <w:tc>
          <w:tcPr>
            <w:tcW w:type="dxa" w:w="2493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Dev</w:t>
            </w:r>
          </w:p>
        </w:tc>
      </w:tr>
      <w:tr>
        <w:tc>
          <w:tcPr>
            <w:tcW w:type="dxa" w:w="2493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B10</w:t>
            </w:r>
          </w:p>
        </w:tc>
        <w:tc>
          <w:tcPr>
            <w:tcW w:type="dxa" w:w="2493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Budget tab</w:t>
            </w:r>
          </w:p>
        </w:tc>
        <w:tc>
          <w:tcPr>
            <w:tcW w:type="dxa" w:w="2493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48</w:t>
            </w:r>
          </w:p>
        </w:tc>
        <w:tc>
          <w:tcPr>
            <w:tcW w:type="dxa" w:w="2493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Dev</w:t>
            </w:r>
          </w:p>
        </w:tc>
      </w:tr>
      <w:tr>
        <w:tc>
          <w:tcPr>
            <w:tcW w:type="dxa" w:w="2493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B11</w:t>
            </w:r>
          </w:p>
        </w:tc>
        <w:tc>
          <w:tcPr>
            <w:tcW w:type="dxa" w:w="2493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Risks + Jira tab</w:t>
            </w:r>
          </w:p>
        </w:tc>
        <w:tc>
          <w:tcPr>
            <w:tcW w:type="dxa" w:w="2493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48</w:t>
            </w:r>
          </w:p>
        </w:tc>
        <w:tc>
          <w:tcPr>
            <w:tcW w:type="dxa" w:w="2493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Dev</w:t>
            </w:r>
          </w:p>
        </w:tc>
      </w:tr>
      <w:tr>
        <w:tc>
          <w:tcPr>
            <w:tcW w:type="dxa" w:w="2493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B12</w:t>
            </w:r>
          </w:p>
        </w:tc>
        <w:tc>
          <w:tcPr>
            <w:tcW w:type="dxa" w:w="2493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Capability embed + plant parameter / RLS</w:t>
            </w:r>
          </w:p>
        </w:tc>
        <w:tc>
          <w:tcPr>
            <w:tcW w:type="dxa" w:w="2493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40</w:t>
            </w:r>
          </w:p>
        </w:tc>
        <w:tc>
          <w:tcPr>
            <w:tcW w:type="dxa" w:w="2493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Dev + PBI</w:t>
            </w:r>
          </w:p>
        </w:tc>
      </w:tr>
      <w:tr>
        <w:tc>
          <w:tcPr>
            <w:tcW w:type="dxa" w:w="2493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B13</w:t>
            </w:r>
          </w:p>
        </w:tc>
        <w:tc>
          <w:tcPr>
            <w:tcW w:type="dxa" w:w="2493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Site input forms + Business Review + freeze</w:t>
            </w:r>
          </w:p>
        </w:tc>
        <w:tc>
          <w:tcPr>
            <w:tcW w:type="dxa" w:w="2493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88</w:t>
            </w:r>
          </w:p>
        </w:tc>
        <w:tc>
          <w:tcPr>
            <w:tcW w:type="dxa" w:w="2493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Dev</w:t>
            </w:r>
          </w:p>
        </w:tc>
      </w:tr>
      <w:tr>
        <w:tc>
          <w:tcPr>
            <w:tcW w:type="dxa" w:w="2493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B14</w:t>
            </w:r>
          </w:p>
        </w:tc>
        <w:tc>
          <w:tcPr>
            <w:tcW w:type="dxa" w:w="2493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Network roadmap hookup (reuse prototype)</w:t>
            </w:r>
          </w:p>
        </w:tc>
        <w:tc>
          <w:tcPr>
            <w:tcW w:type="dxa" w:w="2493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40</w:t>
            </w:r>
          </w:p>
        </w:tc>
        <w:tc>
          <w:tcPr>
            <w:tcW w:type="dxa" w:w="2493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Dev</w:t>
            </w:r>
          </w:p>
        </w:tc>
      </w:tr>
      <w:tr>
        <w:tc>
          <w:tcPr>
            <w:tcW w:type="dxa" w:w="2493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B15</w:t>
            </w:r>
          </w:p>
        </w:tc>
        <w:tc>
          <w:tcPr>
            <w:tcW w:type="dxa" w:w="2493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UX language cleanup, empty/error/stale states</w:t>
            </w:r>
          </w:p>
        </w:tc>
        <w:tc>
          <w:tcPr>
            <w:tcW w:type="dxa" w:w="2493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24</w:t>
            </w:r>
          </w:p>
        </w:tc>
        <w:tc>
          <w:tcPr>
            <w:tcW w:type="dxa" w:w="2493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Dev</w:t>
            </w:r>
          </w:p>
        </w:tc>
      </w:tr>
      <w:tr>
        <w:tc>
          <w:tcPr>
            <w:tcW w:type="dxa" w:w="2493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B16</w:t>
            </w:r>
          </w:p>
        </w:tc>
        <w:tc>
          <w:tcPr>
            <w:tcW w:type="dxa" w:w="2493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Functional test + data reconciliation</w:t>
            </w:r>
          </w:p>
        </w:tc>
        <w:tc>
          <w:tcPr>
            <w:tcW w:type="dxa" w:w="2493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80</w:t>
            </w:r>
          </w:p>
        </w:tc>
        <w:tc>
          <w:tcPr>
            <w:tcW w:type="dxa" w:w="2493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Dev + BA</w:t>
            </w:r>
          </w:p>
        </w:tc>
      </w:tr>
      <w:tr>
        <w:tc>
          <w:tcPr>
            <w:tcW w:type="dxa" w:w="2493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B17</w:t>
            </w:r>
          </w:p>
        </w:tc>
        <w:tc>
          <w:tcPr>
            <w:tcW w:type="dxa" w:w="2493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UAT (TO Site Head + sponsor) + defects</w:t>
            </w:r>
          </w:p>
        </w:tc>
        <w:tc>
          <w:tcPr>
            <w:tcW w:type="dxa" w:w="2493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64</w:t>
            </w:r>
          </w:p>
        </w:tc>
        <w:tc>
          <w:tcPr>
            <w:tcW w:type="dxa" w:w="2493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BA + Dev</w:t>
            </w:r>
          </w:p>
        </w:tc>
      </w:tr>
      <w:tr>
        <w:tc>
          <w:tcPr>
            <w:tcW w:type="dxa" w:w="2493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B18</w:t>
            </w:r>
          </w:p>
        </w:tc>
        <w:tc>
          <w:tcPr>
            <w:tcW w:type="dxa" w:w="2493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Admin guide, 2-week hypercare</w:t>
            </w:r>
          </w:p>
        </w:tc>
        <w:tc>
          <w:tcPr>
            <w:tcW w:type="dxa" w:w="2493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40</w:t>
            </w:r>
          </w:p>
        </w:tc>
        <w:tc>
          <w:tcPr>
            <w:tcW w:type="dxa" w:w="2493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Dev</w:t>
            </w:r>
          </w:p>
        </w:tc>
      </w:tr>
      <w:tr>
        <w:tc>
          <w:tcPr>
            <w:tcW w:type="dxa" w:w="2493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B19</w:t>
            </w:r>
          </w:p>
        </w:tc>
        <w:tc>
          <w:tcPr>
            <w:tcW w:type="dxa" w:w="2493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PM / coordination</w:t>
            </w:r>
          </w:p>
        </w:tc>
        <w:tc>
          <w:tcPr>
            <w:tcW w:type="dxa" w:w="2493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56</w:t>
            </w:r>
          </w:p>
        </w:tc>
        <w:tc>
          <w:tcPr>
            <w:tcW w:type="dxa" w:w="2493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PM</w:t>
            </w:r>
          </w:p>
        </w:tc>
      </w:tr>
      <w:tr>
        <w:tc>
          <w:tcPr>
            <w:tcW w:type="dxa" w:w="2493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Total Band B</w:t>
            </w:r>
          </w:p>
        </w:tc>
        <w:tc>
          <w:tcPr>
            <w:tcW w:type="dxa" w:w="2493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</w:r>
          </w:p>
        </w:tc>
        <w:tc>
          <w:tcPr>
            <w:tcW w:type="dxa" w:w="2493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1,104</w:t>
            </w:r>
          </w:p>
        </w:tc>
        <w:tc>
          <w:tcPr>
            <w:tcW w:type="dxa" w:w="2493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</w:r>
          </w:p>
        </w:tc>
      </w:tr>
    </w:tbl>
    <w:p/>
    <w:p>
      <w:pPr>
        <w:pStyle w:val="Heading2"/>
      </w:pPr>
      <w:r>
        <w:t>13.3 Add-on to reach Band C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102033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3324"/>
            <w:shd w:fill="102033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Workstream</w:t>
            </w:r>
          </w:p>
        </w:tc>
        <w:tc>
          <w:tcPr>
            <w:tcW w:type="dxa" w:w="3324"/>
            <w:shd w:fill="102033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Hours</w:t>
            </w:r>
          </w:p>
        </w:tc>
      </w:tr>
      <w:tr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C1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EDB data-product access, contract, first capability/integration views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120</w:t>
            </w:r>
          </w:p>
        </w:tc>
      </w:tr>
      <w:tr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C2</w:t>
            </w:r>
          </w:p>
        </w:tc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Productionize network roadmap (auth, hosting, ops)</w:t>
            </w:r>
          </w:p>
        </w:tc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80</w:t>
            </w:r>
          </w:p>
        </w:tc>
      </w:tr>
      <w:tr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C3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LEX + BRP mapping + capability parity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48</w:t>
            </w:r>
          </w:p>
        </w:tc>
      </w:tr>
      <w:tr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C4</w:t>
            </w:r>
          </w:p>
        </w:tc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Extra UAT / performance / security review</w:t>
            </w:r>
          </w:p>
        </w:tc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48</w:t>
            </w:r>
          </w:p>
        </w:tc>
      </w:tr>
      <w:tr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Band C add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296</w:t>
            </w:r>
          </w:p>
        </w:tc>
      </w:tr>
      <w:tr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Band C total</w:t>
            </w:r>
          </w:p>
        </w:tc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</w:r>
          </w:p>
        </w:tc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1,400</w:t>
            </w:r>
          </w:p>
        </w:tc>
      </w:tr>
    </w:tbl>
    <w:p/>
    <w:p>
      <w:pPr>
        <w:pStyle w:val="Heading2"/>
      </w:pPr>
      <w:r>
        <w:t>13.4 Suggested team (Band B, 11 weeks)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102033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Role</w:t>
            </w:r>
          </w:p>
        </w:tc>
        <w:tc>
          <w:tcPr>
            <w:tcW w:type="dxa" w:w="3324"/>
            <w:shd w:fill="102033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Allocation</w:t>
            </w:r>
          </w:p>
        </w:tc>
        <w:tc>
          <w:tcPr>
            <w:tcW w:type="dxa" w:w="3324"/>
            <w:shd w:fill="102033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Hours</w:t>
            </w:r>
          </w:p>
        </w:tc>
      </w:tr>
      <w:tr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Power Platform / front-end developer (lead)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1.0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440</w:t>
            </w:r>
          </w:p>
        </w:tc>
      </w:tr>
      <w:tr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Integration / data engineer</w:t>
            </w:r>
          </w:p>
        </w:tc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0.7</w:t>
            </w:r>
          </w:p>
        </w:tc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308</w:t>
            </w:r>
          </w:p>
        </w:tc>
      </w:tr>
      <w:tr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Power BI / embed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0.2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88</w:t>
            </w:r>
          </w:p>
        </w:tc>
      </w:tr>
      <w:tr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Business analyst (GML)</w:t>
            </w:r>
          </w:p>
        </w:tc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0.3</w:t>
            </w:r>
          </w:p>
        </w:tc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132</w:t>
            </w:r>
          </w:p>
        </w:tc>
      </w:tr>
      <w:tr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Product lead (Dean)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0.15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66</w:t>
            </w:r>
          </w:p>
        </w:tc>
      </w:tr>
      <w:tr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PM</w:t>
            </w:r>
          </w:p>
        </w:tc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0.15</w:t>
            </w:r>
          </w:p>
        </w:tc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70</w:t>
            </w:r>
          </w:p>
        </w:tc>
      </w:tr>
      <w:tr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Total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~2.5 FTE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1,104</w:t>
            </w:r>
          </w:p>
        </w:tc>
      </w:tr>
    </w:tbl>
    <w:p/>
    <w:p>
      <w:pPr>
        <w:pStyle w:val="Heading2"/>
      </w:pPr>
      <w:r>
        <w:t>13.5 Calendar (Band B)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102033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Week</w:t>
            </w:r>
          </w:p>
        </w:tc>
        <w:tc>
          <w:tcPr>
            <w:tcW w:type="dxa" w:w="4986"/>
            <w:shd w:fill="102033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Outcome</w:t>
            </w:r>
          </w:p>
        </w:tc>
      </w:tr>
      <w:tr>
        <w:tc>
          <w:tcPr>
            <w:tcW w:type="dxa" w:w="4986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1</w:t>
            </w:r>
          </w:p>
        </w:tc>
        <w:tc>
          <w:tcPr>
            <w:tcW w:type="dxa" w:w="4986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Access, site master, Jira field lock, Dataverse first cut</w:t>
            </w:r>
          </w:p>
        </w:tc>
      </w:tr>
      <w:tr>
        <w:tc>
          <w:tcPr>
            <w:tcW w:type="dxa" w:w="4986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2–3</w:t>
            </w:r>
          </w:p>
        </w:tc>
        <w:tc>
          <w:tcPr>
            <w:tcW w:type="dxa" w:w="4986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Chrome + One pager + KPI on THO live Jira</w:t>
            </w:r>
          </w:p>
        </w:tc>
      </w:tr>
      <w:tr>
        <w:tc>
          <w:tcPr>
            <w:tcW w:type="dxa" w:w="4986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4–5</w:t>
            </w:r>
          </w:p>
        </w:tc>
        <w:tc>
          <w:tcPr>
            <w:tcW w:type="dxa" w:w="4986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Gantt+Budget + Budget tab + SPOT</w:t>
            </w:r>
          </w:p>
        </w:tc>
      </w:tr>
      <w:tr>
        <w:tc>
          <w:tcPr>
            <w:tcW w:type="dxa" w:w="4986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6</w:t>
            </w:r>
          </w:p>
        </w:tc>
        <w:tc>
          <w:tcPr>
            <w:tcW w:type="dxa" w:w="4986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Risks, Jira tab, Capability embed</w:t>
            </w:r>
          </w:p>
        </w:tc>
      </w:tr>
      <w:tr>
        <w:tc>
          <w:tcPr>
            <w:tcW w:type="dxa" w:w="4986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7</w:t>
            </w:r>
          </w:p>
        </w:tc>
        <w:tc>
          <w:tcPr>
            <w:tcW w:type="dxa" w:w="4986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Site input + Business Review freeze</w:t>
            </w:r>
          </w:p>
        </w:tc>
      </w:tr>
      <w:tr>
        <w:tc>
          <w:tcPr>
            <w:tcW w:type="dxa" w:w="4986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8</w:t>
            </w:r>
          </w:p>
        </w:tc>
        <w:tc>
          <w:tcPr>
            <w:tcW w:type="dxa" w:w="4986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Network view + security + stale states</w:t>
            </w:r>
          </w:p>
        </w:tc>
      </w:tr>
      <w:tr>
        <w:tc>
          <w:tcPr>
            <w:tcW w:type="dxa" w:w="4986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9</w:t>
            </w:r>
          </w:p>
        </w:tc>
        <w:tc>
          <w:tcPr>
            <w:tcW w:type="dxa" w:w="4986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UAT round 1, data fixes</w:t>
            </w:r>
          </w:p>
        </w:tc>
      </w:tr>
      <w:tr>
        <w:tc>
          <w:tcPr>
            <w:tcW w:type="dxa" w:w="4986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10</w:t>
            </w:r>
          </w:p>
        </w:tc>
        <w:tc>
          <w:tcPr>
            <w:tcW w:type="dxa" w:w="4986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UAT round 2, admin guide</w:t>
            </w:r>
          </w:p>
        </w:tc>
      </w:tr>
      <w:tr>
        <w:tc>
          <w:tcPr>
            <w:tcW w:type="dxa" w:w="4986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11</w:t>
            </w:r>
          </w:p>
        </w:tc>
        <w:tc>
          <w:tcPr>
            <w:tcW w:type="dxa" w:w="4986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Pilot BR + hypercare start</w:t>
            </w:r>
          </w:p>
        </w:tc>
      </w:tr>
    </w:tbl>
    <w:p/>
    <w:p>
      <w:r>
        <w:rPr>
          <w:rFonts w:ascii="Calibri" w:hAnsi="Calibri" w:eastAsia="Calibri"/>
          <w:b w:val="0"/>
          <w:i w:val="0"/>
          <w:color w:val="333A44"/>
          <w:sz w:val="22"/>
        </w:rPr>
        <w:t xml:space="preserve">Critical path: </w:t>
      </w:r>
      <w:r>
        <w:rPr>
          <w:rFonts w:ascii="Calibri" w:hAnsi="Calibri" w:eastAsia="Calibri"/>
          <w:b/>
          <w:i w:val="0"/>
          <w:color w:val="333A44"/>
          <w:sz w:val="22"/>
        </w:rPr>
        <w:t>Jira + SPOT API access</w:t>
      </w: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 (week 1). If either is blocked, the calendar slips one-for-one.</w:t>
      </w:r>
    </w:p>
    <w:p>
      <w:pPr>
        <w:pStyle w:val="Heading2"/>
      </w:pPr>
      <w:r>
        <w:t>13.6 What is *not* in these hours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333A44"/>
          <w:sz w:val="22"/>
        </w:rPr>
        <w:t>Creating a new SPOT project (1063647 already exists), AIDPG Initiative, Pattern-Fit, URS/FDS, or Marketplace order (business / onboarding — see companion).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333A44"/>
          <w:sz w:val="22"/>
        </w:rPr>
        <w:t>New EDB modeling if no data product exists (that is a data-platform initiative; C1 assumes a consumable API).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333A44"/>
          <w:sz w:val="22"/>
        </w:rPr>
        <w:t>Full TakOS Design System rewrite of every screen (add 400–600 hours / Release 2).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333A44"/>
          <w:sz w:val="22"/>
        </w:rPr>
        <w:t>Rolling mapping quality to all 18 sites (Release 2; ~20–30 hours per site of PMO time, not engineering).</w:t>
      </w:r>
    </w:p>
    <w:p>
      <w:pPr>
        <w:pStyle w:val="Heading1"/>
      </w:pPr>
      <w:r>
        <w:t>15. Acceptance criteria (MVP)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A user with TO Site Head role opens the portal, sees </w:t>
      </w:r>
      <w:r>
        <w:rPr>
          <w:rFonts w:ascii="Calibri" w:hAnsi="Calibri" w:eastAsia="Calibri"/>
          <w:b/>
          <w:i w:val="0"/>
          <w:color w:val="333A44"/>
          <w:sz w:val="22"/>
        </w:rPr>
        <w:t>Thousand Oaks</w:t>
      </w: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 pre-selected, and can switch to </w:t>
      </w:r>
      <w:r>
        <w:rPr>
          <w:rFonts w:ascii="Calibri" w:hAnsi="Calibri" w:eastAsia="Calibri"/>
          <w:b/>
          <w:i w:val="0"/>
          <w:color w:val="333A44"/>
          <w:sz w:val="22"/>
        </w:rPr>
        <w:t>Lexington</w:t>
      </w: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 and get a different One pager.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333A44"/>
          <w:sz w:val="22"/>
        </w:rPr>
        <w:t>One pager, KPIs, Gantt+Budget, Budget, Risks, Jira, Capability, Business Review, and Site input all honor that site.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333A44"/>
          <w:sz w:val="22"/>
        </w:rPr>
        <w:t>TO MES Elaprase DS shows the same Jira key, SPOT ID, and dates in sidecar, Gantt, Budget, and Jira tab.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333A44"/>
          <w:sz w:val="22"/>
        </w:rPr>
        <w:t>Budget totals for the pilot site reconcile to SPOT within agreed tolerance.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333A44"/>
          <w:sz w:val="22"/>
        </w:rPr>
        <w:t>Capability tab for LEX and BRP matches the current tracker after equivalent filters.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333A44"/>
          <w:sz w:val="22"/>
        </w:rPr>
        <w:t>Site Head can save commentary and a leadership ask; both appear on Business Review; audit shows name and time.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Dragging a card on the One pager does not change Jira; it changes </w:t>
      </w:r>
      <w:r>
        <w:rPr>
          <w:rFonts w:ascii="Consolas" w:hAnsi="Consolas" w:eastAsia="Consolas"/>
          <w:b w:val="0"/>
          <w:i w:val="0"/>
          <w:color w:val="102033"/>
          <w:sz w:val="20"/>
        </w:rPr>
        <w:t>project_map</w:t>
      </w: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 only.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333A44"/>
          <w:sz w:val="22"/>
        </w:rPr>
        <w:t>Freshness is visible; a failed Jira sync does not show silent old data as current.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333A44"/>
          <w:sz w:val="22"/>
        </w:rPr>
        <w:t>One TO business review is completed from the portal; freeze pack stored.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333A44"/>
          <w:sz w:val="22"/>
        </w:rPr>
        <w:t>Security: a BRP-only user cannot see TO financials.</w:t>
      </w:r>
    </w:p>
    <w:p>
      <w:pPr>
        <w:pStyle w:val="Heading1"/>
      </w:pPr>
      <w:r>
        <w:t>16. Dependencies the delivery team will need on day 1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102033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Dependency</w:t>
            </w:r>
          </w:p>
        </w:tc>
        <w:tc>
          <w:tcPr>
            <w:tcW w:type="dxa" w:w="3324"/>
            <w:shd w:fill="102033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Owner</w:t>
            </w:r>
          </w:p>
        </w:tc>
        <w:tc>
          <w:tcPr>
            <w:tcW w:type="dxa" w:w="3324"/>
            <w:shd w:fill="102033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Needed by</w:t>
            </w:r>
          </w:p>
        </w:tc>
      </w:tr>
      <w:tr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Power Platform environment + premium licenses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DD&amp;T / IT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Week 1</w:t>
            </w:r>
          </w:p>
        </w:tc>
      </w:tr>
      <w:tr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Entra groups per role × site</w:t>
            </w:r>
          </w:p>
        </w:tc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IAM + Dean</w:t>
            </w:r>
          </w:p>
        </w:tc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Week 1</w:t>
            </w:r>
          </w:p>
        </w:tc>
      </w:tr>
      <w:tr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Jira project read (DDTGMPORT + site projects)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Jira admin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Week 1</w:t>
            </w:r>
          </w:p>
        </w:tc>
      </w:tr>
      <w:tr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SPOT API / report access for manufacturing IDs and platform SPOT 1063647</w:t>
            </w:r>
          </w:p>
        </w:tc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SPOT admin</w:t>
            </w:r>
          </w:p>
        </w:tc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Week 1</w:t>
            </w:r>
          </w:p>
        </w:tc>
      </w:tr>
      <w:tr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Power BI embed for Capability Tracker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BI owner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Week 2</w:t>
            </w:r>
          </w:p>
        </w:tc>
      </w:tr>
      <w:tr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EDB data-product steward + env</w:t>
            </w:r>
          </w:p>
        </w:tc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EDB / AI&amp;D</w:t>
            </w:r>
          </w:p>
        </w:tc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Week 2–3</w:t>
            </w:r>
          </w:p>
        </w:tc>
      </w:tr>
      <w:tr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Site Head (TO) UAT time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Site leadership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Week 9–10</w:t>
            </w:r>
          </w:p>
        </w:tc>
      </w:tr>
      <w:tr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TakOS / Marketplace POD (if that is the funded builder)</w:t>
            </w:r>
          </w:p>
        </w:tc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Marketplace</w:t>
            </w:r>
          </w:p>
        </w:tc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After order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13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rFonts w:ascii="Calibri" w:hAnsi="Calibri" w:eastAsia="Calibri"/>
        <w:b w:val="0"/>
        <w:i w:val="0"/>
        <w:color w:val="5B6470"/>
        <w:sz w:val="16"/>
      </w:rPr>
      <w:t xml:space="preserve">Confidential — Takeda internal  ·  September 2026  ·  Page </w:t>
    </w:r>
    <w:r>
      <w:rPr>
        <w:rFonts w:ascii="Calibri" w:hAnsi="Calibri" w:eastAsia="Calibri"/>
        <w:b w:val="0"/>
        <w:i w:val="0"/>
        <w:color w:val="5B6470"/>
        <w:sz w:val="16"/>
      </w:rPr>
      <w:fldChar w:fldCharType="begin"/>
    </w:r>
    <w:r>
      <w:rPr>
        <w:rFonts w:ascii="Calibri" w:hAnsi="Calibri" w:eastAsia="Calibri"/>
        <w:b w:val="0"/>
        <w:i w:val="0"/>
        <w:color w:val="5B6470"/>
        <w:sz w:val="16"/>
      </w:rPr>
      <w:instrText xml:space="preserve"> PAGE </w:instrText>
    </w:r>
    <w:r>
      <w:rPr>
        <w:rFonts w:ascii="Calibri" w:hAnsi="Calibri" w:eastAsia="Calibri"/>
        <w:b w:val="0"/>
        <w:i w:val="0"/>
        <w:color w:val="5B6470"/>
        <w:sz w:val="16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Calibri" w:hAnsi="Calibri" w:eastAsia="Calibri"/>
        <w:b w:val="0"/>
        <w:i w:val="0"/>
        <w:color w:val="5B6470"/>
        <w:sz w:val="16"/>
      </w:rPr>
      <w:t xml:space="preserve">GSQ GML DD&amp;T  ·  Executive Platform  ·  </w:t>
    </w:r>
    <w:r>
      <w:rPr>
        <w:rFonts w:ascii="Calibri" w:hAnsi="Calibri" w:eastAsia="Calibri"/>
        <w:b/>
        <w:i w:val="0"/>
        <w:color w:val="9F1B2C"/>
        <w:sz w:val="16"/>
      </w:rPr>
      <w:t>Executive Design Extract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before="0" w:line="276" w:lineRule="auto"/>
    </w:pPr>
    <w:rPr>
      <w:rFonts w:ascii="Calibri" w:hAnsi="Calibri"/>
      <w:color w:val="333A4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102033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2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9F1B2C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02033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8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02033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80"/>
      <w:ind w:left="227"/>
    </w:pPr>
    <w:rPr>
      <w:rFonts w:ascii="Consolas" w:hAnsi="Consolas"/>
      <w:color w:val="102033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Relationship Id="rId12" Type="http://schemas.openxmlformats.org/officeDocument/2006/relationships/image" Target="media/image2.jp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Relationship Id="rId17" Type="http://schemas.openxmlformats.org/officeDocument/2006/relationships/image" Target="media/image7.jpg"/><Relationship Id="rId18" Type="http://schemas.openxmlformats.org/officeDocument/2006/relationships/image" Target="media/image8.jpg"/><Relationship Id="rId19" Type="http://schemas.openxmlformats.org/officeDocument/2006/relationships/image" Target="media/image9.jpg"/><Relationship Id="rId20" Type="http://schemas.openxmlformats.org/officeDocument/2006/relationships/image" Target="media/image10.jpg"/><Relationship Id="rId21" Type="http://schemas.openxmlformats.org/officeDocument/2006/relationships/image" Target="media/image11.jpg"/><Relationship Id="rId22" Type="http://schemas.openxmlformats.org/officeDocument/2006/relationships/image" Target="media/image12.jpg"/><Relationship Id="rId23" Type="http://schemas.openxmlformats.org/officeDocument/2006/relationships/image" Target="media/image13.jpg"/><Relationship Id="rId24" Type="http://schemas.openxmlformats.org/officeDocument/2006/relationships/image" Target="media/image14.jpg"/><Relationship Id="rId25" Type="http://schemas.openxmlformats.org/officeDocument/2006/relationships/image" Target="media/image15.jpg"/><Relationship Id="rId26" Type="http://schemas.openxmlformats.org/officeDocument/2006/relationships/image" Target="media/image16.jpg"/><Relationship Id="rId27" Type="http://schemas.openxmlformats.org/officeDocument/2006/relationships/image" Target="media/image1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