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02033"/>
          <w:sz w:val="44"/>
        </w:rPr>
        <w:t>GSQ DD&amp;T Executive Platform</w:t>
      </w:r>
    </w:p>
    <w:p>
      <w:pPr>
        <w:pStyle w:val="Heading1"/>
      </w:pPr>
      <w:r>
        <w:t>Executive Summary — Funding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Request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Fund a developer engagement to build the GSQ DD&amp;T Roadmap Executive Platform MVP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Executive sponsor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Vincent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sponsor / product lead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Santoro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Organization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Global Manufacturing &amp; Labs DD&amp;T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September 2026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Companion documents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 case (MVP v2 Sept 2026); *Design Blueprint*; *TakOS Onboarding Readiness*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Decision needed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Approve Band B funding and the Thousand Oaks pilot as the first business-review system of record</w:t>
            </w:r>
          </w:p>
        </w:tc>
      </w:tr>
    </w:tbl>
    <w:p/>
    <w:p>
      <w:pPr>
        <w:pStyle w:val="Heading1"/>
      </w:pPr>
      <w:r>
        <w:t>The ask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Approve approximately </w:t>
      </w:r>
      <w:r>
        <w:rPr>
          <w:rFonts w:ascii="Calibri" w:hAnsi="Calibri" w:eastAsia="Calibri"/>
          <w:b/>
          <w:i w:val="0"/>
          <w:color w:val="333A44"/>
          <w:sz w:val="22"/>
        </w:rPr>
        <w:t>$155–168k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333A44"/>
          <w:sz w:val="22"/>
        </w:rPr>
        <w:t>10–12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a small delivery team (~2.5 FTE) to build a </w:t>
      </w:r>
      <w:r>
        <w:rPr>
          <w:rFonts w:ascii="Calibri" w:hAnsi="Calibri" w:eastAsia="Calibri"/>
          <w:b/>
          <w:i w:val="0"/>
          <w:color w:val="333A44"/>
          <w:sz w:val="22"/>
        </w:rPr>
        <w:t>single pane of glass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how GSQ plants are running their DD&amp;T portfolios.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platform does not invent a new strategy. It takes the 1,000-foot Power App leadership already uses (Big Rocks × fiscal years × North Star platforms), makes </w:t>
      </w:r>
      <w:r>
        <w:rPr>
          <w:rFonts w:ascii="Calibri" w:hAnsi="Calibri" w:eastAsia="Calibri"/>
          <w:b/>
          <w:i w:val="0"/>
          <w:color w:val="333A44"/>
          <w:sz w:val="22"/>
        </w:rPr>
        <w:t>site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 first-class control for all 18 GSQ Manufacturing &amp; Labs sites, adds the missing </w:t>
      </w:r>
      <w:r>
        <w:rPr>
          <w:rFonts w:ascii="Calibri" w:hAnsi="Calibri" w:eastAsia="Calibri"/>
          <w:b/>
          <w:i w:val="0"/>
          <w:color w:val="333A44"/>
          <w:sz w:val="22"/>
        </w:rPr>
        <w:t>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333A44"/>
          <w:sz w:val="22"/>
        </w:rPr>
        <w:t>combined Gantt + 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views, and drills into the Capability Tracker and Jira/SPOT records that already exist. Site Heads type commentary and asks into the same portal. A business review is run from that portal, not from a slide factory.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This summary is the decision memo. The design blueprint is the specification the developer will build against. The onboarding companion is the TakOS submission checklist.</w:t>
      </w:r>
    </w:p>
    <w:p>
      <w:pPr>
        <w:pStyle w:val="Heading1"/>
      </w:pPr>
      <w:r>
        <w:t>Why this, why now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Portfolio truth is split across Jira, SPOT, site Power Apps, Power BI, and PowerPoint. The cost is not software — it is </w:t>
      </w:r>
      <w:r>
        <w:rPr>
          <w:rFonts w:ascii="Calibri" w:hAnsi="Calibri" w:eastAsia="Calibri"/>
          <w:b/>
          <w:i w:val="0"/>
          <w:color w:val="333A44"/>
          <w:sz w:val="22"/>
        </w:rPr>
        <w:t>leadership time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333A44"/>
          <w:sz w:val="22"/>
        </w:rPr>
        <w:t>inconsistent answers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 the same meeting.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value case already on file projects about </w:t>
      </w:r>
      <w:r>
        <w:rPr>
          <w:rFonts w:ascii="Calibri" w:hAnsi="Calibri" w:eastAsia="Calibri"/>
          <w:b/>
          <w:i w:val="0"/>
          <w:color w:val="333A44"/>
          <w:sz w:val="22"/>
        </w:rPr>
        <w:t>9,000 hours per year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of avoided reporting effort across 18 sites (~500 hours per site per year). The MVP is how we prove that number on Thousand Oaks before we scale the pattern.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Prototypes already exist. What does not exist is a </w:t>
      </w:r>
      <w:r>
        <w:rPr>
          <w:rFonts w:ascii="Calibri" w:hAnsi="Calibri" w:eastAsia="Calibri"/>
          <w:b/>
          <w:i w:val="0"/>
          <w:color w:val="333A44"/>
          <w:sz w:val="22"/>
        </w:rPr>
        <w:t>maintained, site-aware, input-capable portal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that a Site Head and an executive can trust in the room.</w:t>
      </w:r>
    </w:p>
    <w:p>
      <w:pPr>
        <w:pStyle w:val="Heading1"/>
      </w:pPr>
      <w:r>
        <w:t>What leaders will see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One login. One site selector (Thousand Oaks today is hard-coded; it must become a drop-down for the network). Every tab then shows that site.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View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 it answers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One pager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How is this site’s work laid on the six Big Rocks across FY26–FY28+?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 KPIs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How many active, on track, at risk — and is that number honest?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Gantt + Budget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When does it land, and is the money tracking the dates?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Budget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What did we approve, forecast, and spend?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Risks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What needs airtime this month?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What is the live backlog behind the cards?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Are North Star systems deployed, adopted, and integrated?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Review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 we run the meeting from here?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input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What did the Site Head just confirm, ask, or flag?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Network roadmap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How does this site sit in the 34-programme / 573-project GSQ picture?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Drill-down is explicit: card → sidecar → Jira/SPOT → Gantt+Budget → Capability pending integrations. Executives do not hunt for “the other dashboard.”</w:t>
      </w:r>
    </w:p>
    <w:p>
      <w:pPr>
        <w:pStyle w:val="Heading1"/>
      </w:pPr>
      <w:r>
        <w:t>What is already true (we are not starting from a blank page)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The Thousand Oaks Strategic Roadmap Power App already implements One pager, Status KPIs, Gantt, Risks, and Jira Links.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 Budget app and a combined Budget+Gantt app already exist as the visual target for the missing tabs.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The global DDT roadmap already rolls 34 programmes and 573 projects to site glyphs.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The Capability Tracker already shows deploy/adopt and integration pairs by plant.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Jira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DDTGMPORT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site projects already carry manufacturing SPOT IDs (for example TO MES Elaprase DS — SPOT 1024096).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This platform already has its investment record: SPOT 1063647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*GSQ DD&amp;T Roadmap Executive Platform MVP*, Active, in Plan. Dean Santoro is Project Manager; Joel Vincent is Sponsor. Value case (9,000 hours / year) is on the record. </w:t>
      </w:r>
      <w:r>
        <w:rPr>
          <w:rFonts w:ascii="Calibri" w:hAnsi="Calibri" w:eastAsia="Calibri"/>
          <w:b w:val="0"/>
          <w:i w:val="0"/>
          <w:color w:val="9F1B2C"/>
          <w:sz w:val="22"/>
          <w:u w:val="single"/>
        </w:rPr>
        <w:t>Open the project board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Sponsors, the value hypothesis, and the three-product MVP (Roadmap + Business Review + Capability/North Star) are written in the September 2026 business case.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funded work is </w:t>
      </w:r>
      <w:r>
        <w:rPr>
          <w:rFonts w:ascii="Calibri" w:hAnsi="Calibri" w:eastAsia="Calibri"/>
          <w:b/>
          <w:i w:val="0"/>
          <w:color w:val="333A44"/>
          <w:sz w:val="22"/>
        </w:rPr>
        <w:t>integration, persistence, site context, budget, Site Head input, and a business-review freeze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not a green-field invention of the 1,000-foot layout.</w:t>
      </w:r>
    </w:p>
    <w:p>
      <w:pPr>
        <w:pStyle w:val="Heading1"/>
      </w:pPr>
      <w:r>
        <w:t>What we will not do in the MVP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Replace Jira, SPOT, or EDB.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Let the portal silently overwrite Jira dates or SPOT money.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Pretend all 18 sites have Thousand Oaks mapping quality on day one (empty states will be honest).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Treat the $40k / six-week figure in business-case section 9 as sufficient for Jira + SPOT + EDB together. That figure is a </w:t>
      </w:r>
      <w:r>
        <w:rPr>
          <w:rFonts w:ascii="Calibri" w:hAnsi="Calibri" w:eastAsia="Calibri"/>
          <w:b/>
          <w:i w:val="0"/>
          <w:color w:val="333A44"/>
          <w:sz w:val="22"/>
        </w:rPr>
        <w:t>thin shell only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Heading1"/>
      </w:pPr>
      <w:r>
        <w:t>Investment options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Indicative cost @ $140/h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A. Thin shell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drop-down + wrap today’s tabs. No SPOT, no EDB, no Site Head input.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~300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 weeks · 1 FTE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~$42k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B. Recommended MVP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Live Jira, SPOT budget, combined Gantt, Capability embed, Site input, TO business-review freeze.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~1,100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10–12 weeks · ~2.5 FTE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~$155k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C. Full business-case MVP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Band B plus EDB data-product bind and a production network roadmap.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~1,400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12 weeks · ~3 FTE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~$196k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Recommendation: fund Band B at the business-case ~$168k envelope.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Use EDB as a gated increment inside the same order so the three-source hypothesis can still be tested if the API is ready. Do not approve Band A if the success criterion is “executives stop building decks.”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Suggested team: one Power Platform lead, one integration/data engineer (0.7), light Power BI, GML BA, Dean as product lead, part-time PM.</w:t>
      </w:r>
    </w:p>
    <w:p>
      <w:pPr>
        <w:pStyle w:val="Heading1"/>
      </w:pPr>
      <w:r>
        <w:t>Value and success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Productivity.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If the TO pilot removes most monthly deck assembly and status chasing, we will measure hours for that site and extrapolate. The filed case is ~42 hours per site per month.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Decision quality.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One RAG language. One site context. Money and dates on the same row. Capability adoption visible beside the roadmap.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MVP success (go / no-go for Release 2)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Thousand Oaks business review is run from the portal.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Heads can enter commentary and asks; the audit trail is attributable.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Jira, SPOT, and the Capability view can be trusted in that meeting without side spreadsheets.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Leadership agrees the pattern is reusable for other sites.</w:t>
      </w:r>
    </w:p>
    <w:p>
      <w:pPr>
        <w:pStyle w:val="Heading1"/>
      </w:pPr>
      <w:r>
        <w:t>Risks we are accepting with eyes open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API access for Jira/SPOT/EDB is the critical path. If access slips, the calendar slips.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Section 1 vs. section 9 of the business case disagree on money and duration. This memo supersedes section 9 for scope.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EDB may not be API-ready; the Capability Tracker embed is the fallback so the meeting still has an adoption view.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Classification (GxP / SOX / PII) is a working “reporting, not batch record” call and must be confirmed at Intake.</w:t>
      </w:r>
    </w:p>
    <w:p>
      <w:pPr>
        <w:pStyle w:val="Heading1"/>
      </w:pPr>
      <w:r>
        <w:t>Decision requested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Approve Band B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(~$155–168k, 10–12 weeks) to build the Executive Platform to the attached design blueprint.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Name 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as the business-review pilot and commit Site Head time for UAT in weeks 9–10.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Keep SPOT 1063647 as the single investment record.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File the funding request on that board. Align the header Expected CAPEX ($35k), the preliminary forecast ($168k), and the Marketplace order to </w:t>
      </w:r>
      <w:r>
        <w:rPr>
          <w:rFonts w:ascii="Calibri" w:hAnsi="Calibri" w:eastAsia="Calibri"/>
          <w:b/>
          <w:i w:val="0"/>
          <w:color w:val="333A44"/>
          <w:sz w:val="22"/>
        </w:rPr>
        <w:t>one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number (Band B).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Authorize the remaining onboarding actions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(AIDPG Initiative linked to 1063647, Pattern-Fit, token line, Intake gate) listed in the onboarding companion.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If approved, the next artefacts are the AIDPG Initiative (pointing at 1063647) and a week-1 field workshop with PMO — not a second SPOT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Confidential — Takeda internal  ·  September 2026  ·  Page </w:t>
    </w:r>
    <w:r>
      <w:rPr>
        <w:rFonts w:ascii="Calibri" w:hAnsi="Calibri" w:eastAsia="Calibri"/>
        <w:b w:val="0"/>
        <w:i w:val="0"/>
        <w:color w:val="5B6470"/>
        <w:sz w:val="16"/>
      </w:rPr>
      <w:fldChar w:fldCharType="begin"/>
    </w:r>
    <w:r>
      <w:rPr>
        <w:rFonts w:ascii="Calibri" w:hAnsi="Calibri" w:eastAsia="Calibri"/>
        <w:b w:val="0"/>
        <w:i w:val="0"/>
        <w:color w:val="5B6470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B647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GSQ GML DD&amp;T  ·  Executive Platform  ·  </w:t>
    </w:r>
    <w:r>
      <w:rPr>
        <w:rFonts w:ascii="Calibri" w:hAnsi="Calibri" w:eastAsia="Calibri"/>
        <w:b/>
        <w:i w:val="0"/>
        <w:color w:val="9F1B2C"/>
        <w:sz w:val="16"/>
      </w:rPr>
      <w:t>Executive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333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F1B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20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/>
    </w:pPr>
    <w:rPr>
      <w:rFonts w:ascii="Consolas" w:hAnsi="Consolas"/>
      <w:color w:val="10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